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37d363243d367d13c1e2c0be1f1fde043f1fd13"/>
    <w:p>
      <w:pPr>
        <w:pStyle w:val="Heading1"/>
      </w:pPr>
      <w:r>
        <w:t xml:space="preserve">Luciteria Collector Cabinet — SKU Mapping Guide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2026-05-25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Products (1).csv (Shopify export, 1,654 variant rows)</w:t>
      </w:r>
    </w:p>
    <w:p>
      <w:r>
        <w:pict>
          <v:rect style="width:0;height:1.5pt" o:hralign="center" o:hrstd="t" o:hr="t"/>
        </w:pic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mapping connects every Shopify product variant to its corresponding chemical element and collection type. It is the bridge between real Shopify product data and the Collector Cabinet subscription engine.</w:t>
      </w:r>
    </w:p>
    <w:bookmarkStart w:id="20" w:name="key-stats"/>
    <w:p>
      <w:pPr>
        <w:pStyle w:val="Heading3"/>
      </w:pPr>
      <w:r>
        <w:t xml:space="preserve">Key Stats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product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Mapped to an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Unmapped (accessories, display cases,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elements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118 / 118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Precious metal variants (excluded from auto-assignment)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deliverable-files"/>
    <w:p>
      <w:pPr>
        <w:pStyle w:val="Heading2"/>
      </w:pPr>
      <w:r>
        <w:t xml:space="preserve">Deliverable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SKU_MAPPING_MASTER.xlsx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4-sheet workbook: Summary, Master Mapping, Precious Metals, Unmapped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SKU_MAPPING_MASTER.csv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CSV of the master mapping for easy import/API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ELEMENT_COVERAGE_REPORT.xlsx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4-sheet workbook: Coverage Matrix, Gap Analysis, Collection Summary, Multi-Format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SKU_MAPPING_GUIDE.md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collection-types"/>
    <w:p>
      <w:pPr>
        <w:pStyle w:val="Heading2"/>
      </w:pPr>
      <w:r>
        <w:t xml:space="preserve">Collection Types</w:t>
      </w:r>
    </w:p>
    <w:p>
      <w:pPr>
        <w:pStyle w:val="FirstParagraph"/>
      </w:pPr>
      <w:r>
        <w:t xml:space="preserve">Products are classified into these collection types based on title, SKU patterns, and Shopify tags: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Collection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10mm Cube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metal cubes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{Sym}10mm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25.4mm Cube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1-inch metal cubes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{Sym}25.4mm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50mm Cube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2-inch metal cubes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{Sym}50mm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Lucite 50mm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 embedded in 50mm acrylic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{Sym}2x2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118 elements</w:t>
            </w:r>
            <w:r>
              <w:t xml:space="preserve"> </w:t>
            </w:r>
            <w:r>
              <w:t xml:space="preserve">(full 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31mm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rounds/coins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{Sym}31mm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Ampoule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Sealed glass ampoule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{Sym}{weight}_amp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elements</w:t>
            </w:r>
          </w:p>
        </w:tc>
      </w:tr>
    </w:tbl>
    <w:bookmarkStart w:id="23" w:name="subscription-relevant-collection-types"/>
    <w:p>
      <w:pPr>
        <w:pStyle w:val="Heading3"/>
      </w:pPr>
      <w:r>
        <w:t xml:space="preserve">Subscription-Relevant Collection Types</w:t>
      </w:r>
    </w:p>
    <w:p>
      <w:pPr>
        <w:pStyle w:val="FirstParagraph"/>
      </w:pPr>
      <w:r>
        <w:t xml:space="preserve">For the Collector Cabinet subscription: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Lucite 50mm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Lucite Collection</w:t>
      </w:r>
      <w:r>
        <w:t xml:space="preserve">”</w:t>
      </w:r>
      <w:r>
        <w:t xml:space="preserve"> </w:t>
      </w:r>
      <w:r>
        <w:t xml:space="preserve">(the flagship — all 118 elements available)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10mm Cube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10mm Collection</w:t>
      </w:r>
      <w:r>
        <w:t xml:space="preserve">”</w:t>
      </w:r>
      <w:r>
        <w:t xml:space="preserve"> </w:t>
      </w:r>
      <w:r>
        <w:t xml:space="preserve">(82 elements)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25.4mm Cube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25.4mm Collection</w:t>
      </w:r>
      <w:r>
        <w:t xml:space="preserve">”</w:t>
      </w:r>
      <w:r>
        <w:t xml:space="preserve"> </w:t>
      </w:r>
      <w:r>
        <w:t xml:space="preserve">(59 elements)</w:t>
      </w:r>
    </w:p>
    <w:p>
      <w:pPr>
        <w:pStyle w:val="BodyText"/>
      </w:pPr>
      <w:r>
        <w:t xml:space="preserve">These three are the primary subscription collection types shown in the UI.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element-extraction-logic"/>
    <w:p>
      <w:pPr>
        <w:pStyle w:val="Heading2"/>
      </w:pPr>
      <w:r>
        <w:t xml:space="preserve">Element Extraction Logic</w:t>
      </w:r>
    </w:p>
    <w:bookmarkStart w:id="25" w:name="from-product-title-primary-method"/>
    <w:p>
      <w:pPr>
        <w:pStyle w:val="Heading3"/>
      </w:pPr>
      <w:r>
        <w:t xml:space="preserve">From Product Title (primary method)</w:t>
      </w:r>
    </w:p>
    <w:p>
      <w:pPr>
        <w:numPr>
          <w:ilvl w:val="0"/>
          <w:numId w:val="1001"/>
        </w:numPr>
        <w:pStyle w:val="Compact"/>
      </w:pPr>
      <w:r>
        <w:t xml:space="preserve">Match element name at the</w:t>
      </w:r>
      <w:r>
        <w:t xml:space="preserve"> </w:t>
      </w:r>
      <w:r>
        <w:rPr>
          <w:bCs/>
          <w:b/>
        </w:rPr>
        <w:t xml:space="preserve">start</w:t>
      </w:r>
      <w:r>
        <w:t xml:space="preserve"> </w:t>
      </w:r>
      <w:r>
        <w:t xml:space="preserve">of the title (e.g.,</w:t>
      </w:r>
      <w:r>
        <w:t xml:space="preserve"> </w:t>
      </w:r>
      <w:r>
        <w:t xml:space="preserve">“</w:t>
      </w:r>
      <w:r>
        <w:t xml:space="preserve">Strontium 50mm Lucite Cube</w:t>
      </w:r>
      <w:r>
        <w:t xml:space="preserve">”</w:t>
      </w:r>
      <w:r>
        <w:t xml:space="preserve"> </w:t>
      </w:r>
      <w:r>
        <w:t xml:space="preserve">→ Sr)</w:t>
      </w:r>
    </w:p>
    <w:p>
      <w:pPr>
        <w:numPr>
          <w:ilvl w:val="0"/>
          <w:numId w:val="1001"/>
        </w:numPr>
        <w:pStyle w:val="Compact"/>
      </w:pPr>
      <w:r>
        <w:t xml:space="preserve">Handle parenthetical variants:</w:t>
      </w:r>
      <w:r>
        <w:t xml:space="preserve"> </w:t>
      </w:r>
      <w:r>
        <w:t xml:space="preserve">“</w:t>
      </w:r>
      <w:r>
        <w:t xml:space="preserve">Chlorine (liquid)</w:t>
      </w:r>
      <w:r>
        <w:t xml:space="preserve">”</w:t>
      </w:r>
      <w:r>
        <w:t xml:space="preserve"> </w:t>
      </w:r>
      <w:r>
        <w:t xml:space="preserve">→ Cl,</w:t>
      </w:r>
      <w:r>
        <w:t xml:space="preserve"> </w:t>
      </w:r>
      <w:r>
        <w:t xml:space="preserve">“</w:t>
      </w:r>
      <w:r>
        <w:t xml:space="preserve">Phosphorus (Black)</w:t>
      </w:r>
      <w:r>
        <w:t xml:space="preserve">”</w:t>
      </w:r>
      <w:r>
        <w:t xml:space="preserve"> </w:t>
      </w:r>
      <w:r>
        <w:t xml:space="preserve">→ P</w:t>
      </w:r>
    </w:p>
    <w:p>
      <w:pPr>
        <w:numPr>
          <w:ilvl w:val="0"/>
          <w:numId w:val="1001"/>
        </w:numPr>
        <w:pStyle w:val="Compact"/>
      </w:pPr>
      <w:r>
        <w:t xml:space="preserve">Fall back to matching element name</w:t>
      </w:r>
      <w:r>
        <w:t xml:space="preserve"> </w:t>
      </w:r>
      <w:r>
        <w:rPr>
          <w:bCs/>
          <w:b/>
        </w:rPr>
        <w:t xml:space="preserve">anywhere</w:t>
      </w:r>
      <w:r>
        <w:t xml:space="preserve"> </w:t>
      </w:r>
      <w:r>
        <w:t xml:space="preserve">in title (for names &gt; 3 characters to avoid false positives)</w:t>
      </w:r>
    </w:p>
    <w:bookmarkEnd w:id="25"/>
    <w:bookmarkStart w:id="26" w:name="from-sku-fallback"/>
    <w:p>
      <w:pPr>
        <w:pStyle w:val="Heading3"/>
      </w:pPr>
      <w:r>
        <w:t xml:space="preserve">From SKU (fallback)</w:t>
      </w:r>
    </w:p>
    <w:p>
      <w:pPr>
        <w:numPr>
          <w:ilvl w:val="0"/>
          <w:numId w:val="1002"/>
        </w:numPr>
        <w:pStyle w:val="Compact"/>
      </w:pPr>
      <w:r>
        <w:t xml:space="preserve">Extract 1-2 letter element symbol from start of SKU:</w:t>
      </w:r>
      <w:r>
        <w:t xml:space="preserve"> </w:t>
      </w:r>
      <w:r>
        <w:rPr>
          <w:rStyle w:val="VerbatimChar"/>
        </w:rPr>
        <w:t xml:space="preserve">Sr2x2</w:t>
      </w:r>
      <w:r>
        <w:t xml:space="preserve"> </w:t>
      </w:r>
      <w:r>
        <w:t xml:space="preserve">→ Sr,</w:t>
      </w:r>
      <w:r>
        <w:t xml:space="preserve"> </w:t>
      </w:r>
      <w:r>
        <w:rPr>
          <w:rStyle w:val="VerbatimChar"/>
        </w:rPr>
        <w:t xml:space="preserve">Na2x2</w:t>
      </w:r>
      <w:r>
        <w:t xml:space="preserve"> </w:t>
      </w:r>
      <w:r>
        <w:t xml:space="preserve">→ Na</w:t>
      </w:r>
    </w:p>
    <w:p>
      <w:pPr>
        <w:numPr>
          <w:ilvl w:val="0"/>
          <w:numId w:val="1002"/>
        </w:numPr>
        <w:pStyle w:val="Compact"/>
      </w:pPr>
      <w:r>
        <w:t xml:space="preserve">Validate against periodic table</w:t>
      </w:r>
    </w:p>
    <w:bookmarkEnd w:id="26"/>
    <w:bookmarkStart w:id="27" w:name="sku-naming-convention"/>
    <w:p>
      <w:pPr>
        <w:pStyle w:val="Heading3"/>
      </w:pPr>
      <w:r>
        <w:t xml:space="preserve">SKU Naming Convention</w:t>
      </w:r>
    </w:p>
    <w:p>
      <w:pPr>
        <w:pStyle w:val="SourceCode"/>
      </w:pPr>
      <w:r>
        <w:rPr>
          <w:rStyle w:val="VerbatimChar"/>
        </w:rPr>
        <w:t xml:space="preserve">{Symbol}{Size}_{Modifier}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  Sr2x2          → Strontium, Lucite 50mm</w:t>
      </w:r>
      <w:r>
        <w:br/>
      </w:r>
      <w:r>
        <w:rPr>
          <w:rStyle w:val="VerbatimChar"/>
        </w:rPr>
        <w:t xml:space="preserve">  Al10mm         → Aluminum, 10mm Cube  </w:t>
      </w:r>
      <w:r>
        <w:br/>
      </w:r>
      <w:r>
        <w:rPr>
          <w:rStyle w:val="VerbatimChar"/>
        </w:rPr>
        <w:t xml:space="preserve">  Al10mm_mp      → Aluminum, 10mm Cube (mirror polish variant)</w:t>
      </w:r>
      <w:r>
        <w:br/>
      </w:r>
      <w:r>
        <w:rPr>
          <w:rStyle w:val="VerbatimChar"/>
        </w:rPr>
        <w:t xml:space="preserve">  Ag10.1mm_empty → Silver, 10mm (empty acrylic box)</w:t>
      </w:r>
      <w:r>
        <w:br/>
      </w:r>
      <w:r>
        <w:rPr>
          <w:rStyle w:val="VerbatimChar"/>
        </w:rPr>
        <w:t xml:space="preserve">  Hg30g_amp      → Mercury, Ampoule (30g)</w:t>
      </w:r>
      <w:r>
        <w:br/>
      </w:r>
      <w:r>
        <w:rPr>
          <w:rStyle w:val="VerbatimChar"/>
        </w:rPr>
        <w:t xml:space="preserve">  Cu2x2_disc     → Copper, Lucite 50mm (discontinued/discounted variant)</w:t>
      </w:r>
      <w:r>
        <w:br/>
      </w:r>
      <w:r>
        <w:rPr>
          <w:rStyle w:val="VerbatimChar"/>
        </w:rPr>
        <w:t xml:space="preserve">  Fe25.4mm       → Iron, 25.4mm Cube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ecious-metals-special-handling"/>
    <w:p>
      <w:pPr>
        <w:pStyle w:val="Heading2"/>
      </w:pPr>
      <w:r>
        <w:t xml:space="preserve">Precious Metals — Special Handling</w:t>
      </w:r>
    </w:p>
    <w:p>
      <w:pPr>
        <w:pStyle w:val="FirstParagraph"/>
      </w:pPr>
      <w:r>
        <w:t xml:space="preserve">The following 8 elements are flagged as</w:t>
      </w:r>
      <w:r>
        <w:t xml:space="preserve"> </w:t>
      </w:r>
      <w:r>
        <w:rPr>
          <w:bCs/>
          <w:b/>
        </w:rPr>
        <w:t xml:space="preserve">precious metals</w:t>
      </w:r>
      <w:r>
        <w:t xml:space="preserve"> </w:t>
      </w:r>
      <w:r>
        <w:t xml:space="preserve">and are</w:t>
      </w:r>
      <w:r>
        <w:t xml:space="preserve"> </w:t>
      </w:r>
      <w:r>
        <w:rPr>
          <w:bCs/>
          <w:b/>
        </w:rPr>
        <w:t xml:space="preserve">excluded from automatic subscription assignment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Platinum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Palladium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Rhodium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Iridium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value + hazardous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Ruthenium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value</w:t>
            </w:r>
          </w:p>
        </w:tc>
      </w:tr>
    </w:tbl>
    <w:p>
      <w:pPr>
        <w:pStyle w:val="BodyText"/>
      </w:pPr>
      <w:r>
        <w:t xml:space="preserve">These appear in the</w:t>
      </w:r>
      <w:r>
        <w:t xml:space="preserve"> </w:t>
      </w:r>
      <w:r>
        <w:rPr>
          <w:rStyle w:val="VerbatimChar"/>
        </w:rPr>
        <w:t xml:space="preserve">Precious Metals</w:t>
      </w:r>
      <w:r>
        <w:t xml:space="preserve"> </w:t>
      </w:r>
      <w:r>
        <w:t xml:space="preserve">sheet of the master workbook with orange highlighting. They should only be assigned via manual override by an admin.</w:t>
      </w:r>
    </w:p>
    <w:p>
      <w:r>
        <w:pict>
          <v:rect style="width:0;height:1.5pt" o:hralign="center" o:hrstd="t" o:hr="t"/>
        </w:pict>
      </w:r>
    </w:p>
    <w:bookmarkEnd w:id="29"/>
    <w:bookmarkStart w:id="33" w:name="how-to-use-this-mapping"/>
    <w:p>
      <w:pPr>
        <w:pStyle w:val="Heading2"/>
      </w:pPr>
      <w:r>
        <w:t xml:space="preserve">How to Use This Mapping</w:t>
      </w:r>
    </w:p>
    <w:bookmarkStart w:id="30" w:name="for-the-subscription-engine"/>
    <w:p>
      <w:pPr>
        <w:pStyle w:val="Heading3"/>
      </w:pPr>
      <w:r>
        <w:t xml:space="preserve">For the Subscription Engine</w:t>
      </w:r>
    </w:p>
    <w:p>
      <w:pPr>
        <w:numPr>
          <w:ilvl w:val="0"/>
          <w:numId w:val="1003"/>
        </w:numPr>
        <w:pStyle w:val="Compact"/>
      </w:pPr>
      <w:r>
        <w:t xml:space="preserve">Load</w:t>
      </w:r>
      <w:r>
        <w:t xml:space="preserve"> </w:t>
      </w:r>
      <w:r>
        <w:rPr>
          <w:rStyle w:val="VerbatimChar"/>
        </w:rPr>
        <w:t xml:space="preserve">SKU_MAPPING_MASTER.csv</w:t>
      </w:r>
    </w:p>
    <w:p>
      <w:pPr>
        <w:numPr>
          <w:ilvl w:val="0"/>
          <w:numId w:val="1003"/>
        </w:numPr>
        <w:pStyle w:val="Compact"/>
      </w:pPr>
      <w:r>
        <w:t xml:space="preserve">Filter by the customer’s collection type (e.g.,</w:t>
      </w:r>
      <w:r>
        <w:t xml:space="preserve"> </w:t>
      </w:r>
      <w:r>
        <w:t xml:space="preserve">“</w:t>
      </w:r>
      <w:r>
        <w:t xml:space="preserve">Lucite 50mm</w:t>
      </w:r>
      <w:r>
        <w:t xml:space="preserve">”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Filter</w:t>
      </w:r>
      <w:r>
        <w:t xml:space="preserve"> </w:t>
      </w:r>
      <w:r>
        <w:rPr>
          <w:rStyle w:val="VerbatimChar"/>
        </w:rPr>
        <w:t xml:space="preserve">Available for Subscription = Yes</w:t>
      </w:r>
    </w:p>
    <w:p>
      <w:pPr>
        <w:numPr>
          <w:ilvl w:val="0"/>
          <w:numId w:val="1003"/>
        </w:numPr>
        <w:pStyle w:val="Compact"/>
      </w:pPr>
      <w:r>
        <w:t xml:space="preserve">Cross-reference with customer’s owned elements to find eligible next shipments</w:t>
      </w:r>
    </w:p>
    <w:p>
      <w:pPr>
        <w:numPr>
          <w:ilvl w:val="0"/>
          <w:numId w:val="1003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Retail Price</w:t>
      </w:r>
      <w:r>
        <w:t xml:space="preserve"> </w:t>
      </w:r>
      <w:r>
        <w:t xml:space="preserve">for discount calculations</w:t>
      </w:r>
    </w:p>
    <w:p>
      <w:pPr>
        <w:numPr>
          <w:ilvl w:val="0"/>
          <w:numId w:val="1003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Current Stock</w:t>
      </w:r>
      <w:r>
        <w:t xml:space="preserve"> </w:t>
      </w:r>
      <w:r>
        <w:t xml:space="preserve">before assignment (recheck live via Shopify API at assignment time)</w:t>
      </w:r>
    </w:p>
    <w:bookmarkEnd w:id="30"/>
    <w:bookmarkStart w:id="31" w:name="for-inventory-decisions"/>
    <w:p>
      <w:pPr>
        <w:pStyle w:val="Heading3"/>
      </w:pPr>
      <w:r>
        <w:t xml:space="preserve">For Inventory Decisions</w:t>
      </w:r>
    </w:p>
    <w:p>
      <w:pPr>
        <w:numPr>
          <w:ilvl w:val="0"/>
          <w:numId w:val="1004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ELEMENT_COVERAGE_REPORT.xlsx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Gap Analysis</w:t>
      </w:r>
      <w:r>
        <w:t xml:space="preserve">”</w:t>
      </w:r>
      <w:r>
        <w:t xml:space="preserve"> </w:t>
      </w:r>
      <w:r>
        <w:t xml:space="preserve">sheet</w:t>
      </w:r>
    </w:p>
    <w:p>
      <w:pPr>
        <w:numPr>
          <w:ilvl w:val="0"/>
          <w:numId w:val="1004"/>
        </w:numPr>
        <w:pStyle w:val="Compact"/>
      </w:pPr>
      <w:r>
        <w:t xml:space="preserve">See which elements are missing from each collection type</w:t>
      </w:r>
    </w:p>
    <w:p>
      <w:pPr>
        <w:numPr>
          <w:ilvl w:val="0"/>
          <w:numId w:val="1004"/>
        </w:numPr>
        <w:pStyle w:val="Compact"/>
      </w:pPr>
      <w:r>
        <w:t xml:space="preserve">Prioritize procurement for collection types with active subscribers</w:t>
      </w:r>
    </w:p>
    <w:bookmarkEnd w:id="31"/>
    <w:bookmarkStart w:id="32" w:name="for-the-developer"/>
    <w:p>
      <w:pPr>
        <w:pStyle w:val="Heading3"/>
      </w:pPr>
      <w:r>
        <w:t xml:space="preserve">For the Developer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SKU</w:t>
      </w:r>
      <w:r>
        <w:t xml:space="preserve"> </w:t>
      </w:r>
      <w:r>
        <w:t xml:space="preserve">column maps directly to Shopify’s</w:t>
      </w:r>
      <w:r>
        <w:t xml:space="preserve"> </w:t>
      </w:r>
      <w:r>
        <w:rPr>
          <w:rStyle w:val="VerbatimChar"/>
        </w:rPr>
        <w:t xml:space="preserve">variant.sku</w:t>
      </w:r>
      <w:r>
        <w:t xml:space="preserve"> </w:t>
      </w:r>
      <w:r>
        <w:t xml:space="preserve">field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Element Symbol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Collection Type</w:t>
      </w:r>
      <w:r>
        <w:t xml:space="preserve"> </w:t>
      </w:r>
      <w:r>
        <w:t xml:space="preserve">combination is the unique key for subscription logic</w:t>
      </w:r>
    </w:p>
    <w:p>
      <w:pPr>
        <w:numPr>
          <w:ilvl w:val="0"/>
          <w:numId w:val="1005"/>
        </w:numPr>
        <w:pStyle w:val="Compact"/>
      </w:pPr>
      <w:r>
        <w:t xml:space="preserve">When a product has multiple variants (e.g., different weights of the same element ampoule), all are listed — the engine should pick the variant with the best stock/price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known-limitations-notes"/>
    <w:p>
      <w:pPr>
        <w:pStyle w:val="Heading2"/>
      </w:pPr>
      <w:r>
        <w:t xml:space="preserve">Known Limitations &amp; Notes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price in source CSV</w:t>
      </w:r>
      <w:r>
        <w:t xml:space="preserve">: Prices were joined from a secondary Shopify export (</w:t>
      </w:r>
      <w:r>
        <w:rPr>
          <w:rStyle w:val="VerbatimChar"/>
        </w:rPr>
        <w:t xml:space="preserve">products_May-01_11-17-41AM.csv</w:t>
      </w:r>
      <w:r>
        <w:t xml:space="preserve">). Some SKUs may not have matched — check for blank prices.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Inventory is a snapshot</w:t>
      </w:r>
      <w:r>
        <w:t xml:space="preserve">: Stock levels are from the CSV export date, not real-time. The live app must query Shopify API.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Synthetic/Radioactive elements</w:t>
      </w:r>
      <w:r>
        <w:t xml:space="preserve"> </w:t>
      </w:r>
      <w:r>
        <w:t xml:space="preserve">(Tc, Pm, Po, At, Fr, Ra, Ac, Np, Pu, Am, Cm, Bk, Cf, Es, Fm, Md, No, Lr, Rf, Db, Sg, Bh, Hs, Mt, Ds, Rg, Cn, Nh, Fl, Mc, Lv, Ts, Og): These exist as Lucite cubes (containing representative imagery/samples) but may not exist in metal cube formats.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121 unmapped products</w:t>
      </w:r>
      <w:r>
        <w:t xml:space="preserve">: These are display cases, accessories, sets, and non-element products. See the</w:t>
      </w:r>
      <w:r>
        <w:t xml:space="preserve"> </w:t>
      </w:r>
      <w:r>
        <w:t xml:space="preserve">“</w:t>
      </w:r>
      <w:r>
        <w:t xml:space="preserve">Unmapped Products</w:t>
      </w:r>
      <w:r>
        <w:t xml:space="preserve">”</w:t>
      </w:r>
      <w:r>
        <w:t xml:space="preserve"> </w:t>
      </w:r>
      <w:r>
        <w:t xml:space="preserve">sheet.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Some elements have multiple SKUs per collection type</w:t>
      </w:r>
      <w:r>
        <w:t xml:space="preserve"> </w:t>
      </w:r>
      <w:r>
        <w:t xml:space="preserve">(e.g., different purities, finishes, or weights). The engine should select the best available variant.</w:t>
      </w:r>
    </w:p>
    <w:p>
      <w:r>
        <w:pict>
          <v:rect style="width:0;height:1.5pt" o:hralign="center" o:hrstd="t" o:hr="t"/>
        </w:pict>
      </w:r>
    </w:p>
    <w:bookmarkEnd w:id="34"/>
    <w:bookmarkStart w:id="35" w:name="updating-this-mapping"/>
    <w:p>
      <w:pPr>
        <w:pStyle w:val="Heading2"/>
      </w:pPr>
      <w:r>
        <w:t xml:space="preserve">Updating This Mapping</w:t>
      </w:r>
    </w:p>
    <w:p>
      <w:pPr>
        <w:pStyle w:val="FirstParagraph"/>
      </w:pPr>
      <w:r>
        <w:t xml:space="preserve">When new products are added to Shopify:</w:t>
      </w:r>
      <w:r>
        <w:t xml:space="preserve"> </w:t>
      </w:r>
      <w:r>
        <w:t xml:space="preserve">1. Export a fresh Products CSV from Shopify</w:t>
      </w:r>
      <w:r>
        <w:t xml:space="preserve"> </w:t>
      </w:r>
      <w:r>
        <w:t xml:space="preserve">2. Re-run the mapping script (</w:t>
      </w:r>
      <w:r>
        <w:rPr>
          <w:rStyle w:val="VerbatimChar"/>
        </w:rPr>
        <w:t xml:space="preserve">build_sku_mapping.py</w:t>
      </w:r>
      <w:r>
        <w:t xml:space="preserve">)</w:t>
      </w:r>
      <w:r>
        <w:t xml:space="preserve"> </w:t>
      </w:r>
      <w:r>
        <w:t xml:space="preserve">3. Review the</w:t>
      </w:r>
      <w:r>
        <w:t xml:space="preserve"> </w:t>
      </w:r>
      <w:r>
        <w:t xml:space="preserve">“</w:t>
      </w:r>
      <w:r>
        <w:t xml:space="preserve">Unmapped Products</w:t>
      </w:r>
      <w:r>
        <w:t xml:space="preserve">”</w:t>
      </w:r>
      <w:r>
        <w:t xml:space="preserve"> </w:t>
      </w:r>
      <w:r>
        <w:t xml:space="preserve">sheet for any new items that need manual classification</w:t>
      </w:r>
      <w:r>
        <w:t xml:space="preserve"> </w:t>
      </w:r>
      <w:r>
        <w:t xml:space="preserve">4. Check the Coverage Matrix for newly filled gaps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2026-05-26T05:24:25Z</dcterms:created>
  <dcterms:modified xsi:type="dcterms:W3CDTF">2026-05-26T05:24:25Z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