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left"/>
      </w:pPr>
      <w:r>
        <w:rPr>
          <w:rFonts w:ascii="Malgun Gothic" w:hAnsi="Malgun Gothic" w:eastAsia="Malgun Gothic"/>
          <w:b/>
          <w:color w:val="0B2545"/>
          <w:sz w:val="44"/>
        </w:rPr>
        <w:t>V10b: Detector Uncertainty와 Visual Diversity를 강화한</w:t>
        <w:br/>
        <w:t>산업 결함 탐지 Active Learning 샘플 선택 전략</w:t>
      </w:r>
    </w:p>
    <w:p>
      <w:pPr>
        <w:spacing w:after="280"/>
      </w:pPr>
      <w:r>
        <w:rPr>
          <w:rFonts w:ascii="Malgun Gothic" w:hAnsi="Malgun Gothic" w:eastAsia="Malgun Gothic"/>
          <w:color w:val="555555"/>
          <w:sz w:val="23"/>
        </w:rPr>
        <w:t>Seed 42 Development Gate 검증 보고서 | NEU-DET Large-Pool One-Cycle 실험 및 Random Baseline 비교</w:t>
      </w:r>
    </w:p>
    <w:p>
      <w:pPr>
        <w:pStyle w:val="Caption"/>
      </w:pPr>
      <w:r>
        <w:t>Table 1. Report metadata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2F4F7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17"/>
              </w:rPr>
              <w:t>Field</w:t>
            </w:r>
          </w:p>
        </w:tc>
        <w:tc>
          <w:tcPr>
            <w:tcW w:type="dxa" w:w="4680"/>
            <w:shd w:fill="F2F4F7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17"/>
              </w:rPr>
              <w:t>Value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Dataset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NEU-DET 1,800 images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Protocol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Pool 900 / Dev 300 / Final test 300 locked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Seed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acquisition 42 / training 1042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Detector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YOLOv8n, 100 epochs, imgsz 640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Evidence level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Development gate; not final evidence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Final test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Locked / unused</w:t>
            </w:r>
          </w:p>
        </w:tc>
      </w:tr>
    </w:tbl>
    <w:p/>
    <w:p>
      <w:pPr>
        <w:pStyle w:val="Heading1"/>
      </w:pPr>
      <w:r>
        <w:t>목차</w:t>
      </w:r>
    </w:p>
    <w:p>
      <w:pPr>
        <w:pStyle w:val="ListBullet"/>
      </w:pPr>
      <w:r>
        <w:t>1. Executive Summary</w:t>
      </w:r>
    </w:p>
    <w:p>
      <w:pPr>
        <w:pStyle w:val="ListBullet"/>
      </w:pPr>
      <w:r>
        <w:t>2. 실험 프로토콜</w:t>
      </w:r>
    </w:p>
    <w:p>
      <w:pPr>
        <w:pStyle w:val="ListBullet"/>
      </w:pPr>
      <w:r>
        <w:t>3. V9b 실패 분석</w:t>
      </w:r>
    </w:p>
    <w:p>
      <w:pPr>
        <w:pStyle w:val="ListBullet"/>
      </w:pPr>
      <w:r>
        <w:t>4. V10b 설계 수정</w:t>
      </w:r>
    </w:p>
    <w:p>
      <w:pPr>
        <w:pStyle w:val="ListBullet"/>
      </w:pPr>
      <w:r>
        <w:t>5. Selection-only probe 결과</w:t>
      </w:r>
    </w:p>
    <w:p>
      <w:pPr>
        <w:pStyle w:val="ListBullet"/>
      </w:pPr>
      <w:r>
        <w:t>6. Detector 성능 결과</w:t>
      </w:r>
    </w:p>
    <w:p>
      <w:pPr>
        <w:pStyle w:val="ListBullet"/>
      </w:pPr>
      <w:r>
        <w:t>7. Per-class AP 분석</w:t>
      </w:r>
    </w:p>
    <w:p>
      <w:pPr>
        <w:pStyle w:val="ListBullet"/>
      </w:pPr>
      <w:r>
        <w:t>8. Annotation Efficiency</w:t>
      </w:r>
    </w:p>
    <w:p>
      <w:pPr>
        <w:pStyle w:val="ListBullet"/>
      </w:pPr>
      <w:r>
        <w:t>9. Cumulative labeled set 분석</w:t>
      </w:r>
    </w:p>
    <w:p>
      <w:pPr>
        <w:pStyle w:val="ListBullet"/>
      </w:pPr>
      <w:r>
        <w:t>10. Integrity Audit</w:t>
      </w:r>
    </w:p>
    <w:p>
      <w:pPr>
        <w:pStyle w:val="ListBullet"/>
      </w:pPr>
      <w:r>
        <w:t>11. 증거 수준 구분</w:t>
      </w:r>
    </w:p>
    <w:p>
      <w:pPr>
        <w:pStyle w:val="ListBullet"/>
      </w:pPr>
      <w:r>
        <w:t>12. 최종 판정과 다음 단계</w:t>
      </w:r>
    </w:p>
    <w:p>
      <w:r>
        <w:br w:type="page"/>
      </w:r>
    </w:p>
    <w:p>
      <w:pPr>
        <w:pStyle w:val="Heading1"/>
      </w:pPr>
      <w:r>
        <w:t>1. Executive Summary</w:t>
      </w:r>
    </w:p>
    <w:p>
      <w:pPr>
        <w:spacing w:after="120"/>
      </w:pPr>
      <w:r>
        <w:t>V10b는 seed42 development one-cycle에서 Random보다 높은 aggregate mAP, precision, recall을 보였다. 그러나 seed42는 방법 개발에 사용된 tuning/development seed이므로 일반화 증거는 아니다.</w:t>
      </w:r>
    </w:p>
    <w:p>
      <w:pPr>
        <w:spacing w:after="120"/>
      </w:pPr>
      <w:r>
        <w:t>V10b는 V9b 대비 NEU 6개 클래스 모두에서 AP50-95가 높았고, Random 대비로는 4개 클래스에서 이기고 2개 클래스에서 졌다.</w:t>
      </w:r>
    </w:p>
    <w:p>
      <w:pPr>
        <w:spacing w:after="120"/>
      </w:pPr>
      <w:r>
        <w:t>다음 단계는 V10b weight를 고정한 seed43-46 Random 대비 one-cycle 검증이다.</w:t>
      </w:r>
    </w:p>
    <w:p>
      <w:pPr>
        <w:pStyle w:val="Heading1"/>
      </w:pPr>
      <w:r>
        <w:t>2. 실험 프로토콜</w:t>
      </w:r>
    </w:p>
    <w:p>
      <w:pPr>
        <w:spacing w:after="120"/>
      </w:pPr>
      <w:r>
        <w:t>NEU-DET 전체 1,800장을 사용했고, acquisition pool 900장, development eval 300장, final test 300장 locked/unused, unused reserve 300장으로 구성했다.</w:t>
      </w:r>
    </w:p>
    <w:p>
      <w:pPr>
        <w:spacing w:after="120"/>
      </w:pPr>
      <w:r>
        <w:t>Acquisition score: S(x)=w_uU(x)+w_dD(x)+w_bB(x)+w_iI(x). U는 detector uncertainty, D는 DINO visual distance, B는 predicted class deficit, I는 pseudo instance score이다.</w:t>
      </w:r>
    </w:p>
    <w:p>
      <w:pPr>
        <w:pStyle w:val="Heading1"/>
      </w:pPr>
      <w:r>
        <w:t>3. V9b 실패 분석</w:t>
      </w:r>
    </w:p>
    <w:p>
      <w:pPr>
        <w:spacing w:after="120"/>
      </w:pPr>
      <w:r>
        <w:t>V9b는 bbox instance와 class entropy를 높였지만 Random보다 낮은 mAP와 recall을 보였다. 이는 instance-rich 선택이 항상 detector utility로 이어지지 않음을 보여준다.</w:t>
      </w:r>
    </w:p>
    <w:p>
      <w:pPr>
        <w:pStyle w:val="Heading1"/>
      </w:pPr>
      <w:r>
        <w:t>4. V10b 설계 수정</w:t>
      </w:r>
    </w:p>
    <w:p>
      <w:pPr>
        <w:spacing w:after="120"/>
      </w:pPr>
      <w:r>
        <w:t>V10b는 pseudo instance weight를 0.40에서 0.25로 낮추고, DINO visual distance를 0.25에서 0.35로, detector uncertainty를 0.20에서 0.25로 높였다.</w:t>
      </w:r>
    </w:p>
    <w:p>
      <w:pPr>
        <w:spacing w:after="120"/>
      </w:pPr>
      <w:r>
        <w:t>이 설계는 과도한 instance-rich 편향을 완화하고 시각적 coverage와 불확실 샘플 확보를 강화하려는 후보 전략이다.</w:t>
      </w:r>
    </w:p>
    <w:p>
      <w:pPr>
        <w:pStyle w:val="Heading1"/>
      </w:pPr>
      <w:r>
        <w:t>5. Selection-only probe 결과</w:t>
      </w:r>
    </w:p>
    <w:p>
      <w:r>
        <w:t>V10b는 V9b와 30개 중 18개가 겹쳤고, 12개가 교체되었다. Jaccard는 0.428571이다.</w:t>
      </w:r>
    </w:p>
    <w:p>
      <w:r>
        <w:drawing>
          <wp:inline xmlns:a="http://schemas.openxmlformats.org/drawingml/2006/main" xmlns:pic="http://schemas.openxmlformats.org/drawingml/2006/picture">
            <wp:extent cx="5577840" cy="3161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4_selection_geomet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61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fig04_selection_geometry</w:t>
      </w:r>
    </w:p>
    <w:p>
      <w:r>
        <w:drawing>
          <wp:inline xmlns:a="http://schemas.openxmlformats.org/drawingml/2006/main" xmlns:pic="http://schemas.openxmlformats.org/drawingml/2006/picture">
            <wp:extent cx="5577840" cy="32789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5_selection_overl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278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fig05_selection_overlap</w:t>
      </w:r>
    </w:p>
    <w:p>
      <w:pPr>
        <w:pStyle w:val="Heading1"/>
      </w:pPr>
      <w:r>
        <w:t>6. Detector 성능 결과</w:t>
      </w:r>
    </w:p>
    <w:p>
      <w:pPr>
        <w:pStyle w:val="Caption"/>
      </w:pPr>
      <w:r>
        <w:t>Table 2. V10 Large-Pool Seed42 Development 성능 비교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F2F4F7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17"/>
              </w:rPr>
              <w:t>Strategy</w:t>
            </w:r>
          </w:p>
        </w:tc>
        <w:tc>
          <w:tcPr>
            <w:tcW w:type="dxa" w:w="1337"/>
            <w:shd w:fill="F2F4F7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17"/>
              </w:rPr>
              <w:t>Budget</w:t>
            </w:r>
          </w:p>
        </w:tc>
        <w:tc>
          <w:tcPr>
            <w:tcW w:type="dxa" w:w="1337"/>
            <w:shd w:fill="F2F4F7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17"/>
              </w:rPr>
              <w:t>map50</w:t>
            </w:r>
          </w:p>
        </w:tc>
        <w:tc>
          <w:tcPr>
            <w:tcW w:type="dxa" w:w="1337"/>
            <w:shd w:fill="F2F4F7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17"/>
              </w:rPr>
              <w:t>map5095</w:t>
            </w:r>
          </w:p>
        </w:tc>
        <w:tc>
          <w:tcPr>
            <w:tcW w:type="dxa" w:w="1337"/>
            <w:shd w:fill="F2F4F7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17"/>
              </w:rPr>
              <w:t>precision</w:t>
            </w:r>
          </w:p>
        </w:tc>
        <w:tc>
          <w:tcPr>
            <w:tcW w:type="dxa" w:w="1337"/>
            <w:shd w:fill="F2F4F7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17"/>
              </w:rPr>
              <w:t>recall</w:t>
            </w:r>
          </w:p>
        </w:tc>
        <w:tc>
          <w:tcPr>
            <w:tcW w:type="dxa" w:w="1337"/>
            <w:shd w:fill="F2F4F7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17"/>
              </w:rPr>
              <w:t>f1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Round0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60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0.5812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0.3061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0.5665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0.5995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0.5825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Random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90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0.6411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0.3297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0.6206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0.6106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0.6156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V9b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90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0.6238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0.3173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0.6610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0.5792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0.6174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V10b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90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0.6471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0.3409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0.6413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0.6216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0.6313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577840" cy="30164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_aggregate_performan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164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fig01_aggregate_performance</w:t>
      </w:r>
    </w:p>
    <w:p>
      <w:r>
        <w:drawing>
          <wp:inline xmlns:a="http://schemas.openxmlformats.org/drawingml/2006/main" xmlns:pic="http://schemas.openxmlformats.org/drawingml/2006/picture">
            <wp:extent cx="5577840" cy="302910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_gain_vs_round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291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fig02_gain_vs_round0</w:t>
      </w:r>
    </w:p>
    <w:p>
      <w:r>
        <w:drawing>
          <wp:inline xmlns:a="http://schemas.openxmlformats.org/drawingml/2006/main" xmlns:pic="http://schemas.openxmlformats.org/drawingml/2006/picture">
            <wp:extent cx="5577840" cy="417832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3_precision_recal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1783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fig03_precision_recall</w:t>
      </w:r>
    </w:p>
    <w:p>
      <w:pPr>
        <w:pStyle w:val="Heading1"/>
      </w:pPr>
      <w:r>
        <w:t>7. Per-class AP 분석</w:t>
      </w:r>
    </w:p>
    <w:p>
      <w:r>
        <w:t>V10b는 Random 대비 AP50-95에서 crazing, patches, pitted_surface, scratches에서 이겼고 inclusion, rolled-in_scale에서는 졌다.</w:t>
      </w:r>
    </w:p>
    <w:p>
      <w:pPr>
        <w:pStyle w:val="Caption"/>
      </w:pPr>
      <w:r>
        <w:t>Table 3. Per-class V10b minus Random AP50-95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2F4F7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17"/>
              </w:rPr>
              <w:t>class_name</w:t>
            </w:r>
          </w:p>
        </w:tc>
        <w:tc>
          <w:tcPr>
            <w:tcW w:type="dxa" w:w="4680"/>
            <w:shd w:fill="F2F4F7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17"/>
              </w:rPr>
              <w:t>V10b_minus_Random_ap5095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crazing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0.0244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inclusion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-0.0596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patches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0.0247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pitted_surface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0.0496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rolled-in_scale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-0.0138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scratches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0.0417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577840" cy="296369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8_per_class_v10b_minus_random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9636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8. Per-class V10b minus Random AP50-95</w:t>
      </w:r>
    </w:p>
    <w:p>
      <w:pPr>
        <w:pStyle w:val="Caption"/>
      </w:pPr>
      <w:r>
        <w:t>Table 4. Per-class V10b minus V9b AP50-95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2F4F7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17"/>
              </w:rPr>
              <w:t>class_name</w:t>
            </w:r>
          </w:p>
        </w:tc>
        <w:tc>
          <w:tcPr>
            <w:tcW w:type="dxa" w:w="4680"/>
            <w:shd w:fill="F2F4F7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17"/>
              </w:rPr>
              <w:t>V10b_minus_V9b_ap5095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crazing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0.0103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inclusion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0.0193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patches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0.0302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pitted_surface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0.0055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rolled-in_scale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0.0188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scratches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0.0574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577840" cy="296369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9_per_class_v10b_minus_v9b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9636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9. Per-class V10b minus V9b AP50-95</w:t>
      </w:r>
    </w:p>
    <w:p>
      <w:pPr>
        <w:pStyle w:val="Heading1"/>
      </w:pPr>
      <w:r>
        <w:t>8. Annotation Efficiency</w:t>
      </w:r>
    </w:p>
    <w:p>
      <w:pPr>
        <w:pStyle w:val="Caption"/>
      </w:pPr>
      <w:r>
        <w:t>Table 5. Annotation efficiency proxy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F2F4F7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17"/>
              </w:rPr>
              <w:t>strategy_display</w:t>
            </w:r>
          </w:p>
        </w:tc>
        <w:tc>
          <w:tcPr>
            <w:tcW w:type="dxa" w:w="1872"/>
            <w:shd w:fill="F2F4F7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17"/>
              </w:rPr>
              <w:t>total_bbox</w:t>
            </w:r>
          </w:p>
        </w:tc>
        <w:tc>
          <w:tcPr>
            <w:tcW w:type="dxa" w:w="1872"/>
            <w:shd w:fill="F2F4F7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17"/>
              </w:rPr>
              <w:t>additional_bbox_vs_round0</w:t>
            </w:r>
          </w:p>
        </w:tc>
        <w:tc>
          <w:tcPr>
            <w:tcW w:type="dxa" w:w="1872"/>
            <w:shd w:fill="F2F4F7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17"/>
              </w:rPr>
              <w:t>map5095_gain_vs_round0</w:t>
            </w:r>
          </w:p>
        </w:tc>
        <w:tc>
          <w:tcPr>
            <w:tcW w:type="dxa" w:w="1872"/>
            <w:shd w:fill="F2F4F7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17"/>
              </w:rPr>
              <w:t>map5095_gain_per_additional_bbox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Random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191.0000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52.0000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0.0236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0.0005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V9b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224.0000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85.0000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0.0112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0.0001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V10b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206.0000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67.0000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0.0348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0.0005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577840" cy="296017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_annotation_efficienc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960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10. Annotation efficiency indicators</w:t>
      </w:r>
    </w:p>
    <w:p>
      <w:r>
        <w:t>Gain per additional bbox는 실제 annotation time을 측정한 비용 모델이 아니며 보조 proxy로만 해석해야 한다.</w:t>
      </w:r>
    </w:p>
    <w:p>
      <w:pPr>
        <w:pStyle w:val="Heading1"/>
      </w:pPr>
      <w:r>
        <w:t>9. Cumulative labeled set 분석</w:t>
      </w:r>
    </w:p>
    <w:p>
      <w:r>
        <w:t>V10b cumulative 90장은 total bbox 206, entropy 2.5620으로 기록되었다. Query batch 편향과 cumulative set 균형은 구분해서 해석해야 한다.</w:t>
      </w:r>
    </w:p>
    <w:p>
      <w:r>
        <w:drawing>
          <wp:inline xmlns:a="http://schemas.openxmlformats.org/drawingml/2006/main" xmlns:pic="http://schemas.openxmlformats.org/drawingml/2006/picture">
            <wp:extent cx="5577840" cy="303334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6_query_instance_statistic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333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fig06_query_instance_statistics</w:t>
      </w:r>
    </w:p>
    <w:p>
      <w:r>
        <w:drawing>
          <wp:inline xmlns:a="http://schemas.openxmlformats.org/drawingml/2006/main" xmlns:pic="http://schemas.openxmlformats.org/drawingml/2006/picture">
            <wp:extent cx="5577840" cy="288653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7_cumulative_class_distributio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8865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fig07_cumulative_class_distribution</w:t>
      </w:r>
    </w:p>
    <w:p>
      <w:pPr>
        <w:pStyle w:val="Heading1"/>
      </w:pPr>
      <w:r>
        <w:t>10. Integrity Audit</w:t>
      </w:r>
    </w:p>
    <w:p>
      <w:r>
        <w:t>독립 감사 판정은 pass with caveat이다. final test는 사용되지 않았고, validation-only recovery는 aggregate 기록과 일치했다.</w:t>
      </w:r>
    </w:p>
    <w:p>
      <w:pPr>
        <w:pStyle w:val="Caption"/>
      </w:pPr>
      <w:r>
        <w:t>Table 6. Implementation integrity audit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F2F4F7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17"/>
              </w:rPr>
              <w:t>check</w:t>
            </w:r>
          </w:p>
        </w:tc>
        <w:tc>
          <w:tcPr>
            <w:tcW w:type="dxa" w:w="3120"/>
            <w:shd w:fill="F2F4F7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17"/>
              </w:rPr>
              <w:t>status</w:t>
            </w:r>
          </w:p>
        </w:tc>
        <w:tc>
          <w:tcPr>
            <w:tcW w:type="dxa" w:w="3120"/>
            <w:shd w:fill="F2F4F7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17"/>
              </w:rPr>
              <w:t>evidence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V10b training count exactly one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pass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1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V10 smoke final test unused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pass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False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V10b final test unread/unused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pass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used=False, read=False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V10b source V10 config sha matches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pass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actual=a657cacebbe5899ba6dd84a2d902d3700710c6b19213dac0550f5d702e6ea30e expected=a657cacebbe5899ba6dd84a2d902d3700710c6b19213dac0550f5d702e6ea30e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V10b selection SHA matches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pass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actual=9d19c5ea5bb6ac76ff29ecd82a56bae5ba7c40db8e8b3049d5c24300255fb15f expected=9d19c5ea5bb6ac76ff29ecd82a56bae5ba7c40db8e8b3049d5c24300255fb15f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Seeds are acquisition 42 / training 1042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pass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v10=42/1042 v10b=42/1042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YOLO model/epochs comparable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pass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v10=yolov8n.pt,100 v10b=yolov8n.pt,100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Development eval size consistent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pass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random=300 v10b=300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development_eval_v10.csv available for direct identity check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review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v10_exists=True v10b_exists=False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V10 pool/dev/final overlap zero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pass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{"pool_dev_overlap": 0, "pool_final_overlap": 0, "dev_final_overlap": 0}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random train/dev image overlap zero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pass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0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v9b train/dev image overlap zero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pass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0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v10b train/dev image overlap zero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pass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sz w:val="16"/>
              </w:rPr>
              <w:t>0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git dirty reproducibility caveat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pass with caveat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sz w:val="16"/>
              </w:rPr>
              <w:t>v10_dirty=True v10b_dirty=True</w:t>
            </w:r>
          </w:p>
        </w:tc>
      </w:tr>
    </w:tbl>
    <w:p/>
    <w:p>
      <w:pPr>
        <w:pStyle w:val="Heading1"/>
      </w:pPr>
      <w:r>
        <w:t>11. 증거 수준 구분</w:t>
      </w:r>
    </w:p>
    <w:p>
      <w:r>
        <w:drawing>
          <wp:inline xmlns:a="http://schemas.openxmlformats.org/drawingml/2006/main" xmlns:pic="http://schemas.openxmlformats.org/drawingml/2006/picture">
            <wp:extent cx="5577840" cy="270904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1_evidence_level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709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11. Evidence level separation</w:t>
      </w:r>
    </w:p>
    <w:p>
      <w:pPr>
        <w:pStyle w:val="Heading2"/>
      </w:pPr>
      <w:r>
        <w:t>Directly verified facts</w:t>
      </w:r>
    </w:p>
    <w:p>
      <w:pPr>
        <w:pStyle w:val="ListBullet"/>
      </w:pPr>
      <w:r>
        <w:t>V10b seed42 mAP50-95=0.340866</w:t>
      </w:r>
    </w:p>
    <w:p>
      <w:pPr>
        <w:pStyle w:val="ListBullet"/>
      </w:pPr>
      <w:r>
        <w:t>Random seed42 mAP50-95=0.329700</w:t>
      </w:r>
    </w:p>
    <w:p>
      <w:pPr>
        <w:pStyle w:val="ListBullet"/>
      </w:pPr>
      <w:r>
        <w:t>final test unused</w:t>
      </w:r>
    </w:p>
    <w:p>
      <w:pPr>
        <w:pStyle w:val="Heading2"/>
      </w:pPr>
      <w:r>
        <w:t>Supported interpretations</w:t>
      </w:r>
    </w:p>
    <w:p>
      <w:pPr>
        <w:pStyle w:val="ListBullet"/>
      </w:pPr>
      <w:r>
        <w:t>V10b가 V9b instance-rich 편향을 완화</w:t>
      </w:r>
    </w:p>
    <w:p>
      <w:pPr>
        <w:pStyle w:val="ListBullet"/>
      </w:pPr>
      <w:r>
        <w:t>visual redundancy 감소</w:t>
      </w:r>
    </w:p>
    <w:p>
      <w:pPr>
        <w:pStyle w:val="ListBullet"/>
      </w:pPr>
      <w:r>
        <w:t>candidate method 가치</w:t>
      </w:r>
    </w:p>
    <w:p>
      <w:pPr>
        <w:pStyle w:val="Heading2"/>
      </w:pPr>
      <w:r>
        <w:t>Unverified hypotheses</w:t>
      </w:r>
    </w:p>
    <w:p>
      <w:pPr>
        <w:pStyle w:val="ListBullet"/>
      </w:pPr>
      <w:r>
        <w:t>모든 seed에서 Random보다 우수</w:t>
      </w:r>
    </w:p>
    <w:p>
      <w:pPr>
        <w:pStyle w:val="ListBullet"/>
      </w:pPr>
      <w:r>
        <w:t>final test에서도 우수</w:t>
      </w:r>
    </w:p>
    <w:p>
      <w:pPr>
        <w:pStyle w:val="ListBullet"/>
      </w:pPr>
      <w:r>
        <w:t>DINO diversity가 직접 원인</w:t>
      </w:r>
    </w:p>
    <w:p>
      <w:pPr>
        <w:pStyle w:val="Heading1"/>
      </w:pPr>
      <w:r>
        <w:t>12. 최종 판정과 다음 단계</w:t>
      </w:r>
    </w:p>
    <w:p>
      <w:r>
        <w:t>V10b는 seed42 development gate를 통과했지만, 일반화 증거는 아니다. V10b weight를 고정하고 seed43-46 one-cycle 검증을 수행한 뒤 full learning curve 및 final test 1회 평가로 진행해야 한다.</w:t>
      </w:r>
    </w:p>
    <w:p>
      <w:r>
        <w:drawing>
          <wp:inline xmlns:a="http://schemas.openxmlformats.org/drawingml/2006/main" xmlns:pic="http://schemas.openxmlformats.org/drawingml/2006/picture">
            <wp:extent cx="5577840" cy="226904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2_experiment_evolutio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269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12. Experiment evolution flow</w:t>
      </w:r>
    </w:p>
    <w:p>
      <w:r>
        <w:rPr>
          <w:rFonts w:ascii="Malgun Gothic" w:hAnsi="Malgun Gothic" w:eastAsia="Malgun Gothic"/>
          <w:b/>
          <w:color w:val="9B1C1C"/>
          <w:sz w:val="21"/>
        </w:rPr>
        <w:t>본 보고서는 acquisition seed 42와 training seed 1042를 사용한 development-stage 결과를 정리한 것이며 독립 multiseed 검증과 locked final-test 평가 이전의 탐색/방법개발 단계 증거이다.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/>
        <w:color w:val="666666"/>
        <w:sz w:val="18"/>
      </w:rPr>
      <w:t xml:space="preserve">Page </w:t>
    </w:r>
    <w:r>
      <w:rPr>
        <w:rFonts w:ascii="Malgun Gothic" w:hAnsi="Malgun Gothic" w:eastAsia="Malgun Gothic"/>
        <w:color w:val="666666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 w:eastAsia="Malgun Gothic"/>
        <w:color w:val="666666"/>
        <w:sz w:val="18"/>
      </w:rPr>
      <w:t>V10b Seed42 Development Gate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Malgun Gothic" w:hAnsi="Malgun Gothic" w:eastAsia="Malgun Gothic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