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
        <w:jc w:val="center"/>
      </w:pPr>
      <w:r>
        <w:rPr>
          <w:rFonts w:ascii="맑은 고딕" w:cs="맑은 고딕" w:eastAsia="맑은 고딕" w:hAnsi="맑은 고딕"/>
          <w:b/>
          <w:bCs/>
          <w:color w:val="1F3864"/>
          <w:sz w:val="40"/>
          <w:szCs w:val="40"/>
        </w:rPr>
        <w:t xml:space="preserve">접근권한 분류표</w:t>
      </w:r>
    </w:p>
    <w:p>
      <w:pPr>
        <w:pBdr>
          <w:bottom w:val="single" w:color="1F3864" w:sz="10"/>
        </w:pBdr>
        <w:spacing w:after="160"/>
        <w:jc w:val="center"/>
      </w:pPr>
      <w:r>
        <w:rPr>
          <w:rFonts w:ascii="맑은 고딕" w:cs="맑은 고딕" w:eastAsia="맑은 고딕" w:hAnsi="맑은 고딕"/>
          <w:color w:val="595959"/>
          <w:sz w:val="19"/>
          <w:szCs w:val="19"/>
        </w:rPr>
        <w:t xml:space="preserve">주식회사 인비토 · 한줄로(hanjul.ai) · 전송자격인증 신청 제출용</w:t>
      </w:r>
    </w:p>
    <w:p>
      <w:pPr>
        <w:spacing w:after="100" w:before="0" w:line="300"/>
      </w:pPr>
      <w:r>
        <w:rPr>
          <w:rFonts w:ascii="맑은 고딕" w:cs="맑은 고딕" w:eastAsia="맑은 고딕" w:hAnsi="맑은 고딕"/>
          <w:sz w:val="20"/>
          <w:szCs w:val="20"/>
        </w:rPr>
        <w:t xml:space="preserve"/>
      </w:r>
    </w:p>
    <w:p>
      <w:pPr>
        <w:spacing w:after="120" w:before="0" w:line="300"/>
      </w:pPr>
      <w:r>
        <w:rPr>
          <w:rFonts w:ascii="맑은 고딕" w:cs="맑은 고딕" w:eastAsia="맑은 고딕" w:hAnsi="맑은 고딕"/>
          <w:b/>
          <w:bCs/>
          <w:sz w:val="18"/>
          <w:szCs w:val="18"/>
        </w:rPr>
        <w:t xml:space="preserve">문서번호 </w:t>
      </w:r>
      <w:r>
        <w:rPr>
          <w:rFonts w:ascii="맑은 고딕" w:cs="맑은 고딕" w:eastAsia="맑은 고딕" w:hAnsi="맑은 고딕"/>
          <w:color w:val="595959"/>
          <w:sz w:val="18"/>
          <w:szCs w:val="18"/>
        </w:rPr>
        <w:t xml:space="preserve">ITU-AUTH-2026-01    </w:t>
      </w:r>
      <w:r>
        <w:rPr>
          <w:rFonts w:ascii="맑은 고딕" w:cs="맑은 고딕" w:eastAsia="맑은 고딕" w:hAnsi="맑은 고딕"/>
          <w:b/>
          <w:bCs/>
          <w:sz w:val="18"/>
          <w:szCs w:val="18"/>
        </w:rPr>
        <w:t xml:space="preserve">작성일 </w:t>
      </w:r>
      <w:r>
        <w:rPr>
          <w:rFonts w:ascii="맑은 고딕" w:cs="맑은 고딕" w:eastAsia="맑은 고딕" w:hAnsi="맑은 고딕"/>
          <w:color w:val="595959"/>
          <w:sz w:val="18"/>
          <w:szCs w:val="18"/>
        </w:rPr>
        <w:t xml:space="preserve">2026-08-19    </w:t>
      </w:r>
      <w:r>
        <w:rPr>
          <w:rFonts w:ascii="맑은 고딕" w:cs="맑은 고딕" w:eastAsia="맑은 고딕" w:hAnsi="맑은 고딕"/>
          <w:b/>
          <w:bCs/>
          <w:sz w:val="18"/>
          <w:szCs w:val="18"/>
        </w:rPr>
        <w:t xml:space="preserve">판 </w:t>
      </w:r>
      <w:r>
        <w:rPr>
          <w:rFonts w:ascii="맑은 고딕" w:cs="맑은 고딕" w:eastAsia="맑은 고딕" w:hAnsi="맑은 고딕"/>
          <w:color w:val="595959"/>
          <w:sz w:val="18"/>
          <w:szCs w:val="18"/>
        </w:rPr>
        <w:t xml:space="preserve">1.0</w:t>
      </w:r>
    </w:p>
    <w:p>
      <w:pPr>
        <w:spacing w:after="200" w:before="0" w:line="300"/>
      </w:pPr>
      <w:r>
        <w:rPr>
          <w:rFonts w:ascii="맑은 고딕" w:cs="맑은 고딕" w:eastAsia="맑은 고딕" w:hAnsi="맑은 고딕"/>
          <w:color w:val="595959"/>
          <w:sz w:val="18"/>
          <w:szCs w:val="18"/>
        </w:rPr>
        <w:t xml:space="preserve">전송자격인증제 인증기준 3.2(접근권한 부여) · 3.3(접근권한 변경)에 따라 작성한다. 표에 적힌 권한 구분은 운영 시스템의 실제 판정 값과 일치한다. 2026년 8월 27일 도입한 당사 임직원 계정의 등급 체계와 등급별 권한 수준은 부속 문서 「직원 계정 등급 권한분류표」(ITU-AUTH-2026-02)가 소유한다.</w:t>
      </w:r>
    </w:p>
    <w:p>
      <w:pPr>
        <w:pStyle w:val="Heading1"/>
        <w:spacing w:after="180" w:before="360"/>
      </w:pPr>
      <w:r>
        <w:rPr>
          <w:rFonts w:ascii="맑은 고딕" w:cs="맑은 고딕" w:eastAsia="맑은 고딕" w:hAnsi="맑은 고딕"/>
          <w:b/>
          <w:bCs/>
          <w:color w:val="1F3864"/>
          <w:sz w:val="28"/>
          <w:szCs w:val="28"/>
        </w:rPr>
        <w:t xml:space="preserve">1. 사업자 개요</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6420"/>
      </w:tblGrid>
      <w:tr>
        <w:trPr>
          <w:tblHeader/>
        </w:trPr>
        <w:tc>
          <w:tcPr>
            <w:tcW w:type="dxa" w:w="26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항목</w:t>
            </w:r>
          </w:p>
        </w:tc>
        <w:tc>
          <w:tcPr>
            <w:tcW w:type="dxa" w:w="64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내용</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법인명</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주식회사 인비토 (INVITO Corp.)</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대표이사</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유호윤</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사업자등록번호</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667-86-00578</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통신판매업신고</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제2017-서울송파-0160호</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소재지</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서울특별시 송파구 오금로36길 46, 신승빌딩 4층</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서비스명</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한줄로 (hanjul.ai)</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대표번호 / 이메일</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1800-8125 / mobile@invitocorp.com</w:t>
            </w:r>
          </w:p>
        </w:tc>
      </w:tr>
    </w:tbl>
    <w:p>
      <w:pPr>
        <w:pStyle w:val="Heading1"/>
        <w:spacing w:after="180" w:before="360"/>
      </w:pPr>
      <w:r>
        <w:rPr>
          <w:rFonts w:ascii="맑은 고딕" w:cs="맑은 고딕" w:eastAsia="맑은 고딕" w:hAnsi="맑은 고딕"/>
          <w:b/>
          <w:bCs/>
          <w:color w:val="1F3864"/>
          <w:sz w:val="28"/>
          <w:szCs w:val="28"/>
        </w:rPr>
        <w:t xml:space="preserve">2. 권한 체계</w:t>
      </w:r>
    </w:p>
    <w:p>
      <w:pPr>
        <w:pStyle w:val="Heading2"/>
        <w:spacing w:after="120" w:before="260"/>
      </w:pPr>
      <w:r>
        <w:rPr>
          <w:rFonts w:ascii="맑은 고딕" w:cs="맑은 고딕" w:eastAsia="맑은 고딕" w:hAnsi="맑은 고딕"/>
          <w:b/>
          <w:bCs/>
          <w:color w:val="2F5496"/>
          <w:sz w:val="24"/>
          <w:szCs w:val="24"/>
        </w:rPr>
        <w:t xml:space="preserve">2-1. 권한 구분</w:t>
      </w:r>
    </w:p>
    <w:p>
      <w:pPr>
        <w:spacing w:after="120" w:before="0" w:line="300"/>
      </w:pPr>
      <w:r>
        <w:rPr>
          <w:rFonts w:ascii="맑은 고딕" w:cs="맑은 고딕" w:eastAsia="맑은 고딕" w:hAnsi="맑은 고딕"/>
          <w:sz w:val="20"/>
          <w:szCs w:val="20"/>
        </w:rPr>
        <w:t xml:space="preserve">접근 주체를 네 가지로 구분하며, 각 구분은 시스템에 등급 값으로 저장된다.</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6620"/>
      </w:tblGrid>
      <w:tr>
        <w:trPr>
          <w:tblHeader/>
        </w:trPr>
        <w:tc>
          <w:tcPr>
            <w:tcW w:type="dxa" w:w="24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구분</w:t>
            </w:r>
          </w:p>
        </w:tc>
        <w:tc>
          <w:tcPr>
            <w:tcW w:type="dxa" w:w="66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설명</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슈퍼관리자</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당사 임직원. 전 고객사 관리</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관리자</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대표 계정. 소속 회사 범위 전권</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사용자</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실무 계정. 제한 권한</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시스템 계정</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연동·배치 전용. 화면 로그인 대상 아님</w:t>
            </w:r>
          </w:p>
        </w:tc>
      </w:tr>
    </w:tbl>
    <w:p>
      <w:pPr>
        <w:spacing w:after="100" w:before="0" w:line="300"/>
      </w:pPr>
      <w:r>
        <w:rPr>
          <w:rFonts w:ascii="맑은 고딕" w:cs="맑은 고딕" w:eastAsia="맑은 고딕" w:hAnsi="맑은 고딕"/>
          <w:sz w:val="20"/>
          <w:szCs w:val="20"/>
        </w:rPr>
        <w:t xml:space="preserve"/>
      </w:r>
    </w:p>
    <w:p>
      <w:pPr>
        <w:spacing w:after="120" w:before="0" w:line="300"/>
      </w:pPr>
      <w:r>
        <w:rPr>
          <w:rFonts w:ascii="맑은 고딕" w:cs="맑은 고딕" w:eastAsia="맑은 고딕" w:hAnsi="맑은 고딕"/>
          <w:sz w:val="20"/>
          <w:szCs w:val="20"/>
        </w:rPr>
        <w:t xml:space="preserve">권한 판정은 저장된 등급 값으로만 수행한다. 다른 표기를 근거로 판정하면 제한 사용자가 상위 권한으로 승격될 수 있으므로, 이 원칙을 내부 규약으로 고정하고 있다.</w:t>
      </w:r>
    </w:p>
    <w:p>
      <w:pPr>
        <w:pStyle w:val="Heading2"/>
        <w:spacing w:after="120" w:before="260"/>
      </w:pPr>
      <w:r>
        <w:rPr>
          <w:rFonts w:ascii="맑은 고딕" w:cs="맑은 고딕" w:eastAsia="맑은 고딕" w:hAnsi="맑은 고딕"/>
          <w:b/>
          <w:bCs/>
          <w:color w:val="2F5496"/>
          <w:sz w:val="24"/>
          <w:szCs w:val="24"/>
        </w:rPr>
        <w:t xml:space="preserve">2-2. 추가 제한 축</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6620"/>
      </w:tblGrid>
      <w:tr>
        <w:trPr>
          <w:tblHeader/>
        </w:trPr>
        <w:tc>
          <w:tcPr>
            <w:tcW w:type="dxa" w:w="24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축</w:t>
            </w:r>
          </w:p>
        </w:tc>
        <w:tc>
          <w:tcPr>
            <w:tcW w:type="dxa" w:w="66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내용</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기능 숨김</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계정별로 특정 메뉴·기능을 비노출 처리. 고객사 관리자가 소속 사용자에게 설정</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매장 배정</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배정된 매장의 데이터만 조회·발송 가능</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계정 상태</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정상 / 잠금 / 휴면. 잠금·휴면 상태는 로그인 불가</w:t>
            </w:r>
          </w:p>
        </w:tc>
      </w:tr>
      <w:tr>
        <w:trPr>
          <w:tblHeader w:val="false"/>
        </w:trPr>
        <w:tc>
          <w:tcPr>
            <w:tcW w:type="dxa" w:w="2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계약 상태</w:t>
            </w:r>
          </w:p>
        </w:tc>
        <w:tc>
          <w:tcPr>
            <w:tcW w:type="dxa" w:w="6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계약 종료·정지 시 계정 상태와 무관하게 전면 차단</w:t>
            </w:r>
          </w:p>
        </w:tc>
      </w:tr>
    </w:tbl>
    <w:p>
      <w:pPr>
        <w:pStyle w:val="Heading2"/>
        <w:spacing w:after="120" w:before="260"/>
      </w:pPr>
      <w:r>
        <w:rPr>
          <w:rFonts w:ascii="맑은 고딕" w:cs="맑은 고딕" w:eastAsia="맑은 고딕" w:hAnsi="맑은 고딕"/>
          <w:b/>
          <w:bCs/>
          <w:color w:val="2F5496"/>
          <w:sz w:val="24"/>
          <w:szCs w:val="24"/>
        </w:rPr>
        <w:t xml:space="preserve">2-3. 슈퍼관리자 내부 세부 게이트</w:t>
      </w:r>
    </w:p>
    <w:p>
      <w:pPr>
        <w:spacing w:after="120" w:before="0" w:line="300"/>
      </w:pPr>
      <w:r>
        <w:rPr>
          <w:rFonts w:ascii="맑은 고딕" w:cs="맑은 고딕" w:eastAsia="맑은 고딕" w:hAnsi="맑은 고딕"/>
          <w:sz w:val="20"/>
          <w:szCs w:val="20"/>
        </w:rPr>
        <w:t xml:space="preserve">슈퍼관리자 안에서도 민감 기능은 지정된 계정에만 노출한다.</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3400"/>
        <w:gridCol w:w="5620"/>
      </w:tblGrid>
      <w:tr>
        <w:trPr>
          <w:tblHeader/>
        </w:trPr>
        <w:tc>
          <w:tcPr>
            <w:tcW w:type="dxa" w:w="34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56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노출 대상</w:t>
            </w:r>
          </w:p>
        </w:tc>
      </w:tr>
      <w:tr>
        <w:trPr>
          <w:tblHeader w:val="false"/>
        </w:trPr>
        <w:tc>
          <w:tcPr>
            <w:tcW w:type="dxa" w:w="3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감사 로그 조회</w:t>
            </w:r>
          </w:p>
        </w:tc>
        <w:tc>
          <w:tcPr>
            <w:tcW w:type="dxa" w:w="5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허용 계정만 (기본: 대표 계정)</w:t>
            </w:r>
          </w:p>
        </w:tc>
      </w:tr>
      <w:tr>
        <w:trPr>
          <w:tblHeader w:val="false"/>
        </w:trPr>
        <w:tc>
          <w:tcPr>
            <w:tcW w:type="dxa" w:w="3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AI 학습 데이터</w:t>
            </w:r>
          </w:p>
        </w:tc>
        <w:tc>
          <w:tcPr>
            <w:tcW w:type="dxa" w:w="5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허용 계정만 (기본: 대표 계정)</w:t>
            </w:r>
          </w:p>
        </w:tc>
      </w:tr>
      <w:tr>
        <w:trPr>
          <w:tblHeader w:val="false"/>
        </w:trPr>
        <w:tc>
          <w:tcPr>
            <w:tcW w:type="dxa" w:w="3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발송 라인 설정</w:t>
            </w:r>
          </w:p>
        </w:tc>
        <w:tc>
          <w:tcPr>
            <w:tcW w:type="dxa" w:w="5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허용 계정만 (기본: 대표 계정 · 운영 관리자)</w:t>
            </w:r>
          </w:p>
        </w:tc>
      </w:tr>
      <w:tr>
        <w:trPr>
          <w:tblHeader w:val="false"/>
        </w:trPr>
        <w:tc>
          <w:tcPr>
            <w:tcW w:type="dxa" w:w="3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그 외 관리 기능</w:t>
            </w:r>
          </w:p>
        </w:tc>
        <w:tc>
          <w:tcPr>
            <w:tcW w:type="dxa" w:w="5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슈퍼관리자 전원</w:t>
            </w:r>
          </w:p>
        </w:tc>
      </w:tr>
    </w:tbl>
    <w:p>
      <w:r>
        <w:br w:type="page"/>
      </w:r>
    </w:p>
    <w:p>
      <w:pPr>
        <w:pStyle w:val="Heading1"/>
        <w:spacing w:after="180" w:before="360"/>
      </w:pPr>
      <w:r>
        <w:rPr>
          <w:rFonts w:ascii="맑은 고딕" w:cs="맑은 고딕" w:eastAsia="맑은 고딕" w:hAnsi="맑은 고딕"/>
          <w:b/>
          <w:bCs/>
          <w:color w:val="1F3864"/>
          <w:sz w:val="28"/>
          <w:szCs w:val="28"/>
        </w:rPr>
        <w:t xml:space="preserve">3. 권한 분류표 (R / W / D)</w:t>
      </w:r>
    </w:p>
    <w:p>
      <w:pPr>
        <w:spacing w:after="120" w:before="0" w:line="300"/>
      </w:pPr>
      <w:r>
        <w:rPr>
          <w:rFonts w:ascii="맑은 고딕" w:cs="맑은 고딕" w:eastAsia="맑은 고딕" w:hAnsi="맑은 고딕"/>
          <w:sz w:val="20"/>
          <w:szCs w:val="20"/>
        </w:rPr>
        <w:t xml:space="preserve">R = 조회(Read) · W = 등록·수정(Write) · D = 삭제(Delete) · — = 권한 없음</w:t>
      </w:r>
    </w:p>
    <w:p>
      <w:pPr>
        <w:spacing w:after="120" w:before="0" w:line="300"/>
      </w:pPr>
      <w:r>
        <w:rPr>
          <w:rFonts w:ascii="맑은 고딕" w:cs="맑은 고딕" w:eastAsia="맑은 고딕" w:hAnsi="맑은 고딕"/>
          <w:color w:val="595959"/>
          <w:sz w:val="18"/>
          <w:szCs w:val="18"/>
        </w:rPr>
        <w:t xml:space="preserve">고객사 계정의 권한은 모두 소속 회사 범위로 한정된다. 다른 회사의 자료에는 어떤 등급도 접근할 수 없다.</w:t>
      </w:r>
    </w:p>
    <w:p>
      <w:pPr>
        <w:pStyle w:val="Heading2"/>
        <w:spacing w:after="120" w:before="260"/>
      </w:pPr>
      <w:r>
        <w:rPr>
          <w:rFonts w:ascii="맑은 고딕" w:cs="맑은 고딕" w:eastAsia="맑은 고딕" w:hAnsi="맑은 고딕"/>
          <w:b/>
          <w:bCs/>
          <w:color w:val="2F5496"/>
          <w:sz w:val="24"/>
          <w:szCs w:val="24"/>
        </w:rPr>
        <w:t xml:space="preserve">3-1. 고객사·계정 관리</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00"/>
        <w:gridCol w:w="1000"/>
        <w:gridCol w:w="1100"/>
        <w:gridCol w:w="1100"/>
        <w:gridCol w:w="3320"/>
      </w:tblGrid>
      <w:tr>
        <w:trPr>
          <w:tblHeader/>
        </w:trPr>
        <w:tc>
          <w:tcPr>
            <w:tcW w:type="dxa" w:w="2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10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슈퍼</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사용자</w:t>
            </w:r>
          </w:p>
        </w:tc>
        <w:tc>
          <w:tcPr>
            <w:tcW w:type="dxa" w:w="33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비고</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등록·수정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계약 기반. 공개 가입 경로 없음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해지·정지</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해지 시 소속 계정·세션 즉시 무효화</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소속 계정 생성·수정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관리자는 자사 계정만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계정 삭제·비활성</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실삭제 대신 비활성 원칙</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로그인 인증번호(MFA) 등록</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계정당 1개. 변경 시 신뢰 기기 전량 해제</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로그인 차단 관리</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bl>
    <w:p>
      <w:pPr>
        <w:pStyle w:val="Heading2"/>
        <w:spacing w:after="120" w:before="260"/>
      </w:pPr>
      <w:r>
        <w:rPr>
          <w:rFonts w:ascii="맑은 고딕" w:cs="맑은 고딕" w:eastAsia="맑은 고딕" w:hAnsi="맑은 고딕"/>
          <w:b/>
          <w:bCs/>
          <w:color w:val="2F5496"/>
          <w:sz w:val="24"/>
          <w:szCs w:val="24"/>
        </w:rPr>
        <w:t xml:space="preserve">3-2. 발신번호·수신거부</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00"/>
        <w:gridCol w:w="1000"/>
        <w:gridCol w:w="1100"/>
        <w:gridCol w:w="1100"/>
        <w:gridCol w:w="3320"/>
      </w:tblGrid>
      <w:tr>
        <w:trPr>
          <w:tblHeader/>
        </w:trPr>
        <w:tc>
          <w:tcPr>
            <w:tcW w:type="dxa" w:w="2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10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슈퍼</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사용자</w:t>
            </w:r>
          </w:p>
        </w:tc>
        <w:tc>
          <w:tcPr>
            <w:tcW w:type="dxa" w:w="33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비고</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발신번호 등록 신청</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증빙 확인 후 승인</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발신번호 승인·반려</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회선 상한 검사 통과 시에만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회선 상한 정책 설정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개인·외국인은 고시값 고정</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수신거부 명단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계정 단위 격리</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수신거부 등록·업로드</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법정 의무 — 전 등급 허용</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수신거부 삭제</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삭제 경로 없음 (법정 보존)</w:t>
            </w:r>
          </w:p>
        </w:tc>
      </w:tr>
    </w:tbl>
    <w:p>
      <w:pPr>
        <w:pStyle w:val="Heading2"/>
        <w:spacing w:after="120" w:before="260"/>
      </w:pPr>
      <w:r>
        <w:rPr>
          <w:rFonts w:ascii="맑은 고딕" w:cs="맑은 고딕" w:eastAsia="맑은 고딕" w:hAnsi="맑은 고딕"/>
          <w:b/>
          <w:bCs/>
          <w:color w:val="2F5496"/>
          <w:sz w:val="24"/>
          <w:szCs w:val="24"/>
        </w:rPr>
        <w:t xml:space="preserve">3-3. 고객 데이터 (개인정보)</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00"/>
        <w:gridCol w:w="1000"/>
        <w:gridCol w:w="1100"/>
        <w:gridCol w:w="1100"/>
        <w:gridCol w:w="3320"/>
      </w:tblGrid>
      <w:tr>
        <w:trPr>
          <w:tblHeader/>
        </w:trPr>
        <w:tc>
          <w:tcPr>
            <w:tcW w:type="dxa" w:w="2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10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슈퍼</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사용자</w:t>
            </w:r>
          </w:p>
        </w:tc>
        <w:tc>
          <w:tcPr>
            <w:tcW w:type="dxa" w:w="33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비고</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 DB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매장 배정 계정은 배정 범위만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 DB 등록·수정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당사 임직원은 고객 자료를 수정하지 않는다</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 DB 삭제</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 DB 엑셀 다운로드</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전건 반출 이력 기록</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 상세 열람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열람 이력 기록</w:t>
            </w:r>
          </w:p>
        </w:tc>
      </w:tr>
    </w:tbl>
    <w:p>
      <w:pPr>
        <w:spacing w:after="100" w:before="0" w:line="300"/>
      </w:pPr>
      <w:r>
        <w:rPr>
          <w:rFonts w:ascii="맑은 고딕" w:cs="맑은 고딕" w:eastAsia="맑은 고딕" w:hAnsi="맑은 고딕"/>
          <w:sz w:val="20"/>
          <w:szCs w:val="20"/>
        </w:rPr>
        <w:t xml:space="preserve"/>
      </w:r>
    </w:p>
    <w:p>
      <w:pPr>
        <w:spacing w:after="120" w:before="0" w:line="300"/>
      </w:pPr>
      <w:r>
        <w:rPr>
          <w:rFonts w:ascii="맑은 고딕" w:cs="맑은 고딕" w:eastAsia="맑은 고딕" w:hAnsi="맑은 고딕"/>
          <w:color w:val="595959"/>
          <w:sz w:val="18"/>
          <w:szCs w:val="18"/>
        </w:rPr>
        <w:t xml:space="preserve">개인정보 조회·수정·삭제·다운로드는 관련 경로 전부에서 이력이 기록된다.</w:t>
      </w:r>
    </w:p>
    <w:p>
      <w:pPr>
        <w:pStyle w:val="Heading2"/>
        <w:spacing w:after="120" w:before="260"/>
      </w:pPr>
      <w:r>
        <w:rPr>
          <w:rFonts w:ascii="맑은 고딕" w:cs="맑은 고딕" w:eastAsia="맑은 고딕" w:hAnsi="맑은 고딕"/>
          <w:b/>
          <w:bCs/>
          <w:color w:val="2F5496"/>
          <w:sz w:val="24"/>
          <w:szCs w:val="24"/>
        </w:rPr>
        <w:t xml:space="preserve">3-4. 발송</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00"/>
        <w:gridCol w:w="1000"/>
        <w:gridCol w:w="1100"/>
        <w:gridCol w:w="1100"/>
        <w:gridCol w:w="3320"/>
      </w:tblGrid>
      <w:tr>
        <w:trPr>
          <w:tblHeader/>
        </w:trPr>
        <w:tc>
          <w:tcPr>
            <w:tcW w:type="dxa" w:w="2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10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슈퍼</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사용자</w:t>
            </w:r>
          </w:p>
        </w:tc>
        <w:tc>
          <w:tcPr>
            <w:tcW w:type="dxa" w:w="33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비고</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직접 발송</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기능 숨김 설정 시 비노출</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AI 캠페인 발송</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동일</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자동 발송·여정 등록</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동일</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예약 발송 취소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RWD</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자사 캠페인만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테스트 발송</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발송 결과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고객사는 자사만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발송 라인 설정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허용 슈퍼관리자만</w:t>
            </w:r>
          </w:p>
        </w:tc>
      </w:tr>
    </w:tbl>
    <w:p>
      <w:pPr>
        <w:pStyle w:val="Heading2"/>
        <w:spacing w:after="120" w:before="260"/>
      </w:pPr>
      <w:r>
        <w:rPr>
          <w:rFonts w:ascii="맑은 고딕" w:cs="맑은 고딕" w:eastAsia="맑은 고딕" w:hAnsi="맑은 고딕"/>
          <w:b/>
          <w:bCs/>
          <w:color w:val="2F5496"/>
          <w:sz w:val="24"/>
          <w:szCs w:val="24"/>
        </w:rPr>
        <w:t xml:space="preserve">3-5. 정산 · 과금</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00"/>
        <w:gridCol w:w="1000"/>
        <w:gridCol w:w="1100"/>
        <w:gridCol w:w="1100"/>
        <w:gridCol w:w="3320"/>
      </w:tblGrid>
      <w:tr>
        <w:trPr>
          <w:tblHeader/>
        </w:trPr>
        <w:tc>
          <w:tcPr>
            <w:tcW w:type="dxa" w:w="2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10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슈퍼</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사용자</w:t>
            </w:r>
          </w:p>
        </w:tc>
        <w:tc>
          <w:tcPr>
            <w:tcW w:type="dxa" w:w="33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비고</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단가·요금제 설정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충전 요청</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명의 대조 후 보류 가능</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충전 승인·반려</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보류 건은 확인 표시 없이 승인 불가</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거래 내역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고객사는 자사만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세금계산서 발행</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bl>
    <w:p>
      <w:pPr>
        <w:pStyle w:val="Heading2"/>
        <w:spacing w:after="120" w:before="260"/>
      </w:pPr>
      <w:r>
        <w:rPr>
          <w:rFonts w:ascii="맑은 고딕" w:cs="맑은 고딕" w:eastAsia="맑은 고딕" w:hAnsi="맑은 고딕"/>
          <w:b/>
          <w:bCs/>
          <w:color w:val="2F5496"/>
          <w:sz w:val="24"/>
          <w:szCs w:val="24"/>
        </w:rPr>
        <w:t xml:space="preserve">3-6. 통제 · 감사</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500"/>
        <w:gridCol w:w="1000"/>
        <w:gridCol w:w="1100"/>
        <w:gridCol w:w="1100"/>
        <w:gridCol w:w="3320"/>
      </w:tblGrid>
      <w:tr>
        <w:trPr>
          <w:tblHeader/>
        </w:trPr>
        <w:tc>
          <w:tcPr>
            <w:tcW w:type="dxa" w:w="2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기능</w:t>
            </w:r>
          </w:p>
        </w:tc>
        <w:tc>
          <w:tcPr>
            <w:tcW w:type="dxa" w:w="10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슈퍼</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관리자</w:t>
            </w:r>
          </w:p>
        </w:tc>
        <w:tc>
          <w:tcPr>
            <w:tcW w:type="dxa" w:w="11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고객사</w:t>
            </w:r>
          </w:p>
          <w:p>
            <w:pPr>
              <w:spacing w:after="0" w:line="280"/>
              <w:jc w:val="center"/>
            </w:pPr>
            <w:r>
              <w:rPr>
                <w:rFonts w:ascii="맑은 고딕" w:cs="맑은 고딕" w:eastAsia="맑은 고딕" w:hAnsi="맑은 고딕"/>
                <w:b/>
                <w:bCs/>
                <w:sz w:val="18"/>
                <w:szCs w:val="18"/>
              </w:rPr>
              <w:t xml:space="preserve">사용자</w:t>
            </w:r>
          </w:p>
        </w:tc>
        <w:tc>
          <w:tcPr>
            <w:tcW w:type="dxa" w:w="33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비고</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금칙어 규칙 등록·수정</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단일 키워드 규칙 등록 불가</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금칙어 탐지 이력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국외 접근 예외 승인</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사유 없이는 등록 불가</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국외 접근 예외 회수</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삭제가 아니라 비활성 — 이력 보존</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국외 접근 이력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감사 로그 조회</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R</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허용 슈퍼관리자만</w:t>
            </w:r>
          </w:p>
        </w:tc>
      </w:tr>
      <w:tr>
        <w:trPr>
          <w:tblHeader w:val="false"/>
        </w:trPr>
        <w:tc>
          <w:tcPr>
            <w:tcW w:type="dxa" w:w="2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감사 로그 수정·삭제</w:t>
            </w:r>
          </w:p>
        </w:tc>
        <w:tc>
          <w:tcPr>
            <w:tcW w:type="dxa" w:w="10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11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w:t>
            </w:r>
          </w:p>
        </w:tc>
        <w:tc>
          <w:tcPr>
            <w:tcW w:type="dxa" w:w="33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삭제 경로 자체가 없음</w:t>
            </w:r>
          </w:p>
        </w:tc>
      </w:tr>
    </w:tbl>
    <w:p>
      <w:r>
        <w:br w:type="page"/>
      </w:r>
    </w:p>
    <w:p>
      <w:pPr>
        <w:pStyle w:val="Heading1"/>
        <w:spacing w:after="180" w:before="360"/>
      </w:pPr>
      <w:r>
        <w:rPr>
          <w:rFonts w:ascii="맑은 고딕" w:cs="맑은 고딕" w:eastAsia="맑은 고딕" w:hAnsi="맑은 고딕"/>
          <w:b/>
          <w:bCs/>
          <w:color w:val="1F3864"/>
          <w:sz w:val="28"/>
          <w:szCs w:val="28"/>
        </w:rPr>
        <w:t xml:space="preserve">4. 권한 부여 · 변경 · 회수 절차</w:t>
      </w:r>
    </w:p>
    <w:p>
      <w:pPr>
        <w:pStyle w:val="Heading2"/>
        <w:spacing w:after="120" w:before="260"/>
      </w:pPr>
      <w:r>
        <w:rPr>
          <w:rFonts w:ascii="맑은 고딕" w:cs="맑은 고딕" w:eastAsia="맑은 고딕" w:hAnsi="맑은 고딕"/>
          <w:b/>
          <w:bCs/>
          <w:color w:val="2F5496"/>
          <w:sz w:val="24"/>
          <w:szCs w:val="24"/>
        </w:rPr>
        <w:t xml:space="preserve">4-1. 부여</w:t>
      </w:r>
    </w:p>
    <w:p>
      <w:pPr>
        <w:spacing w:after="60" w:before="140"/>
        <w:jc w:val="center"/>
      </w:pPr>
      <w:r>
        <w:drawing>
          <wp:inline distT="0" distB="0" distL="0" distR="0">
            <wp:extent cx="5724525" cy="86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24525" cy="866775"/>
                    </a:xfrm>
                    <a:prstGeom prst="rect">
                      <a:avLst/>
                    </a:prstGeom>
                  </pic:spPr>
                </pic:pic>
              </a:graphicData>
            </a:graphic>
          </wp:inline>
        </w:drawing>
      </w:r>
    </w:p>
    <w:p>
      <w:pPr>
        <w:spacing w:after="200"/>
        <w:jc w:val="center"/>
      </w:pPr>
      <w:r>
        <w:rPr>
          <w:rFonts w:ascii="맑은 고딕" w:cs="맑은 고딕" w:eastAsia="맑은 고딕" w:hAnsi="맑은 고딕"/>
          <w:color w:val="808080"/>
          <w:sz w:val="17"/>
          <w:szCs w:val="17"/>
        </w:rPr>
        <w:t xml:space="preserve">[그림 1] 접근권한 부여 절차</w:t>
      </w:r>
    </w:p>
    <w:p>
      <w:pPr>
        <w:spacing w:after="120" w:before="0" w:line="300"/>
      </w:pPr>
      <w:r>
        <w:rPr>
          <w:rFonts w:ascii="맑은 고딕" w:cs="맑은 고딕" w:eastAsia="맑은 고딕" w:hAnsi="맑은 고딕"/>
          <w:sz w:val="20"/>
          <w:szCs w:val="20"/>
        </w:rPr>
        <w:t xml:space="preserve">원칙 — 직무 수행에 필요한 최소 범위만 부여한다. 상위 등급이 필요하다는 사유가 기재되지 않으면 부여하지 않는다.</w:t>
      </w:r>
    </w:p>
    <w:p>
      <w:pPr>
        <w:pStyle w:val="Heading2"/>
        <w:spacing w:after="120" w:before="260"/>
      </w:pPr>
      <w:r>
        <w:rPr>
          <w:rFonts w:ascii="맑은 고딕" w:cs="맑은 고딕" w:eastAsia="맑은 고딕" w:hAnsi="맑은 고딕"/>
          <w:b/>
          <w:bCs/>
          <w:color w:val="2F5496"/>
          <w:sz w:val="24"/>
          <w:szCs w:val="24"/>
        </w:rPr>
        <w:t xml:space="preserve">4-2. 변경</w:t>
      </w:r>
    </w:p>
    <w:p>
      <w:pPr>
        <w:pStyle w:val="ListParagraph"/>
        <w:numPr>
          <w:ilvl w:val="0"/>
          <w:numId w:val="2"/>
        </w:numPr>
        <w:spacing w:after="60" w:line="290"/>
      </w:pPr>
      <w:r>
        <w:rPr>
          <w:rFonts w:ascii="맑은 고딕" w:cs="맑은 고딕" w:eastAsia="맑은 고딕" w:hAnsi="맑은 고딕"/>
          <w:sz w:val="20"/>
          <w:szCs w:val="20"/>
        </w:rPr>
        <w:t xml:space="preserve">인사이동·직무 변경이 확인되면 즉시 권한을 재조정한다.</w:t>
      </w:r>
    </w:p>
    <w:p>
      <w:pPr>
        <w:pStyle w:val="ListParagraph"/>
        <w:numPr>
          <w:ilvl w:val="0"/>
          <w:numId w:val="2"/>
        </w:numPr>
        <w:spacing w:after="60" w:line="290"/>
      </w:pPr>
      <w:r>
        <w:rPr>
          <w:rFonts w:ascii="맑은 고딕" w:cs="맑은 고딕" w:eastAsia="맑은 고딕" w:hAnsi="맑은 고딕"/>
          <w:sz w:val="20"/>
          <w:szCs w:val="20"/>
        </w:rPr>
        <w:t xml:space="preserve">변경 사유·승인자·일시를 대장에 기록한다.</w:t>
      </w:r>
    </w:p>
    <w:p>
      <w:pPr>
        <w:pStyle w:val="Heading2"/>
        <w:spacing w:after="120" w:before="260"/>
      </w:pPr>
      <w:r>
        <w:rPr>
          <w:rFonts w:ascii="맑은 고딕" w:cs="맑은 고딕" w:eastAsia="맑은 고딕" w:hAnsi="맑은 고딕"/>
          <w:b/>
          <w:bCs/>
          <w:color w:val="2F5496"/>
          <w:sz w:val="24"/>
          <w:szCs w:val="24"/>
        </w:rPr>
        <w:t xml:space="preserve">4-3. 회수</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6420"/>
      </w:tblGrid>
      <w:tr>
        <w:trPr>
          <w:tblHeader/>
        </w:trPr>
        <w:tc>
          <w:tcPr>
            <w:tcW w:type="dxa" w:w="26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상황</w:t>
            </w:r>
          </w:p>
        </w:tc>
        <w:tc>
          <w:tcPr>
            <w:tcW w:type="dxa" w:w="64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조치</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임직원 퇴사</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계정 비활성 + 신뢰 기기 해제 + 세션 무효화</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담당자 변경</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기존 계정 비활성 + 신규 계정 발급 + 인증번호 재등록</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고객사 계약 해지</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회사 단위 차단 + 소속 계정 전량 비활성 + 접속 중 세션 무효화 + 회수 이력</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장기 미사용</w:t>
            </w:r>
          </w:p>
        </w:tc>
        <w:tc>
          <w:tcPr>
            <w:tcW w:type="dxa" w:w="64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정기 점검 시 확인 후 비활성</w:t>
            </w:r>
          </w:p>
        </w:tc>
      </w:tr>
    </w:tbl>
    <w:p>
      <w:pPr>
        <w:spacing w:after="100" w:before="0" w:line="300"/>
      </w:pPr>
      <w:r>
        <w:rPr>
          <w:rFonts w:ascii="맑은 고딕" w:cs="맑은 고딕" w:eastAsia="맑은 고딕" w:hAnsi="맑은 고딕"/>
          <w:sz w:val="20"/>
          <w:szCs w:val="20"/>
        </w:rPr>
        <w:t xml:space="preserve"/>
      </w:r>
    </w:p>
    <w:p>
      <w:pPr>
        <w:spacing w:after="120" w:before="0" w:line="300"/>
      </w:pPr>
      <w:r>
        <w:rPr>
          <w:rFonts w:ascii="맑은 고딕" w:cs="맑은 고딕" w:eastAsia="맑은 고딕" w:hAnsi="맑은 고딕"/>
          <w:sz w:val="20"/>
          <w:szCs w:val="20"/>
        </w:rPr>
        <w:t xml:space="preserve">회수는 계정 단위 전파에 기대지 않는다. 회사 단위 차단 게이트가 로그인 시점에 판정하므로, 전파가 누락되어도 접속되지 않는다.</w:t>
      </w:r>
    </w:p>
    <w:p>
      <w:pPr>
        <w:pStyle w:val="Heading2"/>
        <w:spacing w:after="120" w:before="260"/>
      </w:pPr>
      <w:r>
        <w:rPr>
          <w:rFonts w:ascii="맑은 고딕" w:cs="맑은 고딕" w:eastAsia="맑은 고딕" w:hAnsi="맑은 고딕"/>
          <w:b/>
          <w:bCs/>
          <w:color w:val="2F5496"/>
          <w:sz w:val="24"/>
          <w:szCs w:val="24"/>
        </w:rPr>
        <w:t xml:space="preserve">4-4. 정기 점검</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600"/>
        <w:gridCol w:w="4200"/>
        <w:gridCol w:w="3220"/>
      </w:tblGrid>
      <w:tr>
        <w:trPr>
          <w:tblHeader/>
        </w:trPr>
        <w:tc>
          <w:tcPr>
            <w:tcW w:type="dxa" w:w="16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주기</w:t>
            </w:r>
          </w:p>
        </w:tc>
        <w:tc>
          <w:tcPr>
            <w:tcW w:type="dxa" w:w="42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점검 항목</w:t>
            </w:r>
          </w:p>
        </w:tc>
        <w:tc>
          <w:tcPr>
            <w:tcW w:type="dxa" w:w="32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기록</w:t>
            </w:r>
          </w:p>
        </w:tc>
      </w:tr>
      <w:tr>
        <w:trPr>
          <w:tblHeader w:val="false"/>
        </w:trPr>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분기 1회</w:t>
            </w:r>
          </w:p>
        </w:tc>
        <w:tc>
          <w:tcPr>
            <w:tcW w:type="dxa" w:w="42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재직 현황과 계정 목록 대조 (퇴사자 잔존 계정 확인)</w:t>
            </w:r>
          </w:p>
        </w:tc>
        <w:tc>
          <w:tcPr>
            <w:tcW w:type="dxa" w:w="32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접근권한 변경 이력 대장</w:t>
            </w:r>
          </w:p>
        </w:tc>
      </w:tr>
      <w:tr>
        <w:trPr>
          <w:tblHeader w:val="false"/>
        </w:trPr>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분기 1회</w:t>
            </w:r>
          </w:p>
        </w:tc>
        <w:tc>
          <w:tcPr>
            <w:tcW w:type="dxa" w:w="42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권한 등급이 직무에 비해 과다한 계정 확인</w:t>
            </w:r>
          </w:p>
        </w:tc>
        <w:tc>
          <w:tcPr>
            <w:tcW w:type="dxa" w:w="32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점검 기록</w:t>
            </w:r>
          </w:p>
        </w:tc>
      </w:tr>
      <w:tr>
        <w:trPr>
          <w:tblHeader w:val="false"/>
        </w:trPr>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분기 1회</w:t>
            </w:r>
          </w:p>
        </w:tc>
        <w:tc>
          <w:tcPr>
            <w:tcW w:type="dxa" w:w="42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공용 의심 계정 확인 (접속 IP 분산 · 동시 접속 시도 이력)</w:t>
            </w:r>
          </w:p>
        </w:tc>
        <w:tc>
          <w:tcPr>
            <w:tcW w:type="dxa" w:w="32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점검 기록</w:t>
            </w:r>
          </w:p>
        </w:tc>
      </w:tr>
      <w:tr>
        <w:trPr>
          <w:tblHeader w:val="false"/>
        </w:trPr>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월 1회</w:t>
            </w:r>
          </w:p>
        </w:tc>
        <w:tc>
          <w:tcPr>
            <w:tcW w:type="dxa" w:w="42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슈퍼관리자 계정 목록 및 최종 접속일 확인</w:t>
            </w:r>
          </w:p>
        </w:tc>
        <w:tc>
          <w:tcPr>
            <w:tcW w:type="dxa" w:w="32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점검 기록</w:t>
            </w:r>
          </w:p>
        </w:tc>
      </w:tr>
    </w:tbl>
    <w:p>
      <w:pPr>
        <w:pStyle w:val="Heading1"/>
        <w:spacing w:after="180" w:before="360"/>
      </w:pPr>
      <w:r>
        <w:rPr>
          <w:rFonts w:ascii="맑은 고딕" w:cs="맑은 고딕" w:eastAsia="맑은 고딕" w:hAnsi="맑은 고딕"/>
          <w:b/>
          <w:bCs/>
          <w:color w:val="1F3864"/>
          <w:sz w:val="28"/>
          <w:szCs w:val="28"/>
        </w:rPr>
        <w:t xml:space="preserve">5. 공용 계정 통제</w:t>
      </w:r>
    </w:p>
    <w:p>
      <w:pPr>
        <w:pStyle w:val="ListParagraph"/>
        <w:numPr>
          <w:ilvl w:val="0"/>
          <w:numId w:val="2"/>
        </w:numPr>
        <w:spacing w:after="60" w:line="290"/>
      </w:pPr>
      <w:r>
        <w:rPr>
          <w:rFonts w:ascii="맑은 고딕" w:cs="맑은 고딕" w:eastAsia="맑은 고딕" w:hAnsi="맑은 고딕"/>
          <w:sz w:val="20"/>
          <w:szCs w:val="20"/>
        </w:rPr>
        <w:t xml:space="preserve">계정은 실제 사용자 단위로 발급하며 공용 사용을 허용하지 않는다.</w:t>
      </w:r>
    </w:p>
    <w:p>
      <w:pPr>
        <w:pStyle w:val="ListParagraph"/>
        <w:numPr>
          <w:ilvl w:val="0"/>
          <w:numId w:val="2"/>
        </w:numPr>
        <w:spacing w:after="60" w:line="290"/>
      </w:pPr>
      <w:r>
        <w:rPr>
          <w:rFonts w:ascii="맑은 고딕" w:cs="맑은 고딕" w:eastAsia="맑은 고딕" w:hAnsi="맑은 고딕"/>
          <w:sz w:val="20"/>
          <w:szCs w:val="20"/>
        </w:rPr>
        <w:t xml:space="preserve">동일 계정으로 다른 위치에서 동시 접속을 시도하면 안내가 표시되고 그 시도가 기록된다. 이 기록이 공용 계정 탐지 지표다.</w:t>
      </w:r>
    </w:p>
    <w:p>
      <w:pPr>
        <w:pStyle w:val="ListParagraph"/>
        <w:numPr>
          <w:ilvl w:val="0"/>
          <w:numId w:val="2"/>
        </w:numPr>
        <w:spacing w:after="60" w:line="290"/>
      </w:pPr>
      <w:r>
        <w:rPr>
          <w:rFonts w:ascii="맑은 고딕" w:cs="맑은 고딕" w:eastAsia="맑은 고딕" w:hAnsi="맑은 고딕"/>
          <w:sz w:val="20"/>
          <w:szCs w:val="20"/>
        </w:rPr>
        <w:t xml:space="preserve">접속 IP가 과도하게 분산된 계정은 정기 점검에서 확인해 계정 분리를 안내한다.</w:t>
      </w:r>
    </w:p>
    <w:p>
      <w:pPr>
        <w:pStyle w:val="ListParagraph"/>
        <w:numPr>
          <w:ilvl w:val="0"/>
          <w:numId w:val="2"/>
        </w:numPr>
        <w:spacing w:after="60" w:line="290"/>
      </w:pPr>
      <w:r>
        <w:rPr>
          <w:rFonts w:ascii="맑은 고딕" w:cs="맑은 고딕" w:eastAsia="맑은 고딕" w:hAnsi="맑은 고딕"/>
          <w:sz w:val="20"/>
          <w:szCs w:val="20"/>
        </w:rPr>
        <w:t xml:space="preserve">시스템 계정은 화면 로그인 대상이 아니며 연동·배치 전용으로만 사용한다.</w:t>
      </w:r>
    </w:p>
    <w:p>
      <w:pPr>
        <w:pStyle w:val="Heading1"/>
        <w:spacing w:after="180" w:before="360"/>
      </w:pPr>
      <w:r>
        <w:rPr>
          <w:rFonts w:ascii="맑은 고딕" w:cs="맑은 고딕" w:eastAsia="맑은 고딕" w:hAnsi="맑은 고딕"/>
          <w:b/>
          <w:bCs/>
          <w:color w:val="1F3864"/>
          <w:sz w:val="28"/>
          <w:szCs w:val="28"/>
        </w:rPr>
        <w:t xml:space="preserve">6. 권한 관리 담당</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3800"/>
        <w:gridCol w:w="2620"/>
      </w:tblGrid>
      <w:tr>
        <w:trPr>
          <w:tblHeader/>
        </w:trPr>
        <w:tc>
          <w:tcPr>
            <w:tcW w:type="dxa" w:w="26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역할</w:t>
            </w:r>
          </w:p>
        </w:tc>
        <w:tc>
          <w:tcPr>
            <w:tcW w:type="dxa" w:w="38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책임</w:t>
            </w:r>
          </w:p>
        </w:tc>
        <w:tc>
          <w:tcPr>
            <w:tcW w:type="dxa" w:w="26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담당</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권한 관리 책임자</w:t>
            </w:r>
          </w:p>
        </w:tc>
        <w:tc>
          <w:tcPr>
            <w:tcW w:type="dxa" w:w="38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부여·변경·회수 승인, 정기 점검 총괄</w:t>
            </w:r>
          </w:p>
        </w:tc>
        <w:tc>
          <w:tcPr>
            <w:tcW w:type="dxa" w:w="2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대표이사 유호윤</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시스템 운영 담당</w:t>
            </w:r>
          </w:p>
        </w:tc>
        <w:tc>
          <w:tcPr>
            <w:tcW w:type="dxa" w:w="38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시스템 반영, 대장 관리</w:t>
            </w:r>
          </w:p>
        </w:tc>
        <w:tc>
          <w:tcPr>
            <w:tcW w:type="dxa" w:w="2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대표이사 유호윤</w:t>
            </w:r>
          </w:p>
        </w:tc>
      </w:tr>
      <w:tr>
        <w:trPr>
          <w:tblHeader w:val="false"/>
        </w:trPr>
        <w:tc>
          <w:tcPr>
            <w:tcW w:type="dxa" w:w="2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부서장</w:t>
            </w:r>
          </w:p>
        </w:tc>
        <w:tc>
          <w:tcPr>
            <w:tcW w:type="dxa" w:w="38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소속 인원 권한 신청 및 변경 통보</w:t>
            </w:r>
          </w:p>
        </w:tc>
        <w:tc>
          <w:tcPr>
            <w:tcW w:type="dxa" w:w="2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모바일 지원팀장 서수란</w:t>
            </w:r>
          </w:p>
        </w:tc>
      </w:tr>
    </w:tbl>
    <w:p>
      <w:pPr>
        <w:pStyle w:val="Heading1"/>
        <w:spacing w:after="180" w:before="360"/>
      </w:pPr>
      <w:r>
        <w:rPr>
          <w:rFonts w:ascii="맑은 고딕" w:cs="맑은 고딕" w:eastAsia="맑은 고딕" w:hAnsi="맑은 고딕"/>
          <w:b/>
          <w:bCs/>
          <w:color w:val="1F3864"/>
          <w:sz w:val="28"/>
          <w:szCs w:val="28"/>
        </w:rPr>
        <w:t xml:space="preserve">7. 별첨 — 접근권한 변경 이력 대장 양식</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1500"/>
        <w:gridCol w:w="1400"/>
        <w:gridCol w:w="1500"/>
        <w:gridCol w:w="1600"/>
        <w:gridCol w:w="1720"/>
      </w:tblGrid>
      <w:tr>
        <w:trPr>
          <w:tblHeader/>
        </w:trPr>
        <w:tc>
          <w:tcPr>
            <w:tcW w:type="dxa" w:w="13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일자</w:t>
            </w:r>
          </w:p>
        </w:tc>
        <w:tc>
          <w:tcPr>
            <w:tcW w:type="dxa" w:w="1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대상자</w:t>
            </w:r>
          </w:p>
        </w:tc>
        <w:tc>
          <w:tcPr>
            <w:tcW w:type="dxa" w:w="1400"/>
            <w:shd w:fill="F2F2F2" w:color="auto" w:val="clear"/>
            <w:tcMar>
              <w:top w:type="dxa" w:w="60"/>
              <w:left w:type="dxa" w:w="110"/>
              <w:bottom w:type="dxa" w:w="60"/>
              <w:right w:type="dxa" w:w="110"/>
            </w:tcMar>
          </w:tcPr>
          <w:p>
            <w:pPr>
              <w:spacing w:after="0" w:line="280"/>
              <w:jc w:val="center"/>
            </w:pPr>
            <w:r>
              <w:rPr>
                <w:rFonts w:ascii="맑은 고딕" w:cs="맑은 고딕" w:eastAsia="맑은 고딕" w:hAnsi="맑은 고딕"/>
                <w:b/>
                <w:bCs/>
                <w:sz w:val="18"/>
                <w:szCs w:val="18"/>
              </w:rPr>
              <w:t xml:space="preserve">구분</w:t>
            </w:r>
          </w:p>
        </w:tc>
        <w:tc>
          <w:tcPr>
            <w:tcW w:type="dxa" w:w="15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변경 전</w:t>
            </w:r>
          </w:p>
        </w:tc>
        <w:tc>
          <w:tcPr>
            <w:tcW w:type="dxa" w:w="16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변경 후</w:t>
            </w:r>
          </w:p>
        </w:tc>
        <w:tc>
          <w:tcPr>
            <w:tcW w:type="dxa" w:w="17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승인자 · 사유</w:t>
            </w:r>
          </w:p>
        </w:tc>
      </w:tr>
      <w:tr>
        <w:trPr>
          <w:tblHeader w:val="false"/>
        </w:trPr>
        <w:tc>
          <w:tcPr>
            <w:tcW w:type="dxa" w:w="13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
            </w:r>
          </w:p>
        </w:tc>
        <w:tc>
          <w:tcPr>
            <w:tcW w:type="dxa" w:w="1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4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부여/변경/회수</w:t>
            </w:r>
          </w:p>
        </w:tc>
        <w:tc>
          <w:tcPr>
            <w:tcW w:type="dxa" w:w="1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7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13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
            </w:r>
          </w:p>
        </w:tc>
        <w:tc>
          <w:tcPr>
            <w:tcW w:type="dxa" w:w="1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4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
            </w:r>
          </w:p>
        </w:tc>
        <w:tc>
          <w:tcPr>
            <w:tcW w:type="dxa" w:w="1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7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r>
        <w:trPr>
          <w:tblHeader w:val="false"/>
        </w:trPr>
        <w:tc>
          <w:tcPr>
            <w:tcW w:type="dxa" w:w="13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
            </w:r>
          </w:p>
        </w:tc>
        <w:tc>
          <w:tcPr>
            <w:tcW w:type="dxa" w:w="1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400"/>
            <w:tcMar>
              <w:top w:type="dxa" w:w="60"/>
              <w:left w:type="dxa" w:w="110"/>
              <w:bottom w:type="dxa" w:w="60"/>
              <w:right w:type="dxa" w:w="110"/>
            </w:tcMar>
          </w:tcPr>
          <w:p>
            <w:pPr>
              <w:spacing w:after="0" w:line="280"/>
              <w:jc w:val="center"/>
            </w:pPr>
            <w:r>
              <w:rPr>
                <w:rFonts w:ascii="맑은 고딕" w:cs="맑은 고딕" w:eastAsia="맑은 고딕" w:hAnsi="맑은 고딕"/>
                <w:b w:val="false"/>
                <w:bCs w:val="false"/>
                <w:sz w:val="18"/>
                <w:szCs w:val="18"/>
              </w:rPr>
              <w:t xml:space="preserve"/>
            </w:r>
          </w:p>
        </w:tc>
        <w:tc>
          <w:tcPr>
            <w:tcW w:type="dxa" w:w="15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6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c>
          <w:tcPr>
            <w:tcW w:type="dxa" w:w="17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
            </w:r>
          </w:p>
        </w:tc>
      </w:tr>
    </w:tbl>
    <w:p>
      <w:pPr>
        <w:pStyle w:val="Heading1"/>
        <w:spacing w:after="180" w:before="360"/>
      </w:pPr>
      <w:r>
        <w:rPr>
          <w:rFonts w:ascii="맑은 고딕" w:cs="맑은 고딕" w:eastAsia="맑은 고딕" w:hAnsi="맑은 고딕"/>
          <w:b/>
          <w:bCs/>
          <w:color w:val="1F3864"/>
          <w:sz w:val="28"/>
          <w:szCs w:val="28"/>
        </w:rPr>
        <w:t xml:space="preserve">8. 개정 이력</w:t>
      </w:r>
    </w:p>
    <w:tbl>
      <w:tblPr>
        <w:tblW w:type="dxa" w:w="9020"/>
        <w:tblBorders>
          <w:top w:val="single" w:color="BFBFBF" w:sz="4"/>
          <w:left w:val="single" w:color="BFBFBF" w:sz="4"/>
          <w:bottom w:val="single" w:color="BFBFBF" w:sz="4"/>
          <w:right w:val="single" w:color="BFBFBF" w:sz="4"/>
          <w:insideH w:val="single" w:color="D9D9D9" w:sz="2"/>
          <w:insideV w:val="single" w:color="D9D9D9" w:sz="2"/>
        </w:tblBorders>
      </w:tblPr>
      <w:tblGrid>
        <w:gridCol w:w="1200"/>
        <w:gridCol w:w="1800"/>
        <w:gridCol w:w="4620"/>
        <w:gridCol w:w="1400"/>
      </w:tblGrid>
      <w:tr>
        <w:trPr>
          <w:tblHeader/>
        </w:trPr>
        <w:tc>
          <w:tcPr>
            <w:tcW w:type="dxa" w:w="12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판</w:t>
            </w:r>
          </w:p>
        </w:tc>
        <w:tc>
          <w:tcPr>
            <w:tcW w:type="dxa" w:w="18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일자</w:t>
            </w:r>
          </w:p>
        </w:tc>
        <w:tc>
          <w:tcPr>
            <w:tcW w:type="dxa" w:w="462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내용</w:t>
            </w:r>
          </w:p>
        </w:tc>
        <w:tc>
          <w:tcPr>
            <w:tcW w:type="dxa" w:w="1400"/>
            <w:shd w:fill="F2F2F2" w:color="auto" w:val="clear"/>
            <w:tcMar>
              <w:top w:type="dxa" w:w="60"/>
              <w:left w:type="dxa" w:w="110"/>
              <w:bottom w:type="dxa" w:w="60"/>
              <w:right w:type="dxa" w:w="110"/>
            </w:tcMar>
          </w:tcPr>
          <w:p>
            <w:pPr>
              <w:spacing w:after="0" w:line="280"/>
              <w:jc w:val="left"/>
            </w:pPr>
            <w:r>
              <w:rPr>
                <w:rFonts w:ascii="맑은 고딕" w:cs="맑은 고딕" w:eastAsia="맑은 고딕" w:hAnsi="맑은 고딕"/>
                <w:b/>
                <w:bCs/>
                <w:sz w:val="18"/>
                <w:szCs w:val="18"/>
              </w:rPr>
              <w:t xml:space="preserve">작성</w:t>
            </w:r>
          </w:p>
        </w:tc>
      </w:tr>
      <w:tr>
        <w:trPr>
          <w:tblHeader w:val="false"/>
        </w:trPr>
        <w:tc>
          <w:tcPr>
            <w:tcW w:type="dxa" w:w="12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1.0</w:t>
            </w:r>
          </w:p>
        </w:tc>
        <w:tc>
          <w:tcPr>
            <w:tcW w:type="dxa" w:w="18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2026-08-19</w:t>
            </w:r>
          </w:p>
        </w:tc>
        <w:tc>
          <w:tcPr>
            <w:tcW w:type="dxa" w:w="462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최초 작성 (전송자격인증 신청 제출용)</w:t>
            </w:r>
          </w:p>
        </w:tc>
        <w:tc>
          <w:tcPr>
            <w:tcW w:type="dxa" w:w="1400"/>
            <w:tcMar>
              <w:top w:type="dxa" w:w="60"/>
              <w:left w:type="dxa" w:w="110"/>
              <w:bottom w:type="dxa" w:w="60"/>
              <w:right w:type="dxa" w:w="110"/>
            </w:tcMar>
          </w:tcPr>
          <w:p>
            <w:pPr>
              <w:spacing w:after="0" w:line="280"/>
              <w:jc w:val="left"/>
            </w:pPr>
            <w:r>
              <w:rPr>
                <w:rFonts w:ascii="맑은 고딕" w:cs="맑은 고딕" w:eastAsia="맑은 고딕" w:hAnsi="맑은 고딕"/>
                <w:b w:val="false"/>
                <w:bCs w:val="false"/>
                <w:sz w:val="18"/>
                <w:szCs w:val="18"/>
              </w:rPr>
              <w:t xml:space="preserve">주식회사 인비토</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0c3fccfccef40458f883f32b43b2fe411900d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2026-08-19T06:07:07.795Z</dcterms:created>
  <dcterms:modified xsi:type="dcterms:W3CDTF">2026-08-19T06:07:07.795Z</dcterms:modified>
</cp:coreProperties>
</file>

<file path=docProps/custom.xml><?xml version="1.0" encoding="utf-8"?>
<Properties xmlns="http://schemas.openxmlformats.org/officeDocument/2006/custom-properties" xmlns:vt="http://schemas.openxmlformats.org/officeDocument/2006/docPropsVTypes"/>
</file>