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전송자격인증 3.1 방화벽 설치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11111"/>
          <w:sz w:val="40"/>
          <w:szCs w:val="40"/>
        </w:rPr>
        <w:t xml:space="preserve">방화벽 운영 정보</w:t>
      </w:r>
    </w:p>
    <w:p>
      <w:pPr>
        <w:pBdr>
          <w:bottom w:val="single" w:color="BBBBBB" w:sz="8" w:space="8"/>
        </w:pBdr>
        <w:spacing w:after="40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주식회사 인비토 · 한줄로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1. 개요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본 문서는 한줄로 서비스가 운영하는 방화벽의 종류·구성·정책·변경 절차를 기술한다. 실제 정책 화면은 별첨 캡처로 함께 제출한다.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2. 방화벽 구성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경계 방화벽을 계층으로 구성한다. 각 계층의 역할과 운영 주체는 다음과 같다.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1"/>
        <w:gridCol w:w="1805"/>
        <w:gridCol w:w="2462"/>
        <w:gridCol w:w="2133"/>
        <w:gridCol w:w="1805"/>
      </w:tblGrid>
      <w:tr>
        <w:trPr>
          <w:tblHeader/>
        </w:trPr>
        <w:tc>
          <w:tcPr>
            <w:tcW w:type="dxa" w:w="821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계층</w:t>
            </w:r>
          </w:p>
        </w:tc>
        <w:tc>
          <w:tcPr>
            <w:tcW w:type="dxa" w:w="1805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종류</w:t>
            </w:r>
          </w:p>
        </w:tc>
        <w:tc>
          <w:tcPr>
            <w:tcW w:type="dxa" w:w="2462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제품 · 서비스</w:t>
            </w:r>
          </w:p>
        </w:tc>
        <w:tc>
          <w:tcPr>
            <w:tcW w:type="dxa" w:w="2133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역할</w:t>
            </w:r>
          </w:p>
        </w:tc>
        <w:tc>
          <w:tcPr>
            <w:tcW w:type="dxa" w:w="1805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운영 주체</w:t>
            </w:r>
          </w:p>
        </w:tc>
      </w:tr>
      <w:tr>
        <w:tc>
          <w:tcPr>
            <w:tcW w:type="dxa" w:w="82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1차</w:t>
            </w:r>
          </w:p>
        </w:tc>
        <w:tc>
          <w:tcPr>
            <w:tcW w:type="dxa" w:w="180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네트워크 접근제어</w:t>
            </w:r>
          </w:p>
        </w:tc>
        <w:tc>
          <w:tcPr>
            <w:tcW w:type="dxa" w:w="24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데이터센터 제공 네트워크 ACL</w:t>
            </w:r>
          </w:p>
        </w:tc>
        <w:tc>
          <w:tcPr>
            <w:tcW w:type="dxa" w:w="213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서비스 대역 외 접근 차단</w:t>
            </w:r>
          </w:p>
        </w:tc>
        <w:tc>
          <w:tcPr>
            <w:tcW w:type="dxa" w:w="180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데이터센터 사업자</w:t>
            </w:r>
          </w:p>
        </w:tc>
      </w:tr>
      <w:tr>
        <w:tc>
          <w:tcPr>
            <w:tcW w:type="dxa" w:w="82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2차</w:t>
            </w:r>
          </w:p>
        </w:tc>
        <w:tc>
          <w:tcPr>
            <w:tcW w:type="dxa" w:w="180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호스트 방화벽</w:t>
            </w:r>
          </w:p>
        </w:tc>
        <w:tc>
          <w:tcPr>
            <w:tcW w:type="dxa" w:w="24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Uncomplicated Firewall (Linux netfilter 기반)</w:t>
            </w:r>
          </w:p>
        </w:tc>
        <w:tc>
          <w:tcPr>
            <w:tcW w:type="dxa" w:w="213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서버별 인바운드 허용 서비스 통제</w:t>
            </w:r>
          </w:p>
        </w:tc>
        <w:tc>
          <w:tcPr>
            <w:tcW w:type="dxa" w:w="180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한줄로 인프라 담당</w:t>
            </w:r>
          </w:p>
        </w:tc>
      </w:tr>
      <w:tr>
        <w:tc>
          <w:tcPr>
            <w:tcW w:type="dxa" w:w="82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3차</w:t>
            </w:r>
          </w:p>
        </w:tc>
        <w:tc>
          <w:tcPr>
            <w:tcW w:type="dxa" w:w="180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리버스 프록시</w:t>
            </w:r>
          </w:p>
        </w:tc>
        <w:tc>
          <w:tcPr>
            <w:tcW w:type="dxa" w:w="24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Nginx</w:t>
            </w:r>
          </w:p>
        </w:tc>
        <w:tc>
          <w:tcPr>
            <w:tcW w:type="dxa" w:w="213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웹 요청 종단 · TLS 종료 · 비공개 경로 차단</w:t>
            </w:r>
          </w:p>
        </w:tc>
        <w:tc>
          <w:tcPr>
            <w:tcW w:type="dxa" w:w="180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한줄로 인프라 담당</w:t>
            </w:r>
          </w:p>
        </w:tc>
      </w:tr>
      <w:tr>
        <w:tc>
          <w:tcPr>
            <w:tcW w:type="dxa" w:w="82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4차</w:t>
            </w:r>
          </w:p>
        </w:tc>
        <w:tc>
          <w:tcPr>
            <w:tcW w:type="dxa" w:w="180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애플리케이션 접근통제</w:t>
            </w:r>
          </w:p>
        </w:tc>
        <w:tc>
          <w:tcPr>
            <w:tcW w:type="dxa" w:w="246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자체 구현</w:t>
            </w:r>
          </w:p>
        </w:tc>
        <w:tc>
          <w:tcPr>
            <w:tcW w:type="dxa" w:w="213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계정 인증 · 국외 접속 차단 · 권한 등급 판정</w:t>
            </w:r>
          </w:p>
        </w:tc>
        <w:tc>
          <w:tcPr>
            <w:tcW w:type="dxa" w:w="180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한줄로 개발 담당</w:t>
            </w:r>
          </w:p>
        </w:tc>
      </w:tr>
    </w:tbl>
    <w:p>
      <w:pPr>
        <w:pBdr>
          <w:left w:val="single" w:color="888888" w:sz="12" w:space="12"/>
        </w:pBdr>
        <w:spacing w:after="160" w:before="120" w:line="300"/>
        <w:ind w:left="20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4차 계층의 상세는 별도 문서 「국외 접속 차단 설명자료」와 「다중 인증 설명자료」가 소유한다.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3. 기본 정책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인바운드: 기본 차단. 명시적으로 허용한 서비스만 통과한다.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아웃바운드: 허용. 서비스 운영에 필요한 외부 연동(발송 사업자·인증기관·결제)이 여기에 해당한다.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라우팅(경유 트래픽): 기본 차단.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신규 프로파일: 자동 허용하지 않는다.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로깅: 활성. 차단 이력이 시스템 로그에 기록된다.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4. 허용 서비스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운영에 필요한 최소 서비스만 개방한다. 관리 목적의 임시 개방은 두지 않는다.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1444"/>
        <w:gridCol w:w="1986"/>
        <w:gridCol w:w="3249"/>
      </w:tblGrid>
      <w:tr>
        <w:trPr>
          <w:tblHeader/>
        </w:trPr>
        <w:tc>
          <w:tcPr>
            <w:tcW w:type="dxa" w:w="2347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용도</w:t>
            </w:r>
          </w:p>
        </w:tc>
        <w:tc>
          <w:tcPr>
            <w:tcW w:type="dxa" w:w="1444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표준 포트</w:t>
            </w:r>
          </w:p>
        </w:tc>
        <w:tc>
          <w:tcPr>
            <w:tcW w:type="dxa" w:w="198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허용 출발지</w:t>
            </w:r>
          </w:p>
        </w:tc>
        <w:tc>
          <w:tcPr>
            <w:tcW w:type="dxa" w:w="3249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34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원격 관리(SSH)</w:t>
            </w:r>
          </w:p>
        </w:tc>
        <w:tc>
          <w:tcPr>
            <w:tcW w:type="dxa" w:w="14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22/tcp</w:t>
            </w:r>
          </w:p>
        </w:tc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전 대역</w:t>
            </w:r>
          </w:p>
        </w:tc>
        <w:tc>
          <w:tcPr>
            <w:tcW w:type="dxa" w:w="324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공개키 인증 · 비밀번호 로그인 비활성</w:t>
            </w:r>
          </w:p>
        </w:tc>
      </w:tr>
      <w:tr>
        <w:tc>
          <w:tcPr>
            <w:tcW w:type="dxa" w:w="234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웹 서비스(HTTP)</w:t>
            </w:r>
          </w:p>
        </w:tc>
        <w:tc>
          <w:tcPr>
            <w:tcW w:type="dxa" w:w="14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80/tcp</w:t>
            </w:r>
          </w:p>
        </w:tc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전 대역</w:t>
            </w:r>
          </w:p>
        </w:tc>
        <w:tc>
          <w:tcPr>
            <w:tcW w:type="dxa" w:w="324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HTTPS로 강제 전환</w:t>
            </w:r>
          </w:p>
        </w:tc>
      </w:tr>
      <w:tr>
        <w:tc>
          <w:tcPr>
            <w:tcW w:type="dxa" w:w="234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웹 서비스(HTTPS)</w:t>
            </w:r>
          </w:p>
        </w:tc>
        <w:tc>
          <w:tcPr>
            <w:tcW w:type="dxa" w:w="14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443/tcp</w:t>
            </w:r>
          </w:p>
        </w:tc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전 대역</w:t>
            </w:r>
          </w:p>
        </w:tc>
        <w:tc>
          <w:tcPr>
            <w:tcW w:type="dxa" w:w="324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서비스 이용자 접근 경로</w:t>
            </w:r>
          </w:p>
        </w:tc>
      </w:tr>
      <w:tr>
        <w:tc>
          <w:tcPr>
            <w:tcW w:type="dxa" w:w="234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내부 모니터링</w:t>
            </w:r>
          </w:p>
        </w:tc>
        <w:tc>
          <w:tcPr>
            <w:tcW w:type="dxa" w:w="14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지정 포트</w:t>
            </w:r>
          </w:p>
        </w:tc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지정 서버 1대</w:t>
            </w:r>
          </w:p>
        </w:tc>
        <w:tc>
          <w:tcPr>
            <w:tcW w:type="dxa" w:w="324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출발지 고정</w:t>
            </w:r>
          </w:p>
        </w:tc>
      </w:tr>
      <w:tr>
        <w:tc>
          <w:tcPr>
            <w:tcW w:type="dxa" w:w="234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애플리케이션 내부 포트</w:t>
            </w:r>
          </w:p>
        </w:tc>
        <w:tc>
          <w:tcPr>
            <w:tcW w:type="dxa" w:w="14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해당 없음</w:t>
            </w:r>
          </w:p>
        </w:tc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차단</w:t>
            </w:r>
          </w:p>
        </w:tc>
        <w:tc>
          <w:tcPr>
            <w:tcW w:type="dxa" w:w="324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외부 직접 접근을 막고 리버스 프록시만 경유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5. 데이터 수신 경로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결제 통계 적재를 위한 데이터 수신 경로가 별도로 존재한다. 이 경로는 컨테이너 런타임이 직접 게시하는 형태라 호스트 방화벽 규칙과 별개로 관리되며, 다음 원칙으로 통제한다.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허용 출발지를 데이터 송신 시스템으로 한정하고 그 밖의 접근은 차단한다.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수신 전용이며 관리 기능을 제공하지 않는다.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접근 시도는 시스템 로그에 기록된다.</w:t>
      </w:r>
    </w:p>
    <w:p>
      <w:pPr>
        <w:pBdr>
          <w:left w:val="single" w:color="888888" w:sz="12" w:space="12"/>
        </w:pBdr>
        <w:spacing w:after="160" w:before="120" w:line="300"/>
        <w:ind w:left="20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출발지 제한은 2026년 9월 1일부터 적용한다. 적용 후 정책 화면을 갱신하여 재제출한다.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6. 정책 변경 절차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방화벽 정책은 다음 절차로만 변경한다.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변경 요청: 담당자가 변경 사유·대상 서비스·허용 출발지를 기재하여 요청한다.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승인: 대표이사 승인 후 적용한다.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적용: 인프라 담당이 적용하고 적용 전후 정책을 확인한다.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기록: 변경 일시·변경자·사유·변경 내용을 관리대장에 남긴다.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점검: 월 1회 정책 현행화 여부와 불필요 규칙 존재 여부를 점검한다.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7. 우회 경로 점검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관리 편의를 위한 우회 접속 경로나 정책에 드러나지 않는 비가시성 경로를 두지 않는 것을 원칙으로 한다. 다음을 정기 점검한다.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실제 개방 포트 목록과 방화벽 정책의 일치 여부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컨테이너 런타임이 방화벽을 우회하여 게시한 포트의 존재 여부와 출발지 제한 적용 여부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사용하지 않는 규칙의 잔존 여부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8. 별첨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방화벽 정책 화면 캡처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특수부가통신역무 관련 설비를 포함한 네트워크 구성도(별도 문서)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2026-08-27T21:46:30.737Z</dcterms:created>
  <dcterms:modified xsi:type="dcterms:W3CDTF">2026-08-27T21:46:30.739Z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