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전송자격인증 2.2 국외 이용자 · 우회 접속 방지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11111"/>
          <w:sz w:val="40"/>
          <w:szCs w:val="40"/>
        </w:rPr>
        <w:t xml:space="preserve">국외 접속 차단 설명자료</w:t>
      </w:r>
    </w:p>
    <w:p>
      <w:pPr>
        <w:pBdr>
          <w:bottom w:val="single" w:color="BBBBBB" w:sz="8" w:space="8"/>
        </w:pBdr>
        <w:spacing w:after="40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주식회사 인비토 · 한줄로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목적과 적용 범위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국외에서의 계정 접속과 우회 접속을 차단하여 계정 탈취를 통한 불법 스팸 발송을 방지한다. 적용 범위는 서비스 이용자 웹 접속, 운영 관리자 접속, 연동 모듈 접속 전부이다.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기본 정책</w:t>
      </w: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color w:val="333333"/>
          <w:sz w:val="20"/>
          <w:szCs w:val="20"/>
        </w:rPr>
        <w:t xml:space="preserve">기본 정책은 차단이다. 허용 대역에 드는 접속과 관리자가 개별 승인한 예외만 통과하고, 그 밖의 모든 국외 접속은 차단한다.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국외 판정 방식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국내에 할당된 IP 대역 목록을 등록하고, 그 대역에 들지 않는 접속을 국외로 판정한다.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686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판정 기준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국내 할당 IP 대역 화이트리스트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대역 출처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아시아태평양 인터넷주소자원 관리기관(APNIC)이 공개하는 국가별 할당 목록의 한국 항목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갱신 방식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관리자 화면에서 전체 교체 등록. 부분 갱신을 허용하지 않아 누락 대역이 남지 않는다.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갱신 이력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갱신 시각·갱신 전후 건수·출처가 감사 기록에 남는다.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미판정 처리</w:t>
            </w:r>
          </w:p>
        </w:tc>
        <w:tc>
          <w:tcPr>
            <w:tcW w:type="dxa" w:w="68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사설 대역·판정 불가 접속은 차단하지 않고 통과시킨 뒤 기록한다. 판정 실패를 차단으로 접으면 정상 이용자가 함께 막히기 때문이다.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판정 지점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접속 세션이 만들어지는 지점 한 곳에서 판정한다. 로그인 경로가 여럿이어도 세션 발급을 거치지 않는 경로가 없으므로 우회가 성립하지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일반 이용자 로그인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다중 인증 완료 후 최종 세션 발급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운영 관리자 로그인 및 인증수단 최초 등록</w:t>
      </w:r>
    </w:p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추가로 비밀번호 확인 직후 선차단 단계를 두어, 국외 접속자가 인증 문자 발송이나 계정 잠금 같은 부수 효과를 유발하지 못하게 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예외 승인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해외 근무자 등 국외 접속이 불가피한 대상은 관리자 수동 승인으로만 허용한다.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사유를 적지 않으면 등록되지 않는다.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승인자·승인 일시·대상·허용 대역·사유가 대장에 기록된다.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회수는 기록 삭제가 아니라 비활성 처리로 한다. 이력이 사라지면 심사 근거가 남지 않는다.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연동 모듈 경로의 통제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고객사 서버나 설치형 연동 모듈은 국가로 판정하지 않는다. 해외에 본사를 둔 고객사가 정상적으로 연동할 수 없게 되기 때문이다. 대신 회사별로 등록된 출발지 대역으로 통제하며, 그 등록 행위 자체가 승인 이력이 된다.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986"/>
        <w:gridCol w:w="1264"/>
        <w:gridCol w:w="3610"/>
      </w:tblGrid>
      <w:tr>
        <w:trPr>
          <w:tblHeader/>
        </w:trPr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접근 경로</w:t>
            </w:r>
          </w:p>
        </w:tc>
        <w:tc>
          <w:tcPr>
            <w:tcW w:type="dxa" w:w="198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인증 수단</w:t>
            </w:r>
          </w:p>
        </w:tc>
        <w:tc>
          <w:tcPr>
            <w:tcW w:type="dxa" w:w="1264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국외 판정</w:t>
            </w:r>
          </w:p>
        </w:tc>
        <w:tc>
          <w:tcPr>
            <w:tcW w:type="dxa" w:w="361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통제 방식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이용자 웹 접속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계정 인증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국내 대역 화이트리스트 · 예외 승인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운영 관리자 접속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계정 인증 + 인증 앱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적용</w:t>
            </w:r>
          </w:p>
        </w:tc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동일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고객사 연동 서버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발급 인증키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미적용</w:t>
            </w:r>
          </w:p>
        </w:tc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회사별 등록 출발지 대역</w:t>
            </w:r>
          </w:p>
        </w:tc>
      </w:tr>
      <w:tr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설치형 동기화 모듈</w:t>
            </w:r>
          </w:p>
        </w:tc>
        <w:tc>
          <w:tcPr>
            <w:tcW w:type="dxa" w:w="198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발급 인증키</w:t>
            </w:r>
          </w:p>
        </w:tc>
        <w:tc>
          <w:tcPr>
            <w:tcW w:type="dxa" w:w="126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미적용</w:t>
            </w:r>
          </w:p>
        </w:tc>
        <w:tc>
          <w:tcPr>
            <w:tcW w:type="dxa" w:w="36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회사별 등록 출발지 대역</w:t>
            </w:r>
          </w:p>
        </w:tc>
      </w:tr>
    </w:tbl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7. 탐지 및 차단 기록</w:t>
      </w:r>
    </w:p>
    <w:p>
      <w:pPr>
        <w:spacing w:after="100" w:line="300"/>
      </w:pPr>
      <w:r>
        <w:rPr>
          <w:rFonts w:ascii="맑은 고딕" w:cs="맑은 고딕" w:eastAsia="맑은 고딕" w:hAnsi="맑은 고딕"/>
          <w:b w:val="false"/>
          <w:bCs w:val="false"/>
          <w:color w:val="333333"/>
          <w:sz w:val="20"/>
          <w:szCs w:val="20"/>
        </w:rPr>
        <w:t xml:space="preserve">국외 접속은 시행 여부와 무관하게 상시 기록한다. 시행 전에는 탐지 기록만 남기고, 시행 후에는 차단 기록이 함께 남는다.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기록 항목: 시각·계정·소속 고객사·접속 IP·처리 결과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열람 권한: 대표 및 지정된 운영 담당 계정만 조회할 수 있다.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차단 시 이용자에게는 국내에서만 접속할 수 있다는 안내와 예외 등록 요청 방법을 표시한다.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8. 시행 일정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5055"/>
        <w:gridCol w:w="2166"/>
      </w:tblGrid>
      <w:tr>
        <w:trPr>
          <w:tblHeader/>
        </w:trPr>
        <w:tc>
          <w:tcPr>
            <w:tcW w:type="dxa" w:w="180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5055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내용</w:t>
            </w:r>
          </w:p>
        </w:tc>
        <w:tc>
          <w:tcPr>
            <w:tcW w:type="dxa" w:w="216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시점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통제 구현</w:t>
            </w:r>
          </w:p>
        </w:tc>
        <w:tc>
          <w:tcPr>
            <w:tcW w:type="dxa" w:w="50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판정·예외 승인·기록 기능 적용 완료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대역 등록</w:t>
            </w:r>
          </w:p>
        </w:tc>
        <w:tc>
          <w:tcPr>
            <w:tcW w:type="dxa" w:w="50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국내 할당 대역 등록 및 갱신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8월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탐지 운영</w:t>
            </w:r>
          </w:p>
        </w:tc>
        <w:tc>
          <w:tcPr>
            <w:tcW w:type="dxa" w:w="50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정상 접속 중 오탐 대역 확인 및 제거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9월</w:t>
            </w:r>
          </w:p>
        </w:tc>
      </w:tr>
      <w:tr>
        <w:tc>
          <w:tcPr>
            <w:tcW w:type="dxa" w:w="180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차단 시행</w:t>
            </w:r>
          </w:p>
        </w:tc>
        <w:tc>
          <w:tcPr>
            <w:tcW w:type="dxa" w:w="50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국외 접속 차단 개시</w:t>
            </w:r>
          </w:p>
        </w:tc>
        <w:tc>
          <w:tcPr>
            <w:tcW w:type="dxa" w:w="216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9"/>
                <w:szCs w:val="19"/>
              </w:rPr>
              <w:t xml:space="preserve">2026년 10월 1일</w:t>
            </w:r>
          </w:p>
        </w:tc>
      </w:tr>
    </w:tbl>
    <w:p>
      <w:pPr>
        <w:pBdr>
          <w:left w:val="single" w:color="888888" w:sz="12" w:space="12"/>
        </w:pBdr>
        <w:spacing w:after="160" w:before="120" w:line="300"/>
        <w:ind w:left="20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현재는 탐지 기록 단계이며 국외 접속 발생 건수는 0건이다. 차단 결과 기록이 비어 있는 것은 이 때문이다.</w:t>
      </w:r>
    </w:p>
    <w:p>
      <w:pPr>
        <w:pStyle w:val="Heading1"/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9. 별첨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접근제어 정책 화면(차단 정책·허용 대역·시행 예정일)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관리자 수동 승인 대장 및 탐지·차단 결과 기록 화면</w:t>
      </w:r>
    </w:p>
    <w:p>
      <w:pPr>
        <w:spacing w:after="80" w:line="300"/>
        <w:ind w:left="340" w:hanging="18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· 국내 할당 대역 출처 확인 화면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2026-08-27T21:46:30.743Z</dcterms:created>
  <dcterms:modified xsi:type="dcterms:W3CDTF">2026-08-27T21:46:30.743Z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