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40"/>
          <w:szCs w:val="40"/>
        </w:rPr>
        <w:t xml:space="preserve">Superstore Sales Analysis Project</w:t>
      </w:r>
    </w:p>
    <w:p>
      <w:pPr>
        <w:bidi/>
        <w:spacing w:after="300"/>
        <w:jc w:val="center"/>
      </w:pPr>
      <w:r>
        <w:rPr>
          <w:rFonts w:ascii="Arial" w:cs="Arial" w:eastAsia="Arial" w:hAnsi="Arial"/>
          <w:b/>
          <w:bCs/>
          <w:color w:val="444444"/>
          <w:sz w:val="24"/>
          <w:szCs w:val="24"/>
          <w:rtl/>
        </w:rPr>
        <w:t xml:space="preserve">توثيق مراحل تحليل البيانات: Define → Clean → Model → Analyze → Decide</w:t>
      </w:r>
    </w:p>
    <w:p>
      <w:pPr>
        <w:pStyle w:val="Heading1"/>
        <w:bidi/>
        <w:spacing w:after="160" w:before="300"/>
        <w:jc w:val="right"/>
      </w:pPr>
      <w:r>
        <w:rPr>
          <w:rFonts w:ascii="Arial" w:cs="Arial" w:eastAsia="Arial" w:hAnsi="Arial"/>
          <w:b/>
          <w:bCs/>
          <w:sz w:val="32"/>
          <w:szCs w:val="32"/>
          <w:rtl/>
        </w:rPr>
        <w:t xml:space="preserve">1. Define Phase — Understanding the Data</w:t>
      </w:r>
    </w:p>
    <w:p>
      <w:pPr>
        <w:pStyle w:val="Heading2"/>
        <w:bidi/>
        <w:spacing w:after="120" w:before="240"/>
        <w:jc w:val="right"/>
      </w:pPr>
      <w:r>
        <w:rPr>
          <w:rFonts w:ascii="Arial" w:cs="Arial" w:eastAsia="Arial" w:hAnsi="Arial"/>
          <w:b/>
          <w:bCs/>
          <w:sz w:val="26"/>
          <w:szCs w:val="26"/>
          <w:rtl/>
        </w:rPr>
        <w:t xml:space="preserve">Dataset Overview</w:t>
      </w:r>
    </w:p>
    <w:p>
      <w:pPr>
        <w:pStyle w:val="ListParagraph"/>
        <w:numPr>
          <w:ilvl w:val="0"/>
          <w:numId w:val="2"/>
        </w:numPr>
        <w:bidi/>
        <w:spacing w:after="90"/>
        <w:jc w:val="right"/>
      </w:pPr>
      <w:r>
        <w:rPr>
          <w:rFonts w:ascii="Arial" w:cs="Arial" w:eastAsia="Arial" w:hAnsi="Arial"/>
          <w:rtl/>
        </w:rPr>
        <w:t xml:space="preserve">الداتا سيت (Sample - Superstore) عبارة عن بيانات مبيعات شركة تجزئة أمريكية، بتغطي تفاصيل الطلبات (Orders)، الشحن، العملاء، المنتجات، والقيم المالية (Sales, Profit, Discount, Quantity).</w:t>
      </w:r>
    </w:p>
    <w:p>
      <w:pPr>
        <w:pStyle w:val="ListParagraph"/>
        <w:numPr>
          <w:ilvl w:val="0"/>
          <w:numId w:val="2"/>
        </w:numPr>
        <w:bidi/>
        <w:spacing w:after="90"/>
        <w:jc w:val="right"/>
      </w:pPr>
      <w:r>
        <w:rPr>
          <w:rFonts w:ascii="Arial" w:cs="Arial" w:eastAsia="Arial" w:hAnsi="Arial"/>
          <w:rtl/>
        </w:rPr>
        <w:t xml:space="preserve">عدد الصفوف (Fact Table): 9,994.</w:t>
      </w:r>
    </w:p>
    <w:p>
      <w:pPr>
        <w:pStyle w:val="ListParagraph"/>
        <w:numPr>
          <w:ilvl w:val="0"/>
          <w:numId w:val="2"/>
        </w:numPr>
        <w:bidi/>
        <w:spacing w:after="90"/>
        <w:jc w:val="right"/>
      </w:pPr>
      <w:r>
        <w:rPr>
          <w:rFonts w:ascii="Arial" w:cs="Arial" w:eastAsia="Arial" w:hAnsi="Arial"/>
          <w:rtl/>
        </w:rPr>
        <w:t xml:space="preserve">عدد الأعمدة: 21 عمود قبل الـData Modeling.</w:t>
      </w:r>
    </w:p>
    <w:p>
      <w:pPr>
        <w:pStyle w:val="ListParagraph"/>
        <w:numPr>
          <w:ilvl w:val="0"/>
          <w:numId w:val="2"/>
        </w:numPr>
        <w:bidi/>
        <w:spacing w:after="90"/>
        <w:jc w:val="right"/>
      </w:pPr>
      <w:r>
        <w:rPr>
          <w:rFonts w:ascii="Arial" w:cs="Arial" w:eastAsia="Arial" w:hAnsi="Arial"/>
          <w:rtl/>
        </w:rPr>
        <w:t xml:space="preserve">الفترة الزمنية اللي بتغطيها الداتا: من 2014-01-02 لحد 2017-12-30 (4 سنين بيانات).</w:t>
      </w:r>
    </w:p>
    <w:p>
      <w:pPr>
        <w:pStyle w:val="ListParagraph"/>
        <w:numPr>
          <w:ilvl w:val="0"/>
          <w:numId w:val="2"/>
        </w:numPr>
        <w:bidi/>
        <w:spacing w:after="90"/>
        <w:jc w:val="right"/>
      </w:pPr>
      <w:r>
        <w:rPr>
          <w:rFonts w:ascii="Arial" w:cs="Arial" w:eastAsia="Arial" w:hAnsi="Arial"/>
          <w:rtl/>
        </w:rPr>
        <w:t xml:space="preserve">مفيش عمود Target واضح زي مشروع الـHotel Booking، الهدف هنا كان تحليل الأداء (Sales/Profit) مش تصنيف/توقع.</w:t>
      </w:r>
    </w:p>
    <w:p>
      <w:pPr>
        <w:pStyle w:val="Heading2"/>
        <w:bidi/>
        <w:spacing w:after="120" w:before="240"/>
        <w:jc w:val="right"/>
      </w:pPr>
      <w:r>
        <w:rPr>
          <w:rFonts w:ascii="Arial" w:cs="Arial" w:eastAsia="Arial" w:hAnsi="Arial"/>
          <w:b/>
          <w:bCs/>
          <w:sz w:val="26"/>
          <w:szCs w:val="26"/>
          <w:rtl/>
        </w:rPr>
        <w:t xml:space="preserve">Column Categories</w:t>
      </w:r>
    </w:p>
    <w:p>
      <w:pPr>
        <w:pStyle w:val="Heading3"/>
        <w:bidi/>
        <w:spacing w:after="100" w:before="180"/>
        <w:jc w:val="right"/>
      </w:pPr>
      <w:r>
        <w:rPr>
          <w:rFonts w:ascii="Arial" w:cs="Arial" w:eastAsia="Arial" w:hAnsi="Arial"/>
          <w:b/>
          <w:bCs/>
          <w:sz w:val="23"/>
          <w:szCs w:val="23"/>
          <w:rtl/>
        </w:rPr>
        <w:t xml:space="preserve">1. Order &amp; Shipping Info</w:t>
      </w:r>
    </w:p>
    <w:p>
      <w:pPr>
        <w:pStyle w:val="ListParagraph"/>
        <w:numPr>
          <w:ilvl w:val="0"/>
          <w:numId w:val="2"/>
        </w:numPr>
        <w:bidi/>
        <w:spacing w:after="90"/>
        <w:jc w:val="right"/>
      </w:pPr>
      <w:r>
        <w:rPr>
          <w:rFonts w:ascii="Arial" w:cs="Arial" w:eastAsia="Arial" w:hAnsi="Arial"/>
          <w:rtl/>
        </w:rPr>
        <w:t xml:space="preserve">Row ID, Order ID — مُعرّفات الصف والطلب.</w:t>
      </w:r>
    </w:p>
    <w:p>
      <w:pPr>
        <w:pStyle w:val="ListParagraph"/>
        <w:numPr>
          <w:ilvl w:val="0"/>
          <w:numId w:val="2"/>
        </w:numPr>
        <w:bidi/>
        <w:spacing w:after="90"/>
        <w:jc w:val="right"/>
      </w:pPr>
      <w:r>
        <w:rPr>
          <w:rFonts w:ascii="Arial" w:cs="Arial" w:eastAsia="Arial" w:hAnsi="Arial"/>
          <w:rtl/>
        </w:rPr>
        <w:t xml:space="preserve">Order Date, Ship Date — تاريخ الطلب وتاريخ الشحن.</w:t>
      </w:r>
    </w:p>
    <w:p>
      <w:pPr>
        <w:pStyle w:val="ListParagraph"/>
        <w:numPr>
          <w:ilvl w:val="0"/>
          <w:numId w:val="2"/>
        </w:numPr>
        <w:bidi/>
        <w:spacing w:after="90"/>
        <w:jc w:val="right"/>
      </w:pPr>
      <w:r>
        <w:rPr>
          <w:rFonts w:ascii="Arial" w:cs="Arial" w:eastAsia="Arial" w:hAnsi="Arial"/>
          <w:rtl/>
        </w:rPr>
        <w:t xml:space="preserve">Ship Mode — طريقة الشحن (Standard Class, Second Class, First Class, Same Day).</w:t>
      </w:r>
    </w:p>
    <w:p>
      <w:pPr>
        <w:pStyle w:val="Heading3"/>
        <w:bidi/>
        <w:spacing w:after="100" w:before="180"/>
        <w:jc w:val="right"/>
      </w:pPr>
      <w:r>
        <w:rPr>
          <w:rFonts w:ascii="Arial" w:cs="Arial" w:eastAsia="Arial" w:hAnsi="Arial"/>
          <w:b/>
          <w:bCs/>
          <w:sz w:val="23"/>
          <w:szCs w:val="23"/>
          <w:rtl/>
        </w:rPr>
        <w:t xml:space="preserve">2. Customer Info</w:t>
      </w:r>
    </w:p>
    <w:p>
      <w:pPr>
        <w:pStyle w:val="ListParagraph"/>
        <w:numPr>
          <w:ilvl w:val="0"/>
          <w:numId w:val="2"/>
        </w:numPr>
        <w:bidi/>
        <w:spacing w:after="90"/>
        <w:jc w:val="right"/>
      </w:pPr>
      <w:r>
        <w:rPr>
          <w:rFonts w:ascii="Arial" w:cs="Arial" w:eastAsia="Arial" w:hAnsi="Arial"/>
          <w:rtl/>
        </w:rPr>
        <w:t xml:space="preserve">Customer ID, Customer Name — مُعرّف واسم العميل.</w:t>
      </w:r>
    </w:p>
    <w:p>
      <w:pPr>
        <w:pStyle w:val="ListParagraph"/>
        <w:numPr>
          <w:ilvl w:val="0"/>
          <w:numId w:val="2"/>
        </w:numPr>
        <w:bidi/>
        <w:spacing w:after="90"/>
        <w:jc w:val="right"/>
      </w:pPr>
      <w:r>
        <w:rPr>
          <w:rFonts w:ascii="Arial" w:cs="Arial" w:eastAsia="Arial" w:hAnsi="Arial"/>
          <w:rtl/>
        </w:rPr>
        <w:t xml:space="preserve">Segment — شريحة العميل (Consumer, Corporate, Home Office).</w:t>
      </w:r>
    </w:p>
    <w:p>
      <w:pPr>
        <w:pStyle w:val="Heading3"/>
        <w:bidi/>
        <w:spacing w:after="100" w:before="180"/>
        <w:jc w:val="right"/>
      </w:pPr>
      <w:r>
        <w:rPr>
          <w:rFonts w:ascii="Arial" w:cs="Arial" w:eastAsia="Arial" w:hAnsi="Arial"/>
          <w:b/>
          <w:bCs/>
          <w:sz w:val="23"/>
          <w:szCs w:val="23"/>
          <w:rtl/>
        </w:rPr>
        <w:t xml:space="preserve">3. Location Info</w:t>
      </w:r>
    </w:p>
    <w:p>
      <w:pPr>
        <w:pStyle w:val="ListParagraph"/>
        <w:numPr>
          <w:ilvl w:val="0"/>
          <w:numId w:val="2"/>
        </w:numPr>
        <w:bidi/>
        <w:spacing w:after="90"/>
        <w:jc w:val="right"/>
      </w:pPr>
      <w:r>
        <w:rPr>
          <w:rFonts w:ascii="Arial" w:cs="Arial" w:eastAsia="Arial" w:hAnsi="Arial"/>
          <w:rtl/>
        </w:rPr>
        <w:t xml:space="preserve">Country, City, State, Postal Code, Region — تفاصيل موقع العميل/الطلب.</w:t>
      </w:r>
    </w:p>
    <w:p>
      <w:pPr>
        <w:pStyle w:val="Heading3"/>
        <w:bidi/>
        <w:spacing w:after="100" w:before="180"/>
        <w:jc w:val="right"/>
      </w:pPr>
      <w:r>
        <w:rPr>
          <w:rFonts w:ascii="Arial" w:cs="Arial" w:eastAsia="Arial" w:hAnsi="Arial"/>
          <w:b/>
          <w:bCs/>
          <w:sz w:val="23"/>
          <w:szCs w:val="23"/>
          <w:rtl/>
        </w:rPr>
        <w:t xml:space="preserve">4. Product Info</w:t>
      </w:r>
    </w:p>
    <w:p>
      <w:pPr>
        <w:pStyle w:val="ListParagraph"/>
        <w:numPr>
          <w:ilvl w:val="0"/>
          <w:numId w:val="2"/>
        </w:numPr>
        <w:bidi/>
        <w:spacing w:after="90"/>
        <w:jc w:val="right"/>
      </w:pPr>
      <w:r>
        <w:rPr>
          <w:rFonts w:ascii="Arial" w:cs="Arial" w:eastAsia="Arial" w:hAnsi="Arial"/>
          <w:rtl/>
        </w:rPr>
        <w:t xml:space="preserve">Product ID, Category, Sub-Category, Product Name — تفاصيل المنتج (3 Categories، 17 Sub-Category).</w:t>
      </w:r>
    </w:p>
    <w:p>
      <w:pPr>
        <w:pStyle w:val="Heading3"/>
        <w:bidi/>
        <w:spacing w:after="100" w:before="180"/>
        <w:jc w:val="right"/>
      </w:pPr>
      <w:r>
        <w:rPr>
          <w:rFonts w:ascii="Arial" w:cs="Arial" w:eastAsia="Arial" w:hAnsi="Arial"/>
          <w:b/>
          <w:bCs/>
          <w:sz w:val="23"/>
          <w:szCs w:val="23"/>
          <w:rtl/>
        </w:rPr>
        <w:t xml:space="preserve">5. Financial Metrics</w:t>
      </w:r>
    </w:p>
    <w:p>
      <w:pPr>
        <w:pStyle w:val="ListParagraph"/>
        <w:numPr>
          <w:ilvl w:val="0"/>
          <w:numId w:val="2"/>
        </w:numPr>
        <w:bidi/>
        <w:spacing w:after="90"/>
        <w:jc w:val="right"/>
      </w:pPr>
      <w:r>
        <w:rPr>
          <w:rFonts w:ascii="Arial" w:cs="Arial" w:eastAsia="Arial" w:hAnsi="Arial"/>
          <w:rtl/>
        </w:rPr>
        <w:t xml:space="preserve">Sales, Quantity, Discount, Profit — القيم المالية اللي بُنيت عليها كل الـKPIs.</w:t>
      </w:r>
    </w:p>
    <w:p>
      <w:pPr>
        <w:pStyle w:val="Heading2"/>
        <w:bidi/>
        <w:spacing w:after="120" w:before="240"/>
        <w:jc w:val="right"/>
      </w:pPr>
      <w:r>
        <w:rPr>
          <w:rFonts w:ascii="Arial" w:cs="Arial" w:eastAsia="Arial" w:hAnsi="Arial"/>
          <w:b/>
          <w:bCs/>
          <w:sz w:val="26"/>
          <w:szCs w:val="26"/>
          <w:rtl/>
        </w:rPr>
        <w:t xml:space="preserve">Meta Data Sheet</w:t>
      </w:r>
    </w:p>
    <w:p>
      <w:pPr>
        <w:pStyle w:val="ListParagraph"/>
        <w:numPr>
          <w:ilvl w:val="0"/>
          <w:numId w:val="2"/>
        </w:numPr>
        <w:bidi/>
        <w:spacing w:after="90"/>
        <w:jc w:val="right"/>
      </w:pPr>
      <w:r>
        <w:rPr>
          <w:rFonts w:ascii="Arial" w:cs="Arial" w:eastAsia="Arial" w:hAnsi="Arial"/>
          <w:rtl/>
        </w:rPr>
        <w:t xml:space="preserve">قبل ما أدخل في التنظيف، عملت شيت منفصل اسمه "Meta Data" فيه عمودين: الأول (Header Names) بكل أسماء الأعمدة، والتاني (Uniqe Values) فيه عينة من القيم الفريدة (Unique Values) لأهم الأعمدة الـCategorical زي Segment, City, State, Region, Category, Sub-Category, و Product Name.</w:t>
      </w:r>
    </w:p>
    <w:p>
      <w:pPr>
        <w:pStyle w:val="ListParagraph"/>
        <w:numPr>
          <w:ilvl w:val="0"/>
          <w:numId w:val="2"/>
        </w:numPr>
        <w:bidi/>
        <w:spacing w:after="90"/>
        <w:jc w:val="right"/>
      </w:pPr>
      <w:r>
        <w:rPr>
          <w:rFonts w:ascii="Arial" w:cs="Arial" w:eastAsia="Arial" w:hAnsi="Arial"/>
          <w:rtl/>
        </w:rPr>
        <w:t xml:space="preserve">الهدف من الشيت ده كان أفهم شكل الداتا وأتأكد من القيم الموجودة (مفيش Typos أو تكرار بأسماء مختلفة) قبل ما أبني عليها أي Cleaning أو Modeling.</w:t>
      </w:r>
    </w:p>
    <w:p>
      <w:pPr>
        <w:pStyle w:val="Heading2"/>
        <w:bidi/>
        <w:spacing w:after="120" w:before="240"/>
        <w:jc w:val="right"/>
      </w:pPr>
      <w:r>
        <w:rPr>
          <w:rFonts w:ascii="Arial" w:cs="Arial" w:eastAsia="Arial" w:hAnsi="Arial"/>
          <w:b/>
          <w:bCs/>
          <w:sz w:val="26"/>
          <w:szCs w:val="26"/>
          <w:rtl/>
        </w:rPr>
        <w:t xml:space="preserve">Initial Observations</w:t>
      </w:r>
    </w:p>
    <w:p>
      <w:pPr>
        <w:pStyle w:val="ListParagraph"/>
        <w:numPr>
          <w:ilvl w:val="0"/>
          <w:numId w:val="2"/>
        </w:numPr>
        <w:bidi/>
        <w:spacing w:after="90"/>
        <w:jc w:val="right"/>
      </w:pPr>
      <w:r>
        <w:rPr>
          <w:rFonts w:ascii="Arial" w:cs="Arial" w:eastAsia="Arial" w:hAnsi="Arial"/>
          <w:rtl/>
        </w:rPr>
        <w:t xml:space="preserve">عدد الأعمدة المطلوب فحصها كان كبير نسبيًا (21 عمود)، فاتقسمت لفئات زي ما فوق عشان التعامل معاها يبقى منظم.</w:t>
      </w:r>
    </w:p>
    <w:p>
      <w:pPr>
        <w:pStyle w:val="ListParagraph"/>
        <w:numPr>
          <w:ilvl w:val="0"/>
          <w:numId w:val="2"/>
        </w:numPr>
        <w:bidi/>
        <w:spacing w:after="90"/>
        <w:jc w:val="right"/>
      </w:pPr>
      <w:r>
        <w:rPr>
          <w:rFonts w:ascii="Arial" w:cs="Arial" w:eastAsia="Arial" w:hAnsi="Arial"/>
          <w:rtl/>
        </w:rPr>
        <w:t xml:space="preserve">أعمدة الموقع (Country, City, State) والتاريخ (Order Date, Ship Date) كانوا محتاجين أكبر تدخل في مرحلة التنظيف.</w:t>
      </w:r>
    </w:p>
    <w:tbl>
      <w:tblPr>
        <w:tblW w:type="pct" w:w="100%"/>
        <w:tblBorders>
          <w:top w:val="single" w:color="555555" w:sz="4"/>
          <w:left w:val="single" w:color="555555" w:sz="4"/>
          <w:bottom w:val="single" w:color="555555" w:sz="4"/>
          <w:right w:val="single" w:color="555555"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bidi/>
              <w:spacing w:after="80"/>
              <w:jc w:val="right"/>
            </w:pPr>
            <w:r>
              <w:rPr>
                <w:rFonts w:ascii="Arial" w:cs="Arial" w:eastAsia="Arial" w:hAnsi="Arial"/>
                <w:b/>
                <w:bCs/>
                <w:rtl/>
              </w:rPr>
              <w:t xml:space="preserve">ملاحظة جودة بيانات:</w:t>
            </w:r>
          </w:p>
          <w:p>
            <w:pPr>
              <w:bidi/>
              <w:spacing w:after="60"/>
              <w:jc w:val="right"/>
            </w:pPr>
            <w:r>
              <w:rPr>
                <w:rFonts w:ascii="Arial" w:cs="Arial" w:eastAsia="Arial" w:hAnsi="Arial"/>
                <w:rtl/>
              </w:rPr>
              <w:t xml:space="preserve">أثناء فحص عمودي Order Date و Ship Date في Power Query، لوحظ إنهم متسجلين بشكل غير متسق داخل نفس العمود.</w:t>
            </w:r>
          </w:p>
          <w:p>
            <w:pPr>
              <w:bidi/>
              <w:spacing w:after="60"/>
              <w:jc w:val="right"/>
            </w:pPr>
            <w:r>
              <w:rPr>
                <w:rFonts w:ascii="Arial" w:cs="Arial" w:eastAsia="Arial" w:hAnsi="Arial"/>
                <w:rtl/>
              </w:rPr>
              <w:t xml:space="preserve">جزء من الصفوف (5,952 صف تقريبًا، حوالي 60% من الداتا) كانت القيمة فيه متسجلة كنص Text، زي 4/15/2017.</w:t>
            </w:r>
          </w:p>
          <w:p>
            <w:pPr>
              <w:bidi/>
              <w:spacing w:after="60"/>
              <w:jc w:val="right"/>
            </w:pPr>
            <w:r>
              <w:rPr>
                <w:rFonts w:ascii="Arial" w:cs="Arial" w:eastAsia="Arial" w:hAnsi="Arial"/>
                <w:rtl/>
              </w:rPr>
              <w:t xml:space="preserve">والجزء التاني (4,042 صف) كان متسجل كرقم تسلسلي Serial Number لنفس التاريخ.</w:t>
            </w:r>
          </w:p>
          <w:p>
            <w:pPr>
              <w:bidi/>
              <w:spacing w:after="60"/>
              <w:jc w:val="right"/>
            </w:pPr>
            <w:r>
              <w:rPr>
                <w:rFonts w:ascii="Arial" w:cs="Arial" w:eastAsia="Arial" w:hAnsi="Arial"/>
                <w:rtl/>
              </w:rPr>
              <w:t xml:space="preserve">النوعين المختلطين دول كانوا بيمنعوا أي عملية Sort أو Filter أو Grouping صحيحة بالتاريخ.</w:t>
            </w:r>
          </w:p>
        </w:tc>
      </w:tr>
    </w:tbl>
    <w:p>
      <w:pPr>
        <w:pStyle w:val="Heading1"/>
        <w:bidi/>
        <w:spacing w:after="160" w:before="300"/>
        <w:jc w:val="right"/>
      </w:pPr>
      <w:r>
        <w:rPr>
          <w:rFonts w:ascii="Arial" w:cs="Arial" w:eastAsia="Arial" w:hAnsi="Arial"/>
          <w:b/>
          <w:bCs/>
          <w:sz w:val="32"/>
          <w:szCs w:val="32"/>
          <w:rtl/>
        </w:rPr>
        <w:t xml:space="preserve">2. Cleaning, Processing &amp; Data Modeling Phase</w:t>
      </w:r>
    </w:p>
    <w:p>
      <w:pPr>
        <w:pStyle w:val="Heading2"/>
        <w:bidi/>
        <w:spacing w:after="120" w:before="240"/>
        <w:jc w:val="right"/>
      </w:pPr>
      <w:r>
        <w:rPr>
          <w:rFonts w:ascii="Arial" w:cs="Arial" w:eastAsia="Arial" w:hAnsi="Arial"/>
          <w:b/>
          <w:bCs/>
          <w:sz w:val="26"/>
          <w:szCs w:val="26"/>
          <w:rtl/>
        </w:rPr>
        <w:t xml:space="preserve">2.1 Data Type Corrections</w:t>
      </w:r>
    </w:p>
    <w:p>
      <w:pPr>
        <w:pStyle w:val="ListParagraph"/>
        <w:numPr>
          <w:ilvl w:val="0"/>
          <w:numId w:val="2"/>
        </w:numPr>
        <w:bidi/>
        <w:spacing w:after="90"/>
        <w:jc w:val="right"/>
      </w:pPr>
      <w:r>
        <w:rPr>
          <w:rFonts w:ascii="Arial" w:cs="Arial" w:eastAsia="Arial" w:hAnsi="Arial"/>
          <w:rtl/>
        </w:rPr>
        <w:t xml:space="preserve">أول خطوة كانت توحيد نوع البيانات (Data Type) بتاع Order Date و Ship Date في Power Query، وتحويلهم من مزيج (Text / Number) لنوع Date موحّد.</w:t>
      </w:r>
    </w:p>
    <w:p>
      <w:pPr>
        <w:pStyle w:val="ListParagraph"/>
        <w:numPr>
          <w:ilvl w:val="0"/>
          <w:numId w:val="2"/>
        </w:numPr>
        <w:bidi/>
        <w:spacing w:after="90"/>
        <w:jc w:val="right"/>
      </w:pPr>
      <w:r>
        <w:rPr>
          <w:rFonts w:ascii="Arial" w:cs="Arial" w:eastAsia="Arial" w:hAnsi="Arial"/>
          <w:rtl/>
        </w:rPr>
        <w:t xml:space="preserve">راجعت كمان باقي الأعمدة (زي Postal Code) للتأكد إن نوع البيانات مناسب لطبيعة العمود.</w:t>
      </w:r>
    </w:p>
    <w:tbl>
      <w:tblPr>
        <w:tblW w:type="pct" w:w="100%"/>
        <w:tblBorders>
          <w:top w:val="single" w:color="555555" w:sz="4"/>
          <w:left w:val="single" w:color="555555" w:sz="4"/>
          <w:bottom w:val="single" w:color="555555" w:sz="4"/>
          <w:right w:val="single" w:color="555555"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bidi/>
              <w:spacing w:after="80"/>
              <w:jc w:val="right"/>
            </w:pPr>
            <w:r>
              <w:rPr>
                <w:rFonts w:ascii="Arial" w:cs="Arial" w:eastAsia="Arial" w:hAnsi="Arial"/>
                <w:b/>
                <w:bCs/>
                <w:rtl/>
              </w:rPr>
              <w:t xml:space="preserve">ملاحظة منهجية:</w:t>
            </w:r>
          </w:p>
          <w:p>
            <w:pPr>
              <w:bidi/>
              <w:spacing w:after="60"/>
              <w:jc w:val="right"/>
            </w:pPr>
            <w:r>
              <w:rPr>
                <w:rFonts w:ascii="Arial" w:cs="Arial" w:eastAsia="Arial" w:hAnsi="Arial"/>
                <w:rtl/>
              </w:rPr>
              <w:t xml:space="preserve">بعد توحيد النوع لـDate، ظهر إن فيه حوالي 1,708 صف الـShip Date فيها أقدم من الـOrder Date، وده على الأغلب راجع لالتباس في صيغة التاريخ الأصلية (Month/Day مقابل Day/Month) في الصفوف اللي كانت متسجلة كنص. الصفوف دي اتسجلت كـFlag للمتابعة في مرحلة تحليل لاحقة، ومتتصححش في التكرار الحالي عشان محتاجة رجوع للمصدر الأصلي للتأكد من الصيغة الصح.</w:t>
            </w:r>
          </w:p>
        </w:tc>
      </w:tr>
    </w:tbl>
    <w:p>
      <w:pPr>
        <w:pStyle w:val="Heading2"/>
        <w:bidi/>
        <w:spacing w:after="120" w:before="240"/>
        <w:jc w:val="right"/>
      </w:pPr>
      <w:r>
        <w:rPr>
          <w:rFonts w:ascii="Arial" w:cs="Arial" w:eastAsia="Arial" w:hAnsi="Arial"/>
          <w:b/>
          <w:bCs/>
          <w:sz w:val="26"/>
          <w:szCs w:val="26"/>
          <w:rtl/>
        </w:rPr>
        <w:t xml:space="preserve">2.2 Handling Missing Values (Nulls)</w:t>
      </w:r>
    </w:p>
    <w:p>
      <w:pPr>
        <w:pStyle w:val="ListParagraph"/>
        <w:numPr>
          <w:ilvl w:val="0"/>
          <w:numId w:val="2"/>
        </w:numPr>
        <w:bidi/>
        <w:spacing w:after="90"/>
        <w:jc w:val="right"/>
      </w:pPr>
      <w:r>
        <w:rPr>
          <w:rFonts w:ascii="Arial" w:cs="Arial" w:eastAsia="Arial" w:hAnsi="Arial"/>
          <w:rtl/>
        </w:rPr>
        <w:t xml:space="preserve">راجعت الداتا سيت بالكامل في Power Query بحثًا عن Nulls، ولقيت عدد منها في بعض الأعمدة.</w:t>
      </w:r>
    </w:p>
    <w:p>
      <w:pPr>
        <w:pStyle w:val="ListParagraph"/>
        <w:numPr>
          <w:ilvl w:val="0"/>
          <w:numId w:val="2"/>
        </w:numPr>
        <w:bidi/>
        <w:spacing w:after="90"/>
        <w:jc w:val="right"/>
      </w:pPr>
      <w:r>
        <w:rPr>
          <w:rFonts w:ascii="Arial" w:cs="Arial" w:eastAsia="Arial" w:hAnsi="Arial"/>
          <w:rtl/>
        </w:rPr>
        <w:t xml:space="preserve">اتعامل مع الـNulls دي حسب طبيعة كل عمود (Remove أو Replace) بدل ما أسيبها تأثر على دقة الـKPIs بعدين، خصوصًا في أعمدة الـLocation والـFinancial.</w:t>
      </w:r>
    </w:p>
    <w:p>
      <w:pPr>
        <w:pStyle w:val="Heading2"/>
        <w:bidi/>
        <w:spacing w:after="120" w:before="240"/>
        <w:jc w:val="right"/>
      </w:pPr>
      <w:r>
        <w:rPr>
          <w:rFonts w:ascii="Arial" w:cs="Arial" w:eastAsia="Arial" w:hAnsi="Arial"/>
          <w:b/>
          <w:bCs/>
          <w:sz w:val="26"/>
          <w:szCs w:val="26"/>
          <w:rtl/>
        </w:rPr>
        <w:t xml:space="preserve">2.3 Format Adjustments (Quarter Format)</w:t>
      </w:r>
    </w:p>
    <w:p>
      <w:pPr>
        <w:pStyle w:val="ListParagraph"/>
        <w:numPr>
          <w:ilvl w:val="0"/>
          <w:numId w:val="2"/>
        </w:numPr>
        <w:bidi/>
        <w:spacing w:after="90"/>
        <w:jc w:val="right"/>
      </w:pPr>
      <w:r>
        <w:rPr>
          <w:rFonts w:ascii="Arial" w:cs="Arial" w:eastAsia="Arial" w:hAnsi="Arial"/>
          <w:rtl/>
        </w:rPr>
        <w:t xml:space="preserve">لاحظت إن فورمات بعض الأعمدة مش مناسب للعرض والتحليل، وأوضح مثال كان عمود الـQuarter، فغيرت الفورمات بتاعه عشان يبقى متسق وسهل القراءة في الـPivotTables والـSlicers.</w:t>
      </w:r>
    </w:p>
    <w:p>
      <w:pPr>
        <w:pStyle w:val="Heading2"/>
        <w:bidi/>
        <w:spacing w:after="120" w:before="240"/>
        <w:jc w:val="right"/>
      </w:pPr>
      <w:r>
        <w:rPr>
          <w:rFonts w:ascii="Arial" w:cs="Arial" w:eastAsia="Arial" w:hAnsi="Arial"/>
          <w:b/>
          <w:bCs/>
          <w:sz w:val="26"/>
          <w:szCs w:val="26"/>
          <w:rtl/>
        </w:rPr>
        <w:t xml:space="preserve">2.4 Splitting Combined Columns (Country / City / State)</w:t>
      </w:r>
    </w:p>
    <w:p>
      <w:pPr>
        <w:pStyle w:val="ListParagraph"/>
        <w:numPr>
          <w:ilvl w:val="0"/>
          <w:numId w:val="2"/>
        </w:numPr>
        <w:bidi/>
        <w:spacing w:after="90"/>
        <w:jc w:val="right"/>
      </w:pPr>
      <w:r>
        <w:rPr>
          <w:rFonts w:ascii="Arial" w:cs="Arial" w:eastAsia="Arial" w:hAnsi="Arial"/>
          <w:rtl/>
        </w:rPr>
        <w:t xml:space="preserve">لقيت إن بعض أعمدة الموقع داخلة في بعض، زي عمود الـCountry والـCity والـState، ففصلت كل عمود عن التاني في Power Query عشان يبقى كل مستوى جغرافي في عمود مستقل قابل للـFilter والـGrouping لوحده.</w:t>
      </w:r>
    </w:p>
    <w:p>
      <w:pPr>
        <w:pStyle w:val="Heading2"/>
        <w:bidi/>
        <w:spacing w:after="120" w:before="240"/>
        <w:jc w:val="right"/>
      </w:pPr>
      <w:r>
        <w:rPr>
          <w:rFonts w:ascii="Arial" w:cs="Arial" w:eastAsia="Arial" w:hAnsi="Arial"/>
          <w:b/>
          <w:bCs/>
          <w:sz w:val="26"/>
          <w:szCs w:val="26"/>
          <w:rtl/>
        </w:rPr>
        <w:t xml:space="preserve">2.5 Building the Date Table (Data Modeling)</w:t>
      </w:r>
    </w:p>
    <w:p>
      <w:pPr>
        <w:pStyle w:val="ListParagraph"/>
        <w:numPr>
          <w:ilvl w:val="0"/>
          <w:numId w:val="2"/>
        </w:numPr>
        <w:bidi/>
        <w:spacing w:after="90"/>
        <w:jc w:val="right"/>
      </w:pPr>
      <w:r>
        <w:rPr>
          <w:rFonts w:ascii="Arial" w:cs="Arial" w:eastAsia="Arial" w:hAnsi="Arial"/>
          <w:rtl/>
        </w:rPr>
        <w:t xml:space="preserve">عملت جدول جديد مستقل اسمه Date، خاص بالتعامل مع التواريخ، فيه: Order Date, Year, Quarter, Month, Month Name, Day, Day Name.</w:t>
      </w:r>
    </w:p>
    <w:p>
      <w:pPr>
        <w:pStyle w:val="ListParagraph"/>
        <w:numPr>
          <w:ilvl w:val="0"/>
          <w:numId w:val="2"/>
        </w:numPr>
        <w:bidi/>
        <w:spacing w:after="90"/>
        <w:jc w:val="right"/>
      </w:pPr>
      <w:r>
        <w:rPr>
          <w:rFonts w:ascii="Arial" w:cs="Arial" w:eastAsia="Arial" w:hAnsi="Arial"/>
          <w:rtl/>
        </w:rPr>
        <w:t xml:space="preserve">ربطت الجدول ده بجدول الـFact (Sample - Superstore) عن طريق علاقة (Relationship) من عمود Order Date في الجدولين، عشان أعتمد على جدول تاريخ مستقل (Date Dimension) بدل ما أشتغل على عمود التاريخ جوه جدول الـFact مباشرة.</w:t>
      </w:r>
    </w:p>
    <w:p>
      <w:pPr>
        <w:pStyle w:val="ListParagraph"/>
        <w:numPr>
          <w:ilvl w:val="0"/>
          <w:numId w:val="2"/>
        </w:numPr>
        <w:bidi/>
        <w:spacing w:after="90"/>
        <w:jc w:val="right"/>
      </w:pPr>
      <w:r>
        <w:rPr>
          <w:rFonts w:ascii="Arial" w:cs="Arial" w:eastAsia="Arial" w:hAnsi="Arial"/>
          <w:rtl/>
        </w:rPr>
        <w:t xml:space="preserve">الخطوة دي حسّنت الـData Model بشكل كبير، وسهّلت بناء الـSlicers الخاصة بالسنة (Year) والربع السنوي (Quarter) على الداشبورد.</w:t>
      </w:r>
    </w:p>
    <w:p>
      <w:pPr>
        <w:pStyle w:val="Heading2"/>
        <w:bidi/>
        <w:spacing w:after="120" w:before="240"/>
        <w:jc w:val="right"/>
      </w:pPr>
      <w:r>
        <w:rPr>
          <w:rFonts w:ascii="Arial" w:cs="Arial" w:eastAsia="Arial" w:hAnsi="Arial"/>
          <w:b/>
          <w:bCs/>
          <w:sz w:val="26"/>
          <w:szCs w:val="26"/>
          <w:rtl/>
        </w:rPr>
        <w:t xml:space="preserve">2.6 Load to Data Model</w:t>
      </w:r>
    </w:p>
    <w:p>
      <w:pPr>
        <w:pStyle w:val="ListParagraph"/>
        <w:numPr>
          <w:ilvl w:val="0"/>
          <w:numId w:val="2"/>
        </w:numPr>
        <w:bidi/>
        <w:spacing w:after="90"/>
        <w:jc w:val="right"/>
      </w:pPr>
      <w:r>
        <w:rPr>
          <w:rFonts w:ascii="Arial" w:cs="Arial" w:eastAsia="Arial" w:hAnsi="Arial"/>
          <w:rtl/>
        </w:rPr>
        <w:t xml:space="preserve">بعد التنظيف والفصل وبناء جدول الـDate، عملت Load To لجدولي (Sample - Superstore و Date) مع تفعيل خيار 'Add this data to the Data Model'، عشان يدخلوا الـPower Pivot Data Model ويقدروا يتحسبوا عليهم DAX Measures.</w:t>
      </w:r>
    </w:p>
    <w:p>
      <w:pPr>
        <w:pStyle w:val="ListParagraph"/>
        <w:numPr>
          <w:ilvl w:val="0"/>
          <w:numId w:val="2"/>
        </w:numPr>
        <w:bidi/>
        <w:spacing w:after="90"/>
        <w:jc w:val="right"/>
      </w:pPr>
      <w:r>
        <w:rPr>
          <w:rFonts w:ascii="Arial" w:cs="Arial" w:eastAsia="Arial" w:hAnsi="Arial"/>
          <w:rtl/>
        </w:rPr>
        <w:t xml:space="preserve">بعد كده ابتديت أبني PivotTables من نفس الـData Model، وابتدت مرحلة كتابة الـDAX وبناء الـKPIs.</w:t>
      </w:r>
    </w:p>
    <w:p>
      <w:pPr>
        <w:pStyle w:val="Heading1"/>
        <w:bidi/>
        <w:spacing w:after="160" w:before="300"/>
        <w:jc w:val="right"/>
      </w:pPr>
      <w:r>
        <w:rPr>
          <w:rFonts w:ascii="Arial" w:cs="Arial" w:eastAsia="Arial" w:hAnsi="Arial"/>
          <w:b/>
          <w:bCs/>
          <w:sz w:val="32"/>
          <w:szCs w:val="32"/>
          <w:rtl/>
        </w:rPr>
        <w:t xml:space="preserve">3. Analysis Phase — Excel / Power Pivot (DAX)</w:t>
      </w:r>
    </w:p>
    <w:p>
      <w:pPr>
        <w:bidi/>
        <w:spacing w:after="120"/>
        <w:jc w:val="right"/>
      </w:pPr>
      <w:r>
        <w:rPr>
          <w:rFonts w:ascii="Arial" w:cs="Arial" w:eastAsia="Arial" w:hAnsi="Arial"/>
          <w:i/>
          <w:iCs/>
          <w:rtl/>
        </w:rPr>
        <w:t xml:space="preserve">تم تنفيذ مرحلة الـAnalysis بالكامل باستخدام Excel، عن طريق PivotTables و PivotCharts مبنية على Power Pivot Data Model (فيه جدولين: Sample - Superstore و Date)، واستخدام DAX لحساب كل الـKPIs والـMeasures.</w:t>
      </w:r>
    </w:p>
    <w:p>
      <w:pPr>
        <w:pStyle w:val="Heading2"/>
        <w:bidi/>
        <w:spacing w:after="120" w:before="240"/>
        <w:jc w:val="right"/>
      </w:pPr>
      <w:r>
        <w:rPr>
          <w:rFonts w:ascii="Arial" w:cs="Arial" w:eastAsia="Arial" w:hAnsi="Arial"/>
          <w:b/>
          <w:bCs/>
          <w:sz w:val="26"/>
          <w:szCs w:val="26"/>
          <w:rtl/>
        </w:rPr>
        <w:t xml:space="preserve">3.1 KPI Measures (DAX)</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4400"/>
        <w:gridCol w:w="2200"/>
      </w:tblGrid>
      <w:tr>
        <w:trPr>
          <w:tblHeader/>
        </w:trPr>
        <w:tc>
          <w:tcPr>
            <w:tcW w:type="dxa" w:w="240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Measure</w:t>
            </w:r>
          </w:p>
        </w:tc>
        <w:tc>
          <w:tcPr>
            <w:tcW w:type="dxa" w:w="440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الوصف</w:t>
            </w:r>
          </w:p>
        </w:tc>
        <w:tc>
          <w:tcPr>
            <w:tcW w:type="dxa" w:w="220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القيمة</w:t>
            </w:r>
          </w:p>
        </w:tc>
      </w:tr>
      <w:tr>
        <w:tc>
          <w:tcPr>
            <w:tcW w:type="dxa" w:w="24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Total Sales</w:t>
            </w:r>
          </w:p>
        </w:tc>
        <w:tc>
          <w:tcPr>
            <w:tcW w:type="dxa" w:w="44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إجمالي المبيعات</w:t>
            </w:r>
          </w:p>
        </w:tc>
        <w:tc>
          <w:tcPr>
            <w:tcW w:type="dxa" w:w="22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$2,297,138.90</w:t>
            </w:r>
          </w:p>
        </w:tc>
      </w:tr>
      <w:tr>
        <w:tc>
          <w:tcPr>
            <w:tcW w:type="dxa" w:w="24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Total Profit</w:t>
            </w:r>
          </w:p>
        </w:tc>
        <w:tc>
          <w:tcPr>
            <w:tcW w:type="dxa" w:w="44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إجمالي الربح</w:t>
            </w:r>
          </w:p>
        </w:tc>
        <w:tc>
          <w:tcPr>
            <w:tcW w:type="dxa" w:w="22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$286,397.02</w:t>
            </w:r>
          </w:p>
        </w:tc>
      </w:tr>
      <w:tr>
        <w:tc>
          <w:tcPr>
            <w:tcW w:type="dxa" w:w="24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Total Orders</w:t>
            </w:r>
          </w:p>
        </w:tc>
        <w:tc>
          <w:tcPr>
            <w:tcW w:type="dxa" w:w="44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عدد الطلبات الفريدة (Distinct Order ID)</w:t>
            </w:r>
          </w:p>
        </w:tc>
        <w:tc>
          <w:tcPr>
            <w:tcW w:type="dxa" w:w="22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5,009</w:t>
            </w:r>
          </w:p>
        </w:tc>
      </w:tr>
      <w:tr>
        <w:tc>
          <w:tcPr>
            <w:tcW w:type="dxa" w:w="24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Total Customers</w:t>
            </w:r>
          </w:p>
        </w:tc>
        <w:tc>
          <w:tcPr>
            <w:tcW w:type="dxa" w:w="44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عدد العملاء الفريدين (Distinct Customer ID)</w:t>
            </w:r>
          </w:p>
        </w:tc>
        <w:tc>
          <w:tcPr>
            <w:tcW w:type="dxa" w:w="22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793</w:t>
            </w:r>
          </w:p>
        </w:tc>
      </w:tr>
      <w:tr>
        <w:tc>
          <w:tcPr>
            <w:tcW w:type="dxa" w:w="24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AOV</w:t>
            </w:r>
          </w:p>
        </w:tc>
        <w:tc>
          <w:tcPr>
            <w:tcW w:type="dxa" w:w="44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متوسط قيمة الطلب (Total Sales / Total Orders)</w:t>
            </w:r>
          </w:p>
        </w:tc>
        <w:tc>
          <w:tcPr>
            <w:tcW w:type="dxa" w:w="22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$458.60</w:t>
            </w:r>
          </w:p>
        </w:tc>
      </w:tr>
      <w:tr>
        <w:tc>
          <w:tcPr>
            <w:tcW w:type="dxa" w:w="24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Num Of Products</w:t>
            </w:r>
          </w:p>
        </w:tc>
        <w:tc>
          <w:tcPr>
            <w:tcW w:type="dxa" w:w="44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عدد المنتجات الفريدة (Distinct Product ID)</w:t>
            </w:r>
          </w:p>
        </w:tc>
        <w:tc>
          <w:tcPr>
            <w:tcW w:type="dxa" w:w="22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1,862</w:t>
            </w:r>
          </w:p>
        </w:tc>
      </w:tr>
      <w:tr>
        <w:tc>
          <w:tcPr>
            <w:tcW w:type="dxa" w:w="24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Num of Category</w:t>
            </w:r>
          </w:p>
        </w:tc>
        <w:tc>
          <w:tcPr>
            <w:tcW w:type="dxa" w:w="44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عدد الفئات الرئيسية</w:t>
            </w:r>
          </w:p>
        </w:tc>
        <w:tc>
          <w:tcPr>
            <w:tcW w:type="dxa" w:w="22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3</w:t>
            </w:r>
          </w:p>
        </w:tc>
      </w:tr>
      <w:tr>
        <w:tc>
          <w:tcPr>
            <w:tcW w:type="dxa" w:w="24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Num of Sub_Category</w:t>
            </w:r>
          </w:p>
        </w:tc>
        <w:tc>
          <w:tcPr>
            <w:tcW w:type="dxa" w:w="44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عدد الفئات الفرعية</w:t>
            </w:r>
          </w:p>
        </w:tc>
        <w:tc>
          <w:tcPr>
            <w:tcW w:type="dxa" w:w="22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17</w:t>
            </w:r>
          </w:p>
        </w:tc>
      </w:tr>
      <w:tr>
        <w:tc>
          <w:tcPr>
            <w:tcW w:type="dxa" w:w="24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Num of States</w:t>
            </w:r>
          </w:p>
        </w:tc>
        <w:tc>
          <w:tcPr>
            <w:tcW w:type="dxa" w:w="44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عدد الولايات</w:t>
            </w:r>
          </w:p>
        </w:tc>
        <w:tc>
          <w:tcPr>
            <w:tcW w:type="dxa" w:w="22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49</w:t>
            </w:r>
          </w:p>
        </w:tc>
      </w:tr>
    </w:tbl>
    <w:tbl>
      <w:tblPr>
        <w:tblW w:type="pct" w:w="100%"/>
        <w:tblBorders>
          <w:top w:val="single" w:color="555555" w:sz="4"/>
          <w:left w:val="single" w:color="555555" w:sz="4"/>
          <w:bottom w:val="single" w:color="555555" w:sz="4"/>
          <w:right w:val="single" w:color="555555"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bidi/>
              <w:spacing w:after="80"/>
              <w:jc w:val="right"/>
            </w:pPr>
            <w:r>
              <w:rPr>
                <w:rFonts w:ascii="Arial" w:cs="Arial" w:eastAsia="Arial" w:hAnsi="Arial"/>
                <w:b/>
                <w:bCs/>
                <w:rtl/>
              </w:rPr>
              <w:t xml:space="preserve">ملاحظة على Total Discount:</w:t>
            </w:r>
          </w:p>
          <w:p>
            <w:pPr>
              <w:bidi/>
              <w:spacing w:after="60"/>
              <w:jc w:val="right"/>
            </w:pPr>
            <w:r>
              <w:rPr>
                <w:rFonts w:ascii="Arial" w:cs="Arial" w:eastAsia="Arial" w:hAnsi="Arial"/>
                <w:rtl/>
              </w:rPr>
              <w:t xml:space="preserve">كان فيه Measure اسمه Total Discount بيعمل SUM على عمود Discount مباشرة. الرقم الناتج مش له معنى مالي واضح، لأن عمود Discount في الأساس نسبة (Rate بين 0 و1) مش قيمة مالية، فجمعها مباشرة بيدي رقم مجرد مش قابل للتفسير. الأنسب كان استخدام AVERAGE بدل SUM عشان يطلع 'متوسط نسبة الخصم'. الملاحظة دي اتسجلت كنقطة تحسين للمرحلة الجاية بدل ما تتحذف الـMeasure خالص.</w:t>
            </w:r>
          </w:p>
        </w:tc>
      </w:tr>
    </w:tbl>
    <w:p>
      <w:pPr>
        <w:pStyle w:val="Heading2"/>
        <w:bidi/>
        <w:spacing w:after="120" w:before="240"/>
        <w:jc w:val="right"/>
      </w:pPr>
      <w:r>
        <w:rPr>
          <w:rFonts w:ascii="Arial" w:cs="Arial" w:eastAsia="Arial" w:hAnsi="Arial"/>
          <w:b/>
          <w:bCs/>
          <w:sz w:val="26"/>
          <w:szCs w:val="26"/>
          <w:rtl/>
        </w:rPr>
        <w:t xml:space="preserve">3.2 Implicit Values vs Explicit DAX Measures</w:t>
      </w:r>
    </w:p>
    <w:p>
      <w:pPr>
        <w:pStyle w:val="ListParagraph"/>
        <w:numPr>
          <w:ilvl w:val="0"/>
          <w:numId w:val="2"/>
        </w:numPr>
        <w:bidi/>
        <w:spacing w:after="90"/>
        <w:jc w:val="right"/>
      </w:pPr>
      <w:r>
        <w:rPr>
          <w:rFonts w:ascii="Arial" w:cs="Arial" w:eastAsia="Arial" w:hAnsi="Arial"/>
          <w:rtl/>
        </w:rPr>
        <w:t xml:space="preserve">لاحظت أثناء البناء إن فيه فرق بين نوعين من الحقول في الـPivotTable: حقول Implicit بيعملها Excel تلقائي لما تسحب عمود رقمي للـValues (زي Sum of Sales, Sum of Profit, Sum of Quantity)، وحقول Explicit وهي DAX Measures مكتوبة يدوي (زي Total Sales = SUM('Sample - Superstore'[Sales])).</w:t>
      </w:r>
    </w:p>
    <w:p>
      <w:pPr>
        <w:pStyle w:val="ListParagraph"/>
        <w:numPr>
          <w:ilvl w:val="0"/>
          <w:numId w:val="2"/>
        </w:numPr>
        <w:bidi/>
        <w:spacing w:after="90"/>
        <w:jc w:val="right"/>
      </w:pPr>
      <w:r>
        <w:rPr>
          <w:rFonts w:ascii="Arial" w:cs="Arial" w:eastAsia="Arial" w:hAnsi="Arial"/>
          <w:rtl/>
        </w:rPr>
        <w:t xml:space="preserve">قررت اعتمد على الـExplicit Measures في بناء الداشبورد النهائي بدل الـImplicit Fields، عشان يبقى في تسمية موحّدة (Naming Convention) وسهولة صيانة/تعديل لاحقًا، بدل ما يبقى في نسختين مختلفتين بنفس المعنى على نفس الجدول.</w:t>
      </w:r>
    </w:p>
    <w:p>
      <w:pPr>
        <w:pStyle w:val="Heading2"/>
        <w:bidi/>
        <w:spacing w:after="120" w:before="240"/>
        <w:jc w:val="right"/>
      </w:pPr>
      <w:r>
        <w:rPr>
          <w:rFonts w:ascii="Arial" w:cs="Arial" w:eastAsia="Arial" w:hAnsi="Arial"/>
          <w:b/>
          <w:bCs/>
          <w:sz w:val="26"/>
          <w:szCs w:val="26"/>
          <w:rtl/>
        </w:rPr>
        <w:t xml:space="preserve">3.3 Category &amp; Sub-Category Performance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250"/>
        <w:gridCol w:w="2250"/>
        <w:gridCol w:w="2250"/>
        <w:gridCol w:w="2250"/>
      </w:tblGrid>
      <w:tr>
        <w:trPr>
          <w:tblHeader/>
        </w:trPr>
        <w:tc>
          <w:tcPr>
            <w:tcW w:type="dxa" w:w="225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Category</w:t>
            </w:r>
          </w:p>
        </w:tc>
        <w:tc>
          <w:tcPr>
            <w:tcW w:type="dxa" w:w="225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Sales</w:t>
            </w:r>
          </w:p>
        </w:tc>
        <w:tc>
          <w:tcPr>
            <w:tcW w:type="dxa" w:w="225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Profit</w:t>
            </w:r>
          </w:p>
        </w:tc>
        <w:tc>
          <w:tcPr>
            <w:tcW w:type="dxa" w:w="225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Margin %</w:t>
            </w:r>
          </w:p>
        </w:tc>
      </w:tr>
      <w:tr>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Technology</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836,154.03</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145,454.95</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17.40%</w:t>
            </w:r>
          </w:p>
        </w:tc>
      </w:tr>
      <w:tr>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Office Supplies</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719,047.03</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122,490.80</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17.04%</w:t>
            </w:r>
          </w:p>
        </w:tc>
      </w:tr>
      <w:tr>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Furniture</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741,937.84</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18,451.27</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2.49%</w:t>
            </w:r>
          </w:p>
        </w:tc>
      </w:tr>
    </w:tbl>
    <w:p>
      <w:pPr>
        <w:spacing w:after="80"/>
      </w:pPr>
    </w:p>
    <w:p>
      <w:pPr>
        <w:pStyle w:val="ListParagraph"/>
        <w:numPr>
          <w:ilvl w:val="0"/>
          <w:numId w:val="2"/>
        </w:numPr>
        <w:bidi/>
        <w:spacing w:after="90"/>
        <w:jc w:val="right"/>
      </w:pPr>
      <w:r>
        <w:rPr>
          <w:rFonts w:ascii="Arial" w:cs="Arial" w:eastAsia="Arial" w:hAnsi="Arial"/>
          <w:rtl/>
        </w:rPr>
        <w:t xml:space="preserve">Furniture أعلى في المبيعات من Office Supplies تقريبًا، لكن هامش ربحها (2.49%) أقل بكتير من الاتنين التانيين — إشارة إن فيه Sub-Categories جوه Furniture بتسحب الهامش لتحت.</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250"/>
        <w:gridCol w:w="2250"/>
        <w:gridCol w:w="2250"/>
        <w:gridCol w:w="2250"/>
      </w:tblGrid>
      <w:tr>
        <w:trPr>
          <w:tblHeader/>
        </w:trPr>
        <w:tc>
          <w:tcPr>
            <w:tcW w:type="dxa" w:w="225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Sub-Category</w:t>
            </w:r>
          </w:p>
        </w:tc>
        <w:tc>
          <w:tcPr>
            <w:tcW w:type="dxa" w:w="225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Sales</w:t>
            </w:r>
          </w:p>
        </w:tc>
        <w:tc>
          <w:tcPr>
            <w:tcW w:type="dxa" w:w="225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Profit</w:t>
            </w:r>
          </w:p>
        </w:tc>
        <w:tc>
          <w:tcPr>
            <w:tcW w:type="dxa" w:w="225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Margin %</w:t>
            </w:r>
          </w:p>
        </w:tc>
      </w:tr>
      <w:tr>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Tables</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206,965.53</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(17,725.48)</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(8.56%)</w:t>
            </w:r>
          </w:p>
        </w:tc>
      </w:tr>
      <w:tr>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Bookcases</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114,818.04</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(3,472.56)</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(3.02%)</w:t>
            </w:r>
          </w:p>
        </w:tc>
      </w:tr>
      <w:tr>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Supplies</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46,673.54</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(1,189.10)</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(2.55%)</w:t>
            </w:r>
          </w:p>
        </w:tc>
      </w:tr>
      <w:tr>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Machines</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189,238.63</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3,384.76</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1.79%</w:t>
            </w:r>
          </w:p>
        </w:tc>
      </w:tr>
      <w:tr>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Fasteners</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3,024.28</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949.52</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31.40%</w:t>
            </w:r>
          </w:p>
        </w:tc>
      </w:tr>
    </w:tbl>
    <w:p>
      <w:pPr>
        <w:spacing w:after="80"/>
      </w:pPr>
    </w:p>
    <w:p>
      <w:pPr>
        <w:bidi/>
        <w:spacing w:after="120"/>
        <w:jc w:val="right"/>
      </w:pPr>
      <w:r>
        <w:rPr>
          <w:rFonts w:ascii="Arial" w:cs="Arial" w:eastAsia="Arial" w:hAnsi="Arial"/>
          <w:i/>
          <w:iCs/>
          <w:rtl/>
        </w:rPr>
        <w:t xml:space="preserve">Tables و Bookcases (جوه فئة Furniture) و Supplies هي الـSub-Categories الوحيدة اللي بتحقق خسارة (Profit سالب) رغم إن Tables لوحدها عاملة مبيعات كويسة نسبيًا.</w:t>
      </w:r>
    </w:p>
    <w:p>
      <w:pPr>
        <w:pStyle w:val="Heading2"/>
        <w:bidi/>
        <w:spacing w:after="120" w:before="240"/>
        <w:jc w:val="right"/>
      </w:pPr>
      <w:r>
        <w:rPr>
          <w:rFonts w:ascii="Arial" w:cs="Arial" w:eastAsia="Arial" w:hAnsi="Arial"/>
          <w:b/>
          <w:bCs/>
          <w:sz w:val="26"/>
          <w:szCs w:val="26"/>
          <w:rtl/>
        </w:rPr>
        <w:t xml:space="preserve">3.4 Discount Impact on Profitability</w:t>
      </w:r>
    </w:p>
    <w:p>
      <w:pPr>
        <w:pStyle w:val="ListParagraph"/>
        <w:numPr>
          <w:ilvl w:val="0"/>
          <w:numId w:val="2"/>
        </w:numPr>
        <w:bidi/>
        <w:spacing w:after="90"/>
        <w:jc w:val="right"/>
      </w:pPr>
      <w:r>
        <w:rPr>
          <w:rFonts w:ascii="Arial" w:cs="Arial" w:eastAsia="Arial" w:hAnsi="Arial"/>
          <w:rtl/>
        </w:rPr>
        <w:t xml:space="preserve">بعد ما ظهرت Tables و Bookcases بخسارة، فحصت العلاقة بين Discount و Profit على مستوى الصف: معامل الارتباط (Correlation) بينهم سالب وقيمته 0.22، يعني في ميل عكسي طفيف لكن مش قوي — كل ما الخصم زاد الربح بيميل ينقص.</w:t>
      </w:r>
    </w:p>
    <w:p>
      <w:pPr>
        <w:pStyle w:val="ListParagraph"/>
        <w:numPr>
          <w:ilvl w:val="0"/>
          <w:numId w:val="2"/>
        </w:numPr>
        <w:bidi/>
        <w:spacing w:after="90"/>
        <w:jc w:val="right"/>
      </w:pPr>
      <w:r>
        <w:rPr>
          <w:rFonts w:ascii="Arial" w:cs="Arial" w:eastAsia="Arial" w:hAnsi="Arial"/>
          <w:rtl/>
        </w:rPr>
        <w:t xml:space="preserve">لما قارنت متوسط الخصم لكل Sub-Category: Tables عندها متوسط خصم 26.1% مقابل متوسط عام للداتا كله 15.6%، وBookcases عندها 21.1% — وده بيدعم إن الخصم من أسباب الخسارة في الفئتين دول تحديدًا.</w:t>
      </w:r>
    </w:p>
    <w:tbl>
      <w:tblPr>
        <w:tblW w:type="pct" w:w="100%"/>
        <w:tblBorders>
          <w:top w:val="single" w:color="555555" w:sz="4"/>
          <w:left w:val="single" w:color="555555" w:sz="4"/>
          <w:bottom w:val="single" w:color="555555" w:sz="4"/>
          <w:right w:val="single" w:color="555555"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bidi/>
              <w:spacing w:after="80"/>
              <w:jc w:val="right"/>
            </w:pPr>
            <w:r>
              <w:rPr>
                <w:rFonts w:ascii="Arial" w:cs="Arial" w:eastAsia="Arial" w:hAnsi="Arial"/>
                <w:b/>
                <w:bCs/>
                <w:rtl/>
              </w:rPr>
              <w:t xml:space="preserve">قرار منهجي مهم:</w:t>
            </w:r>
          </w:p>
          <w:p>
            <w:pPr>
              <w:bidi/>
              <w:spacing w:after="60"/>
              <w:jc w:val="right"/>
            </w:pPr>
            <w:r>
              <w:rPr>
                <w:rFonts w:ascii="Arial" w:cs="Arial" w:eastAsia="Arial" w:hAnsi="Arial"/>
                <w:rtl/>
              </w:rPr>
              <w:t xml:space="preserve">العلاقة بين الخصم والربح مش عامة على كل الداتا — مثلاً Binders عندها متوسط خصم مرتفع (37.2%) لكنها لسه محققة ربح موجب (30,221.76). يعني معدل الخصم لوحده مش كافي كتفسير عام، والأصح إن العلاقة تتفحص لكل Sub-Category على حدة مش كمعدل واحد شامل، بنفس المنطق اللي اتاخد بيه قرار الـMedian في مشروع الـHotel Booking بدل التعميم على طول.</w:t>
            </w:r>
          </w:p>
        </w:tc>
      </w:tr>
    </w:tbl>
    <w:p>
      <w:pPr>
        <w:pStyle w:val="Heading2"/>
        <w:bidi/>
        <w:spacing w:after="120" w:before="240"/>
        <w:jc w:val="right"/>
      </w:pPr>
      <w:r>
        <w:rPr>
          <w:rFonts w:ascii="Arial" w:cs="Arial" w:eastAsia="Arial" w:hAnsi="Arial"/>
          <w:b/>
          <w:bCs/>
          <w:sz w:val="26"/>
          <w:szCs w:val="26"/>
          <w:rtl/>
        </w:rPr>
        <w:t xml:space="preserve">3.5 Region &amp; Segment Breakdown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250"/>
        <w:gridCol w:w="2250"/>
        <w:gridCol w:w="2250"/>
        <w:gridCol w:w="2250"/>
      </w:tblGrid>
      <w:tr>
        <w:trPr>
          <w:tblHeader/>
        </w:trPr>
        <w:tc>
          <w:tcPr>
            <w:tcW w:type="dxa" w:w="225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Region</w:t>
            </w:r>
          </w:p>
        </w:tc>
        <w:tc>
          <w:tcPr>
            <w:tcW w:type="dxa" w:w="225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Sales</w:t>
            </w:r>
          </w:p>
        </w:tc>
        <w:tc>
          <w:tcPr>
            <w:tcW w:type="dxa" w:w="225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Profit</w:t>
            </w:r>
          </w:p>
        </w:tc>
        <w:tc>
          <w:tcPr>
            <w:tcW w:type="dxa" w:w="225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Margin %</w:t>
            </w:r>
          </w:p>
        </w:tc>
      </w:tr>
      <w:tr>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West</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725,457.82</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108,418.45</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14.95%</w:t>
            </w:r>
          </w:p>
        </w:tc>
      </w:tr>
      <w:tr>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East</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678,781.24</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91,522.78</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13.49%</w:t>
            </w:r>
          </w:p>
        </w:tc>
      </w:tr>
      <w:tr>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South</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391,659.94</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46,749.43</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11.94%</w:t>
            </w:r>
          </w:p>
        </w:tc>
      </w:tr>
      <w:tr>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Central</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501,239.89</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39,706.36</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7.92%</w:t>
            </w:r>
          </w:p>
        </w:tc>
      </w:tr>
    </w:tbl>
    <w:p>
      <w:pPr>
        <w:spacing w:after="80"/>
      </w:pPr>
    </w:p>
    <w:p>
      <w:pPr>
        <w:pStyle w:val="ListParagraph"/>
        <w:numPr>
          <w:ilvl w:val="0"/>
          <w:numId w:val="2"/>
        </w:numPr>
        <w:bidi/>
        <w:spacing w:after="90"/>
        <w:jc w:val="right"/>
      </w:pPr>
      <w:r>
        <w:rPr>
          <w:rFonts w:ascii="Arial" w:cs="Arial" w:eastAsia="Arial" w:hAnsi="Arial"/>
          <w:rtl/>
        </w:rPr>
        <w:t xml:space="preserve">Central أعلى في المبيعات من South، لكن هامش ربحها (7.92%) أقل هامش بين كل المناطق — إشارة إنها محتاجة مراجعة تسعير أو تكاليف.</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250"/>
        <w:gridCol w:w="2250"/>
        <w:gridCol w:w="2250"/>
        <w:gridCol w:w="2250"/>
      </w:tblGrid>
      <w:tr>
        <w:trPr>
          <w:tblHeader/>
        </w:trPr>
        <w:tc>
          <w:tcPr>
            <w:tcW w:type="dxa" w:w="225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Segment</w:t>
            </w:r>
          </w:p>
        </w:tc>
        <w:tc>
          <w:tcPr>
            <w:tcW w:type="dxa" w:w="225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Sales</w:t>
            </w:r>
          </w:p>
        </w:tc>
        <w:tc>
          <w:tcPr>
            <w:tcW w:type="dxa" w:w="225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Profit</w:t>
            </w:r>
          </w:p>
        </w:tc>
        <w:tc>
          <w:tcPr>
            <w:tcW w:type="dxa" w:w="225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Margin %</w:t>
            </w:r>
          </w:p>
        </w:tc>
      </w:tr>
      <w:tr>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Consumer</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1,161,339.38</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134,119.21</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11.55%</w:t>
            </w:r>
          </w:p>
        </w:tc>
      </w:tr>
      <w:tr>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Corporate</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706,146.37</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91,979.13</w:t>
            </w:r>
          </w:p>
        </w:tc>
        <w:tc>
          <w:tcPr>
            <w:tcW w:type="dxa" w:w="225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13.03%</w:t>
            </w:r>
          </w:p>
        </w:tc>
      </w:tr>
      <w:tr>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Home Office</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429,653.15</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60,298.68</w:t>
            </w:r>
          </w:p>
        </w:tc>
        <w:tc>
          <w:tcPr>
            <w:tcW w:type="dxa" w:w="225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14.03%</w:t>
            </w:r>
          </w:p>
        </w:tc>
      </w:tr>
    </w:tbl>
    <w:p>
      <w:pPr>
        <w:spacing w:after="80"/>
      </w:pPr>
    </w:p>
    <w:p>
      <w:pPr>
        <w:bidi/>
        <w:spacing w:after="120"/>
        <w:jc w:val="right"/>
      </w:pPr>
      <w:r>
        <w:rPr>
          <w:rFonts w:ascii="Arial" w:cs="Arial" w:eastAsia="Arial" w:hAnsi="Arial"/>
          <w:i/>
          <w:iCs/>
          <w:rtl/>
        </w:rPr>
        <w:t xml:space="preserve">Consumer أكبر شريحة في المبيعات، لكن Home Office عندها أعلى هامش ربح رغم إنها أصغر شريحة — نفس النمط اللي ظهر مع Central مقابل باقي المناطق.</w:t>
      </w:r>
    </w:p>
    <w:p>
      <w:pPr>
        <w:pStyle w:val="Heading2"/>
        <w:bidi/>
        <w:spacing w:after="120" w:before="240"/>
        <w:jc w:val="right"/>
      </w:pPr>
      <w:r>
        <w:rPr>
          <w:rFonts w:ascii="Arial" w:cs="Arial" w:eastAsia="Arial" w:hAnsi="Arial"/>
          <w:b/>
          <w:bCs/>
          <w:sz w:val="26"/>
          <w:szCs w:val="26"/>
          <w:rtl/>
        </w:rPr>
        <w:t xml:space="preserve">3.6 Shipping Mode Analysis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3000"/>
        <w:gridCol w:w="3000"/>
      </w:tblGrid>
      <w:tr>
        <w:trPr>
          <w:tblHeader/>
        </w:trPr>
        <w:tc>
          <w:tcPr>
            <w:tcW w:type="dxa" w:w="300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Ship Mode</w:t>
            </w:r>
          </w:p>
        </w:tc>
        <w:tc>
          <w:tcPr>
            <w:tcW w:type="dxa" w:w="300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عدد الطلبات</w:t>
            </w:r>
          </w:p>
        </w:tc>
        <w:tc>
          <w:tcPr>
            <w:tcW w:type="dxa" w:w="300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Sales</w:t>
            </w:r>
          </w:p>
        </w:tc>
      </w:tr>
      <w:tr>
        <w:tc>
          <w:tcPr>
            <w:tcW w:type="dxa" w:w="30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Standard Class</w:t>
            </w:r>
          </w:p>
        </w:tc>
        <w:tc>
          <w:tcPr>
            <w:tcW w:type="dxa" w:w="30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2,994</w:t>
            </w:r>
          </w:p>
        </w:tc>
        <w:tc>
          <w:tcPr>
            <w:tcW w:type="dxa" w:w="30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1,358,215.74</w:t>
            </w:r>
          </w:p>
        </w:tc>
      </w:tr>
      <w:tr>
        <w:tc>
          <w:tcPr>
            <w:tcW w:type="dxa" w:w="30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Second Class</w:t>
            </w:r>
          </w:p>
        </w:tc>
        <w:tc>
          <w:tcPr>
            <w:tcW w:type="dxa" w:w="30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964</w:t>
            </w:r>
          </w:p>
        </w:tc>
        <w:tc>
          <w:tcPr>
            <w:tcW w:type="dxa" w:w="30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459,131.61</w:t>
            </w:r>
          </w:p>
        </w:tc>
      </w:tr>
      <w:tr>
        <w:tc>
          <w:tcPr>
            <w:tcW w:type="dxa" w:w="30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First Class</w:t>
            </w:r>
          </w:p>
        </w:tc>
        <w:tc>
          <w:tcPr>
            <w:tcW w:type="dxa" w:w="30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787</w:t>
            </w:r>
          </w:p>
        </w:tc>
        <w:tc>
          <w:tcPr>
            <w:tcW w:type="dxa" w:w="30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351,428.42</w:t>
            </w:r>
          </w:p>
        </w:tc>
      </w:tr>
      <w:tr>
        <w:tc>
          <w:tcPr>
            <w:tcW w:type="dxa" w:w="30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Same Day</w:t>
            </w:r>
          </w:p>
        </w:tc>
        <w:tc>
          <w:tcPr>
            <w:tcW w:type="dxa" w:w="30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264</w:t>
            </w:r>
          </w:p>
        </w:tc>
        <w:tc>
          <w:tcPr>
            <w:tcW w:type="dxa" w:w="30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128,363.12</w:t>
            </w:r>
          </w:p>
        </w:tc>
      </w:tr>
    </w:tbl>
    <w:p>
      <w:pPr>
        <w:spacing w:after="80"/>
      </w:pPr>
    </w:p>
    <w:p>
      <w:pPr>
        <w:pStyle w:val="ListParagraph"/>
        <w:numPr>
          <w:ilvl w:val="0"/>
          <w:numId w:val="2"/>
        </w:numPr>
        <w:bidi/>
        <w:spacing w:after="90"/>
        <w:jc w:val="right"/>
      </w:pPr>
      <w:r>
        <w:rPr>
          <w:rFonts w:ascii="Arial" w:cs="Arial" w:eastAsia="Arial" w:hAnsi="Arial"/>
          <w:rtl/>
        </w:rPr>
        <w:t xml:space="preserve">Standard Class هي طريقة الشحن الأكتر استخدامًا بفارق كبير (~60% من الطلبات)، وده بيفتح فرصة لترويج طرق الشحن الأسرع (Upsell) لعملاء معينين.</w:t>
      </w:r>
    </w:p>
    <w:p>
      <w:pPr>
        <w:pStyle w:val="Heading2"/>
        <w:bidi/>
        <w:spacing w:after="120" w:before="240"/>
        <w:jc w:val="right"/>
      </w:pPr>
      <w:r>
        <w:rPr>
          <w:rFonts w:ascii="Arial" w:cs="Arial" w:eastAsia="Arial" w:hAnsi="Arial"/>
          <w:b/>
          <w:bCs/>
          <w:sz w:val="26"/>
          <w:szCs w:val="26"/>
          <w:rtl/>
        </w:rPr>
        <w:t xml:space="preserve">3.7 Sales Trend by Year &amp; Quarter</w:t>
      </w:r>
    </w:p>
    <w:p>
      <w:pPr>
        <w:pStyle w:val="ListParagraph"/>
        <w:numPr>
          <w:ilvl w:val="0"/>
          <w:numId w:val="2"/>
        </w:numPr>
        <w:bidi/>
        <w:spacing w:after="90"/>
        <w:jc w:val="right"/>
      </w:pPr>
      <w:r>
        <w:rPr>
          <w:rFonts w:ascii="Arial" w:cs="Arial" w:eastAsia="Arial" w:hAnsi="Arial"/>
          <w:rtl/>
        </w:rPr>
        <w:t xml:space="preserve">بالاعتماد على جدول الـDate، اتعمل تحليل اتجاه المبيعات لكل ربع سنوي من 2014 لحد 2017.</w:t>
      </w:r>
    </w:p>
    <w:p>
      <w:pPr>
        <w:pStyle w:val="ListParagraph"/>
        <w:numPr>
          <w:ilvl w:val="0"/>
          <w:numId w:val="2"/>
        </w:numPr>
        <w:bidi/>
        <w:spacing w:after="90"/>
        <w:jc w:val="right"/>
      </w:pPr>
      <w:r>
        <w:rPr>
          <w:rFonts w:ascii="Arial" w:cs="Arial" w:eastAsia="Arial" w:hAnsi="Arial"/>
          <w:rtl/>
        </w:rPr>
        <w:t xml:space="preserve">الاتجاه العام تصاعدي عبر السنين (من 385 طلب في Q1 2014 لحد 969 طلب في Q4 2017)، مع نمط موسمي واضح: الربع الرابع (Q4) بيسجل أعلى عدد طلبات في كل سنة من الأربع سنين على التوالي — إشارة لموسم مبيعات قوي في آخر السنة (على الأغلب مرتبط بموسم الأعياد/الخصومات).</w:t>
      </w:r>
    </w:p>
    <w:p>
      <w:pPr>
        <w:pStyle w:val="Heading2"/>
        <w:bidi/>
        <w:spacing w:after="120" w:before="240"/>
        <w:jc w:val="right"/>
      </w:pPr>
      <w:r>
        <w:rPr>
          <w:rFonts w:ascii="Arial" w:cs="Arial" w:eastAsia="Arial" w:hAnsi="Arial"/>
          <w:b/>
          <w:bCs/>
          <w:sz w:val="26"/>
          <w:szCs w:val="26"/>
          <w:rtl/>
        </w:rPr>
        <w:t xml:space="preserve">3.8 Top Customers (Customer Dashboard)</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200"/>
        <w:gridCol w:w="4800"/>
        <w:gridCol w:w="3000"/>
      </w:tblGrid>
      <w:tr>
        <w:trPr>
          <w:tblHeader/>
        </w:trPr>
        <w:tc>
          <w:tcPr>
            <w:tcW w:type="dxa" w:w="120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w:t>
            </w:r>
          </w:p>
        </w:tc>
        <w:tc>
          <w:tcPr>
            <w:tcW w:type="dxa" w:w="480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Customer Name</w:t>
            </w:r>
          </w:p>
        </w:tc>
        <w:tc>
          <w:tcPr>
            <w:tcW w:type="dxa" w:w="3000"/>
            <w:shd w:fill="2F5496" w:val="clear"/>
            <w:tcMar>
              <w:top w:type="dxa" w:w="80"/>
              <w:left w:type="dxa" w:w="100"/>
              <w:bottom w:type="dxa" w:w="80"/>
              <w:right w:type="dxa" w:w="100"/>
            </w:tcMar>
            <w:vAlign w:val="center"/>
          </w:tcPr>
          <w:p>
            <w:pPr>
              <w:bidi/>
              <w:spacing w:after="0"/>
              <w:jc w:val="center"/>
            </w:pPr>
            <w:r>
              <w:rPr>
                <w:rFonts w:ascii="Arial" w:cs="Arial" w:eastAsia="Arial" w:hAnsi="Arial"/>
                <w:b/>
                <w:bCs/>
                <w:color w:val="FFFFFF"/>
                <w:rtl/>
              </w:rPr>
              <w:t xml:space="preserve">Sales</w:t>
            </w:r>
          </w:p>
        </w:tc>
      </w:tr>
      <w:tr>
        <w:tc>
          <w:tcPr>
            <w:tcW w:type="dxa" w:w="12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w:t>
            </w:r>
          </w:p>
        </w:tc>
        <w:tc>
          <w:tcPr>
            <w:tcW w:type="dxa" w:w="48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Sean Miller</w:t>
            </w:r>
          </w:p>
        </w:tc>
        <w:tc>
          <w:tcPr>
            <w:tcW w:type="dxa" w:w="30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25,043.05</w:t>
            </w:r>
          </w:p>
        </w:tc>
      </w:tr>
      <w:tr>
        <w:tc>
          <w:tcPr>
            <w:tcW w:type="dxa" w:w="12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2</w:t>
            </w:r>
          </w:p>
        </w:tc>
        <w:tc>
          <w:tcPr>
            <w:tcW w:type="dxa" w:w="48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Tamara Chand</w:t>
            </w:r>
          </w:p>
        </w:tc>
        <w:tc>
          <w:tcPr>
            <w:tcW w:type="dxa" w:w="30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19,052.22</w:t>
            </w:r>
          </w:p>
        </w:tc>
      </w:tr>
      <w:tr>
        <w:tc>
          <w:tcPr>
            <w:tcW w:type="dxa" w:w="12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3</w:t>
            </w:r>
          </w:p>
        </w:tc>
        <w:tc>
          <w:tcPr>
            <w:tcW w:type="dxa" w:w="48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Raymond Buch</w:t>
            </w:r>
          </w:p>
        </w:tc>
        <w:tc>
          <w:tcPr>
            <w:tcW w:type="dxa" w:w="30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15,117.34</w:t>
            </w:r>
          </w:p>
        </w:tc>
      </w:tr>
      <w:tr>
        <w:tc>
          <w:tcPr>
            <w:tcW w:type="dxa" w:w="12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4</w:t>
            </w:r>
          </w:p>
        </w:tc>
        <w:tc>
          <w:tcPr>
            <w:tcW w:type="dxa" w:w="48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Tom Ashbrook</w:t>
            </w:r>
          </w:p>
        </w:tc>
        <w:tc>
          <w:tcPr>
            <w:tcW w:type="dxa" w:w="30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14,595.62</w:t>
            </w:r>
          </w:p>
        </w:tc>
      </w:tr>
      <w:tr>
        <w:tc>
          <w:tcPr>
            <w:tcW w:type="dxa" w:w="12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5</w:t>
            </w:r>
          </w:p>
        </w:tc>
        <w:tc>
          <w:tcPr>
            <w:tcW w:type="dxa" w:w="48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Adrian Barton</w:t>
            </w:r>
          </w:p>
        </w:tc>
        <w:tc>
          <w:tcPr>
            <w:tcW w:type="dxa" w:w="30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14,473.57</w:t>
            </w:r>
          </w:p>
        </w:tc>
      </w:tr>
      <w:tr>
        <w:tc>
          <w:tcPr>
            <w:tcW w:type="dxa" w:w="12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6</w:t>
            </w:r>
          </w:p>
        </w:tc>
        <w:tc>
          <w:tcPr>
            <w:tcW w:type="dxa" w:w="48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Ken Lonsdale</w:t>
            </w:r>
          </w:p>
        </w:tc>
        <w:tc>
          <w:tcPr>
            <w:tcW w:type="dxa" w:w="30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14,175.23</w:t>
            </w:r>
          </w:p>
        </w:tc>
      </w:tr>
      <w:tr>
        <w:tc>
          <w:tcPr>
            <w:tcW w:type="dxa" w:w="12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7</w:t>
            </w:r>
          </w:p>
        </w:tc>
        <w:tc>
          <w:tcPr>
            <w:tcW w:type="dxa" w:w="48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Sanjit Chand</w:t>
            </w:r>
          </w:p>
        </w:tc>
        <w:tc>
          <w:tcPr>
            <w:tcW w:type="dxa" w:w="30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14,142.33</w:t>
            </w:r>
          </w:p>
        </w:tc>
      </w:tr>
      <w:tr>
        <w:tc>
          <w:tcPr>
            <w:tcW w:type="dxa" w:w="12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8</w:t>
            </w:r>
          </w:p>
        </w:tc>
        <w:tc>
          <w:tcPr>
            <w:tcW w:type="dxa" w:w="48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Hunter Lopez</w:t>
            </w:r>
          </w:p>
        </w:tc>
        <w:tc>
          <w:tcPr>
            <w:tcW w:type="dxa" w:w="30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12,873.30</w:t>
            </w:r>
          </w:p>
        </w:tc>
      </w:tr>
      <w:tr>
        <w:tc>
          <w:tcPr>
            <w:tcW w:type="dxa" w:w="12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9</w:t>
            </w:r>
          </w:p>
        </w:tc>
        <w:tc>
          <w:tcPr>
            <w:tcW w:type="dxa" w:w="48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Sanjit Engle</w:t>
            </w:r>
          </w:p>
        </w:tc>
        <w:tc>
          <w:tcPr>
            <w:tcW w:type="dxa" w:w="3000"/>
            <w:shd w:fill="FFFFFF" w:val="clear"/>
            <w:tcMar>
              <w:top w:type="dxa" w:w="70"/>
              <w:left w:type="dxa" w:w="100"/>
              <w:bottom w:type="dxa" w:w="70"/>
              <w:right w:type="dxa" w:w="100"/>
            </w:tcMar>
            <w:vAlign w:val="center"/>
          </w:tcPr>
          <w:p>
            <w:pPr>
              <w:bidi/>
              <w:spacing w:after="0"/>
              <w:jc w:val="center"/>
            </w:pPr>
            <w:r>
              <w:rPr>
                <w:rFonts w:ascii="Arial" w:cs="Arial" w:eastAsia="Arial" w:hAnsi="Arial"/>
                <w:rtl/>
              </w:rPr>
              <w:t xml:space="preserve">12,209.44</w:t>
            </w:r>
          </w:p>
        </w:tc>
      </w:tr>
      <w:tr>
        <w:tc>
          <w:tcPr>
            <w:tcW w:type="dxa" w:w="12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10</w:t>
            </w:r>
          </w:p>
        </w:tc>
        <w:tc>
          <w:tcPr>
            <w:tcW w:type="dxa" w:w="48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Christopher Conant</w:t>
            </w:r>
          </w:p>
        </w:tc>
        <w:tc>
          <w:tcPr>
            <w:tcW w:type="dxa" w:w="3000"/>
            <w:shd w:fill="F7F9FC" w:val="clear"/>
            <w:tcMar>
              <w:top w:type="dxa" w:w="70"/>
              <w:left w:type="dxa" w:w="100"/>
              <w:bottom w:type="dxa" w:w="70"/>
              <w:right w:type="dxa" w:w="100"/>
            </w:tcMar>
            <w:vAlign w:val="center"/>
          </w:tcPr>
          <w:p>
            <w:pPr>
              <w:bidi/>
              <w:spacing w:after="0"/>
              <w:jc w:val="center"/>
            </w:pPr>
            <w:r>
              <w:rPr>
                <w:rFonts w:ascii="Arial" w:cs="Arial" w:eastAsia="Arial" w:hAnsi="Arial"/>
                <w:rtl/>
              </w:rPr>
              <w:t xml:space="preserve">12,129.07</w:t>
            </w:r>
          </w:p>
        </w:tc>
      </w:tr>
    </w:tbl>
    <w:p>
      <w:pPr>
        <w:pStyle w:val="Heading2"/>
        <w:bidi/>
        <w:spacing w:after="120" w:before="240"/>
        <w:jc w:val="right"/>
      </w:pPr>
      <w:r>
        <w:rPr>
          <w:rFonts w:ascii="Arial" w:cs="Arial" w:eastAsia="Arial" w:hAnsi="Arial"/>
          <w:b/>
          <w:bCs/>
          <w:sz w:val="26"/>
          <w:szCs w:val="26"/>
          <w:rtl/>
        </w:rPr>
        <w:t xml:space="preserve">3.9 Dashboard Layout &amp; Slicers</w:t>
      </w:r>
    </w:p>
    <w:p>
      <w:pPr>
        <w:pStyle w:val="ListParagraph"/>
        <w:numPr>
          <w:ilvl w:val="0"/>
          <w:numId w:val="2"/>
        </w:numPr>
        <w:bidi/>
        <w:spacing w:after="90"/>
        <w:jc w:val="right"/>
      </w:pPr>
      <w:r>
        <w:rPr>
          <w:rFonts w:ascii="Arial" w:cs="Arial" w:eastAsia="Arial" w:hAnsi="Arial"/>
          <w:rtl/>
        </w:rPr>
        <w:t xml:space="preserve">اتبنى الداشبورد على 3 صفحات منفصلة كلها متصلة بنفس الـData Model: Overview Dashboard، Sales Dashboard، و Customer Dashboard.</w:t>
      </w:r>
    </w:p>
    <w:p>
      <w:pPr>
        <w:pStyle w:val="ListParagraph"/>
        <w:numPr>
          <w:ilvl w:val="0"/>
          <w:numId w:val="2"/>
        </w:numPr>
        <w:bidi/>
        <w:spacing w:after="90"/>
        <w:jc w:val="right"/>
      </w:pPr>
      <w:r>
        <w:rPr>
          <w:rFonts w:ascii="Arial" w:cs="Arial" w:eastAsia="Arial" w:hAnsi="Arial"/>
          <w:rtl/>
        </w:rPr>
        <w:t xml:space="preserve">اتضاف Slicers على مستوى Year و Quarter (معتمدين على جدول الـDate) عشان يسمحوا بفلترة كل الداشبوردات بسرعة من غير ما يزحموا الشاشة بصريًا.</w:t>
      </w:r>
    </w:p>
    <w:p>
      <w:pPr>
        <w:pStyle w:val="Heading1"/>
        <w:bidi/>
        <w:spacing w:after="160" w:before="300"/>
        <w:jc w:val="right"/>
      </w:pPr>
      <w:r>
        <w:rPr>
          <w:rFonts w:ascii="Arial" w:cs="Arial" w:eastAsia="Arial" w:hAnsi="Arial"/>
          <w:b/>
          <w:bCs/>
          <w:sz w:val="32"/>
          <w:szCs w:val="32"/>
          <w:rtl/>
        </w:rPr>
        <w:t xml:space="preserve">4. Decision Phase</w:t>
      </w:r>
    </w:p>
    <w:p>
      <w:pPr>
        <w:bidi/>
        <w:spacing w:after="120"/>
        <w:jc w:val="right"/>
      </w:pPr>
      <w:r>
        <w:rPr>
          <w:rFonts w:ascii="Arial" w:cs="Arial" w:eastAsia="Arial" w:hAnsi="Arial"/>
          <w:rtl/>
        </w:rPr>
        <w:t xml:space="preserve">بناءً على نتائج التحليل، تم الوصول إلى مجموعة من الـInsights والـRecommendations التالية:</w:t>
      </w:r>
    </w:p>
    <w:p>
      <w:pPr>
        <w:pStyle w:val="Heading2"/>
        <w:bidi/>
        <w:spacing w:after="120" w:before="240"/>
        <w:jc w:val="right"/>
      </w:pPr>
      <w:r>
        <w:rPr>
          <w:rFonts w:ascii="Arial" w:cs="Arial" w:eastAsia="Arial" w:hAnsi="Arial"/>
          <w:b/>
          <w:bCs/>
          <w:sz w:val="26"/>
          <w:szCs w:val="26"/>
          <w:rtl/>
        </w:rPr>
        <w:t xml:space="preserve">1. مراجعة سياسة الخصومات على Tables و Bookcases</w:t>
      </w:r>
    </w:p>
    <w:p>
      <w:pPr>
        <w:pStyle w:val="ListParagraph"/>
        <w:numPr>
          <w:ilvl w:val="0"/>
          <w:numId w:val="2"/>
        </w:numPr>
        <w:bidi/>
        <w:spacing w:after="90"/>
        <w:jc w:val="right"/>
      </w:pPr>
      <w:r>
        <w:rPr>
          <w:rFonts w:ascii="Arial" w:cs="Arial" w:eastAsia="Arial" w:hAnsi="Arial"/>
          <w:rtl/>
        </w:rPr>
        <w:t xml:space="preserve">الفئتين دول بيحققوا خسارة صافية (Tables خسارة 17,725.48$ و Bookcases خسارة 3,472.56$) رغم إن Tables عندها مبيعات معقولة.</w:t>
      </w:r>
    </w:p>
    <w:p>
      <w:pPr>
        <w:pStyle w:val="ListParagraph"/>
        <w:numPr>
          <w:ilvl w:val="0"/>
          <w:numId w:val="2"/>
        </w:numPr>
        <w:bidi/>
        <w:spacing w:after="90"/>
        <w:jc w:val="right"/>
      </w:pPr>
      <w:r>
        <w:rPr>
          <w:rFonts w:ascii="Arial" w:cs="Arial" w:eastAsia="Arial" w:hAnsi="Arial"/>
          <w:rtl/>
        </w:rPr>
        <w:t xml:space="preserve">يوصى بمراجعة سقف الخصم المسموح بيه على المنتجات دي تحديدًا، بدل تخفيض عام على كل Furniture.</w:t>
      </w:r>
    </w:p>
    <w:p>
      <w:pPr>
        <w:pStyle w:val="Heading2"/>
        <w:bidi/>
        <w:spacing w:after="120" w:before="240"/>
        <w:jc w:val="right"/>
      </w:pPr>
      <w:r>
        <w:rPr>
          <w:rFonts w:ascii="Arial" w:cs="Arial" w:eastAsia="Arial" w:hAnsi="Arial"/>
          <w:b/>
          <w:bCs/>
          <w:sz w:val="26"/>
          <w:szCs w:val="26"/>
          <w:rtl/>
        </w:rPr>
        <w:t xml:space="preserve">2. الاستفادة من موسمية الربع الرابع (Q4)</w:t>
      </w:r>
    </w:p>
    <w:p>
      <w:pPr>
        <w:pStyle w:val="ListParagraph"/>
        <w:numPr>
          <w:ilvl w:val="0"/>
          <w:numId w:val="2"/>
        </w:numPr>
        <w:bidi/>
        <w:spacing w:after="90"/>
        <w:jc w:val="right"/>
      </w:pPr>
      <w:r>
        <w:rPr>
          <w:rFonts w:ascii="Arial" w:cs="Arial" w:eastAsia="Arial" w:hAnsi="Arial"/>
          <w:rtl/>
        </w:rPr>
        <w:t xml:space="preserve">Q4 بيسجل أعلى عدد طلبات في كل سنة على التوالي، فيوصى بالتخطيط المسبق للمخزون والحملات التسويقية قبل بداية الربع ده بفترة كافية.</w:t>
      </w:r>
    </w:p>
    <w:p>
      <w:pPr>
        <w:pStyle w:val="Heading2"/>
        <w:bidi/>
        <w:spacing w:after="120" w:before="240"/>
        <w:jc w:val="right"/>
      </w:pPr>
      <w:r>
        <w:rPr>
          <w:rFonts w:ascii="Arial" w:cs="Arial" w:eastAsia="Arial" w:hAnsi="Arial"/>
          <w:b/>
          <w:bCs/>
          <w:sz w:val="26"/>
          <w:szCs w:val="26"/>
          <w:rtl/>
        </w:rPr>
        <w:t xml:space="preserve">3. استغلال هامش الربح الأعلى في Home Office</w:t>
      </w:r>
    </w:p>
    <w:p>
      <w:pPr>
        <w:pStyle w:val="ListParagraph"/>
        <w:numPr>
          <w:ilvl w:val="0"/>
          <w:numId w:val="2"/>
        </w:numPr>
        <w:bidi/>
        <w:spacing w:after="90"/>
        <w:jc w:val="right"/>
      </w:pPr>
      <w:r>
        <w:rPr>
          <w:rFonts w:ascii="Arial" w:cs="Arial" w:eastAsia="Arial" w:hAnsi="Arial"/>
          <w:rtl/>
        </w:rPr>
        <w:t xml:space="preserve">Home Office أصغر شريحة في المبيعات لكن أعلى هامش ربح (14.03%)، فيوصى بدراسة إمكانية التوسع فيها أو استهدافها أكتر تسويقيًا بدل التركيز على حجم المبيعات بس.</w:t>
      </w:r>
    </w:p>
    <w:p>
      <w:pPr>
        <w:pStyle w:val="Heading2"/>
        <w:bidi/>
        <w:spacing w:after="120" w:before="240"/>
        <w:jc w:val="right"/>
      </w:pPr>
      <w:r>
        <w:rPr>
          <w:rFonts w:ascii="Arial" w:cs="Arial" w:eastAsia="Arial" w:hAnsi="Arial"/>
          <w:b/>
          <w:bCs/>
          <w:sz w:val="26"/>
          <w:szCs w:val="26"/>
          <w:rtl/>
        </w:rPr>
        <w:t xml:space="preserve">4. مراجعة الأداء في منطقة Central</w:t>
      </w:r>
    </w:p>
    <w:p>
      <w:pPr>
        <w:pStyle w:val="ListParagraph"/>
        <w:numPr>
          <w:ilvl w:val="0"/>
          <w:numId w:val="2"/>
        </w:numPr>
        <w:bidi/>
        <w:spacing w:after="90"/>
        <w:jc w:val="right"/>
      </w:pPr>
      <w:r>
        <w:rPr>
          <w:rFonts w:ascii="Arial" w:cs="Arial" w:eastAsia="Arial" w:hAnsi="Arial"/>
          <w:rtl/>
        </w:rPr>
        <w:t xml:space="preserve">Central مش الأقل مبيعات، لكنها الأقل في هامش الربح بين كل المناطق (7.92%)، فتستاهل مراجعة أقرب للتسعير أو تكلفة التشغيل فيها.</w:t>
      </w:r>
    </w:p>
    <w:p>
      <w:pPr>
        <w:pStyle w:val="Heading2"/>
        <w:bidi/>
        <w:spacing w:after="120" w:before="240"/>
        <w:jc w:val="right"/>
      </w:pPr>
      <w:r>
        <w:rPr>
          <w:rFonts w:ascii="Arial" w:cs="Arial" w:eastAsia="Arial" w:hAnsi="Arial"/>
          <w:b/>
          <w:bCs/>
          <w:sz w:val="26"/>
          <w:szCs w:val="26"/>
          <w:rtl/>
        </w:rPr>
        <w:t xml:space="preserve">5. الترويج لطرق الشحن الأسرع</w:t>
      </w:r>
    </w:p>
    <w:p>
      <w:pPr>
        <w:pStyle w:val="ListParagraph"/>
        <w:numPr>
          <w:ilvl w:val="0"/>
          <w:numId w:val="2"/>
        </w:numPr>
        <w:bidi/>
        <w:spacing w:after="90"/>
        <w:jc w:val="right"/>
      </w:pPr>
      <w:r>
        <w:rPr>
          <w:rFonts w:ascii="Arial" w:cs="Arial" w:eastAsia="Arial" w:hAnsi="Arial"/>
          <w:rtl/>
        </w:rPr>
        <w:t xml:space="preserve">اعتماد Standard Class الكبير (~60% من الطلبات) بيفتح فرصة تسويقية للترويج لـSecond Class أو First Class كخدمة إضافية مدفوعة.</w:t>
      </w:r>
    </w:p>
    <w:p>
      <w:pPr>
        <w:pStyle w:val="Heading2"/>
        <w:bidi/>
        <w:spacing w:after="120" w:before="240"/>
        <w:jc w:val="right"/>
      </w:pPr>
      <w:r>
        <w:rPr>
          <w:rFonts w:ascii="Arial" w:cs="Arial" w:eastAsia="Arial" w:hAnsi="Arial"/>
          <w:b/>
          <w:bCs/>
          <w:sz w:val="26"/>
          <w:szCs w:val="26"/>
          <w:rtl/>
        </w:rPr>
        <w:t xml:space="preserve">Final Decision</w:t>
      </w:r>
    </w:p>
    <w:tbl>
      <w:tblPr>
        <w:tblW w:type="pct" w:w="100%"/>
        <w:tblBorders>
          <w:top w:val="single" w:color="555555" w:sz="4"/>
          <w:left w:val="single" w:color="555555" w:sz="4"/>
          <w:bottom w:val="single" w:color="555555" w:sz="4"/>
          <w:right w:val="single" w:color="555555"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bidi/>
              <w:spacing w:after="80"/>
              <w:jc w:val="right"/>
            </w:pPr>
            <w:r>
              <w:rPr>
                <w:rFonts w:ascii="Arial" w:cs="Arial" w:eastAsia="Arial" w:hAnsi="Arial"/>
                <w:b/>
                <w:bCs/>
                <w:rtl/>
              </w:rPr>
              <w:t xml:space="preserve">القرار النهائي</w:t>
            </w:r>
          </w:p>
          <w:p>
            <w:pPr>
              <w:bidi/>
              <w:spacing w:after="60"/>
              <w:jc w:val="right"/>
            </w:pPr>
            <w:r>
              <w:rPr>
                <w:rFonts w:ascii="Arial" w:cs="Arial" w:eastAsia="Arial" w:hAnsi="Arial"/>
                <w:rtl/>
              </w:rPr>
              <w:t xml:space="preserve">التحليل يوضح إن المشكلة مش في المبيعات الإجمالية (اللي في نمو مستمر عبر السنين)، لكن في توزيع الربحية: خسارة مركّزة في Tables و Bookcases، وهامش ربح متفاوت بين المناطق والشرائح رغم تقارب المبيعات. لذلك يُوصى بالتعامل مع الربحية على مستوى Sub-Category / Region بدل النظر للـTotal Sales والـTotal Profit كأرقام عامة بس.</w:t>
            </w:r>
          </w:p>
          <w:p>
            <w:pPr>
              <w:bidi/>
              <w:spacing w:after="60"/>
              <w:jc w:val="right"/>
            </w:pPr>
            <w:r>
              <w:rPr>
                <w:rFonts w:ascii="Arial" w:cs="Arial" w:eastAsia="Arial" w:hAnsi="Arial"/>
                <w:rtl/>
              </w:rPr>
              <w:t xml:space="preserve">بالنسبة لملاحظة Total Discount، فهي واعدة كنقطة تحسين تقني بسيط (استخدام AVERAGE بدل SUM) قبل أي عرض نهائي للـMeasure ده على الداشبورد.</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2026-09-27T07:09:23.221Z</dcterms:created>
  <dcterms:modified xsi:type="dcterms:W3CDTF">2026-09-27T07:09:23.221Z</dcterms:modified>
</cp:coreProperties>
</file>

<file path=docProps/custom.xml><?xml version="1.0" encoding="utf-8"?>
<Properties xmlns="http://schemas.openxmlformats.org/officeDocument/2006/custom-properties" xmlns:vt="http://schemas.openxmlformats.org/officeDocument/2006/docPropsVTypes"/>
</file>