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B0E58" w14:textId="6D661454" w:rsidR="00647EB9" w:rsidRPr="00F250BA" w:rsidRDefault="00C630B6" w:rsidP="00F250BA">
      <w:pPr>
        <w:rPr>
          <w:sz w:val="40"/>
          <w:szCs w:val="40"/>
          <w:u w:val="single"/>
        </w:rPr>
      </w:pPr>
      <w:r w:rsidRPr="00C630B6">
        <w:rPr>
          <w:b/>
          <w:bCs/>
          <w:sz w:val="40"/>
          <w:szCs w:val="40"/>
          <w:highlight w:val="yellow"/>
          <w:u w:val="single"/>
        </w:rPr>
        <w:t>Order level Analysis:</w:t>
      </w:r>
    </w:p>
    <w:p w14:paraId="5179E47E" w14:textId="6318F1AE" w:rsidR="00647EB9" w:rsidRPr="00F250BA" w:rsidRDefault="00647EB9" w:rsidP="00F250BA">
      <w:pPr>
        <w:rPr>
          <w:b/>
          <w:bCs/>
        </w:rPr>
      </w:pPr>
      <w:r w:rsidRPr="00F250BA">
        <w:rPr>
          <w:b/>
          <w:bCs/>
        </w:rPr>
        <w:t>High-Demand Areas:</w:t>
      </w:r>
    </w:p>
    <w:p w14:paraId="4C3FA14C" w14:textId="77777777" w:rsidR="00647EB9" w:rsidRDefault="00647EB9" w:rsidP="00F250BA">
      <w:r>
        <w:t>HSR Layout (15,657 orders) and ITI Layout (3,946 orders) are the busiest areas, especially during Afternoon and Night slots.</w:t>
      </w:r>
    </w:p>
    <w:p w14:paraId="401BAD30" w14:textId="77777777" w:rsidR="00647EB9" w:rsidRDefault="00647EB9" w:rsidP="00F250BA">
      <w:proofErr w:type="spellStart"/>
      <w:r>
        <w:t>Harlur</w:t>
      </w:r>
      <w:proofErr w:type="spellEnd"/>
      <w:r>
        <w:t xml:space="preserve"> and Bommanahalli - Mico Layout show moderate demand, mostly in Morning and Afternoon.</w:t>
      </w:r>
    </w:p>
    <w:p w14:paraId="59A6EEBC" w14:textId="34233020" w:rsidR="00647EB9" w:rsidRPr="00F250BA" w:rsidRDefault="00647EB9" w:rsidP="00F250BA">
      <w:pPr>
        <w:rPr>
          <w:b/>
          <w:bCs/>
        </w:rPr>
      </w:pPr>
      <w:r w:rsidRPr="00F250BA">
        <w:rPr>
          <w:b/>
          <w:bCs/>
        </w:rPr>
        <w:t xml:space="preserve">Time Slot </w:t>
      </w:r>
      <w:proofErr w:type="spellStart"/>
      <w:proofErr w:type="gramStart"/>
      <w:r w:rsidRPr="00F250BA">
        <w:rPr>
          <w:b/>
          <w:bCs/>
        </w:rPr>
        <w:t>Insights:</w:t>
      </w:r>
      <w:r>
        <w:t>Afternoon</w:t>
      </w:r>
      <w:proofErr w:type="spellEnd"/>
      <w:proofErr w:type="gramEnd"/>
      <w:r>
        <w:t xml:space="preserve"> has the highest order volume overall, followed by Night.</w:t>
      </w:r>
      <w:r w:rsidR="004803C2" w:rsidRPr="00F250BA">
        <w:rPr>
          <w:b/>
          <w:bCs/>
        </w:rPr>
        <w:t xml:space="preserve"> </w:t>
      </w:r>
      <w:r>
        <w:t>Late Night sees the lowest demand, with orders mostly concentrated in HSR Layout and ITI Layout.</w:t>
      </w:r>
    </w:p>
    <w:p w14:paraId="6205558C" w14:textId="506AE925" w:rsidR="00647EB9" w:rsidRDefault="00647EB9" w:rsidP="00F250BA">
      <w:r w:rsidRPr="00F250BA">
        <w:rPr>
          <w:b/>
          <w:bCs/>
        </w:rPr>
        <w:t xml:space="preserve">Resource Allocation </w:t>
      </w:r>
      <w:proofErr w:type="spellStart"/>
      <w:proofErr w:type="gramStart"/>
      <w:r w:rsidRPr="00F250BA">
        <w:rPr>
          <w:b/>
          <w:bCs/>
        </w:rPr>
        <w:t>Recommendations</w:t>
      </w:r>
      <w:r>
        <w:t>:Prioritize</w:t>
      </w:r>
      <w:proofErr w:type="spellEnd"/>
      <w:proofErr w:type="gramEnd"/>
      <w:r>
        <w:t xml:space="preserve"> staffing and resources in HSR Layout and ITI Layout during peak slots (Afternoon and Night).</w:t>
      </w:r>
    </w:p>
    <w:p w14:paraId="01AFC3DD" w14:textId="0DA6441D" w:rsidR="00647EB9" w:rsidRDefault="00647EB9" w:rsidP="00F250BA">
      <w:r>
        <w:t xml:space="preserve">Minimal resources needed in low-demand areas like JP Nagar Phase 8-9 and </w:t>
      </w:r>
      <w:r>
        <w:t>Brookfield</w:t>
      </w:r>
      <w:r>
        <w:t>.</w:t>
      </w:r>
    </w:p>
    <w:p w14:paraId="17B0E599" w14:textId="44FA1517" w:rsidR="004803C2" w:rsidRPr="00F250BA" w:rsidRDefault="00647EB9" w:rsidP="00F250BA">
      <w:pPr>
        <w:rPr>
          <w:b/>
          <w:bCs/>
        </w:rPr>
      </w:pPr>
      <w:r w:rsidRPr="00F250BA">
        <w:rPr>
          <w:b/>
          <w:bCs/>
        </w:rPr>
        <w:t>Growth Potential:</w:t>
      </w:r>
      <w:r w:rsidR="004803C2" w:rsidRPr="00F250BA">
        <w:rPr>
          <w:b/>
          <w:bCs/>
        </w:rPr>
        <w:t xml:space="preserve"> </w:t>
      </w:r>
      <w:r>
        <w:t xml:space="preserve">Low-demand areas like Richmond Town and </w:t>
      </w:r>
      <w:proofErr w:type="spellStart"/>
      <w:r>
        <w:t>Doddanekundi</w:t>
      </w:r>
      <w:proofErr w:type="spellEnd"/>
      <w:r>
        <w:t xml:space="preserve"> may need targeted marketing if expansion is desired.</w:t>
      </w:r>
    </w:p>
    <w:p w14:paraId="0D549096" w14:textId="184CA9B3" w:rsidR="004803C2" w:rsidRPr="004803C2" w:rsidRDefault="004803C2" w:rsidP="00F250BA">
      <w:r w:rsidRPr="00F250BA">
        <w:rPr>
          <w:b/>
          <w:bCs/>
        </w:rPr>
        <w:t>Targeted Promotions</w:t>
      </w:r>
      <w:r w:rsidRPr="004803C2">
        <w:t xml:space="preserve">: High-discount areas </w:t>
      </w:r>
      <w:r w:rsidRPr="00DF3B54">
        <w:t xml:space="preserve">like </w:t>
      </w:r>
      <w:proofErr w:type="spellStart"/>
      <w:r w:rsidRPr="00DF3B54">
        <w:t>Harlur</w:t>
      </w:r>
      <w:proofErr w:type="spellEnd"/>
      <w:r w:rsidRPr="00DF3B54">
        <w:t xml:space="preserve"> and </w:t>
      </w:r>
      <w:proofErr w:type="spellStart"/>
      <w:r w:rsidRPr="00DF3B54">
        <w:t>Bilekahalli</w:t>
      </w:r>
      <w:proofErr w:type="spellEnd"/>
      <w:r w:rsidRPr="00DF3B54">
        <w:t xml:space="preserve"> might</w:t>
      </w:r>
      <w:r w:rsidRPr="004803C2">
        <w:t xml:space="preserve"> need closer analysis to assess if the promotions lead to sustainable growth or just short-term demand spikes.</w:t>
      </w:r>
    </w:p>
    <w:p w14:paraId="1B59759F" w14:textId="70212697" w:rsidR="004803C2" w:rsidRDefault="004803C2" w:rsidP="00F250BA">
      <w:r w:rsidRPr="00F250BA">
        <w:rPr>
          <w:b/>
          <w:bCs/>
        </w:rPr>
        <w:t>Opportunity for Optimization</w:t>
      </w:r>
      <w:r w:rsidRPr="004803C2">
        <w:t>: Areas with zero or low discount rates could be evaluated for potential promotional strategies if increased demand is a goal.</w:t>
      </w:r>
    </w:p>
    <w:p w14:paraId="1E7819E7" w14:textId="5723A461" w:rsidR="00F250BA" w:rsidRPr="00F250BA" w:rsidRDefault="00F250BA" w:rsidP="00F250BA">
      <w:r w:rsidRPr="00F250BA">
        <w:rPr>
          <w:b/>
          <w:bCs/>
        </w:rPr>
        <w:t>Optimization Opportunities</w:t>
      </w:r>
      <w:r w:rsidRPr="00F250BA">
        <w:t>: Afternoon deliveries incur the highest percentage of delivery charges, suggesting an opportunity to optimize costs in this slot, potentially through route optimization or increasing efficiency.</w:t>
      </w:r>
    </w:p>
    <w:p w14:paraId="008666C6" w14:textId="2FF3EBA1" w:rsidR="00F250BA" w:rsidRPr="00F250BA" w:rsidRDefault="00F250BA" w:rsidP="00F250BA">
      <w:r w:rsidRPr="00F250BA">
        <w:rPr>
          <w:b/>
          <w:bCs/>
        </w:rPr>
        <w:t>Seasonal Adjustments</w:t>
      </w:r>
      <w:r w:rsidRPr="00F250BA">
        <w:t>: May and September have notably high delivery costs as a percentage of the product amount, which may warrant adjustments in pricing or operational strategies to manage peak period costs.</w:t>
      </w:r>
    </w:p>
    <w:p w14:paraId="32FB7C2B" w14:textId="6060FD61" w:rsidR="00647EB9" w:rsidRDefault="00F250BA" w:rsidP="00F250BA">
      <w:r w:rsidRPr="00F250BA">
        <w:rPr>
          <w:b/>
          <w:bCs/>
        </w:rPr>
        <w:t>Late Night Efficiency</w:t>
      </w:r>
      <w:r w:rsidRPr="00F250BA">
        <w:t>: Low delivery costs during late-night hours could be leveraged by encouraging more orders in this time slot, possibly through discounts or targeted marketing campaigns.</w:t>
      </w:r>
    </w:p>
    <w:p w14:paraId="55689585" w14:textId="77777777" w:rsidR="00AD78A2" w:rsidRPr="00F250BA" w:rsidRDefault="00AD78A2" w:rsidP="00F250BA"/>
    <w:p w14:paraId="37453133" w14:textId="283CF3B9" w:rsidR="00C630B6" w:rsidRPr="00C630B6" w:rsidRDefault="00C630B6" w:rsidP="00C630B6">
      <w:pPr>
        <w:rPr>
          <w:sz w:val="40"/>
          <w:szCs w:val="40"/>
          <w:u w:val="single"/>
        </w:rPr>
      </w:pPr>
      <w:r w:rsidRPr="00C630B6">
        <w:rPr>
          <w:b/>
          <w:bCs/>
          <w:sz w:val="40"/>
          <w:szCs w:val="40"/>
          <w:highlight w:val="yellow"/>
          <w:u w:val="single"/>
        </w:rPr>
        <w:t>Completion Rate Analysis:</w:t>
      </w:r>
    </w:p>
    <w:p w14:paraId="1CBB329C" w14:textId="0BA42C03" w:rsidR="00F250BA" w:rsidRPr="00F250BA" w:rsidRDefault="00F250BA" w:rsidP="002706A8">
      <w:r w:rsidRPr="002706A8">
        <w:rPr>
          <w:b/>
          <w:bCs/>
        </w:rPr>
        <w:t>Focus on Weekends</w:t>
      </w:r>
      <w:r w:rsidRPr="00F250BA">
        <w:t>: Lower completion rates on Friday and Saturday nights may require operational adjustments, possibly by increasing resources or optimizing delivery processes.</w:t>
      </w:r>
    </w:p>
    <w:p w14:paraId="54915B72" w14:textId="3EB451AE" w:rsidR="00F250BA" w:rsidRPr="00F250BA" w:rsidRDefault="00F250BA" w:rsidP="002706A8">
      <w:r w:rsidRPr="002706A8">
        <w:rPr>
          <w:b/>
          <w:bCs/>
        </w:rPr>
        <w:t>Consistently High Performance</w:t>
      </w:r>
      <w:r w:rsidRPr="00F250BA">
        <w:t>: Afternoon and morning slots maintain high completion rates, making them reliable slots for deliveries.</w:t>
      </w:r>
    </w:p>
    <w:p w14:paraId="5407DD92" w14:textId="0EA5DCA7" w:rsidR="00F250BA" w:rsidRDefault="00F250BA" w:rsidP="002706A8">
      <w:r w:rsidRPr="002706A8">
        <w:rPr>
          <w:b/>
          <w:bCs/>
        </w:rPr>
        <w:t>Specific Time Challenges</w:t>
      </w:r>
      <w:r w:rsidRPr="00F250BA">
        <w:t>: Monitoring and further analysis of Saturday night and Friday morning could help address the unique challenges in these slots, potentially improving overall completion rates.</w:t>
      </w:r>
    </w:p>
    <w:p w14:paraId="16626F09" w14:textId="296648E9" w:rsidR="00F250BA" w:rsidRPr="00F250BA" w:rsidRDefault="00F250BA" w:rsidP="002706A8">
      <w:r w:rsidRPr="002706A8">
        <w:rPr>
          <w:b/>
          <w:bCs/>
        </w:rPr>
        <w:t>Single-Item Orders</w:t>
      </w:r>
      <w:r w:rsidRPr="00F250BA">
        <w:t>: Slightly lower completion rates on single-item orders could benefit from focused improvements in logistics or handling processes.</w:t>
      </w:r>
    </w:p>
    <w:p w14:paraId="594A60A5" w14:textId="05E01EBD" w:rsidR="00F250BA" w:rsidRPr="00F250BA" w:rsidRDefault="00F250BA" w:rsidP="002706A8">
      <w:r w:rsidRPr="002706A8">
        <w:rPr>
          <w:b/>
          <w:bCs/>
        </w:rPr>
        <w:lastRenderedPageBreak/>
        <w:t>Large Orders (12+ Products)</w:t>
      </w:r>
      <w:r w:rsidRPr="00F250BA">
        <w:t>: The system performs exceptionally well with large orders, showing a perfect completion rate for quantities of 12 products and above.</w:t>
      </w:r>
    </w:p>
    <w:p w14:paraId="53CA7116" w14:textId="109A4270" w:rsidR="00F250BA" w:rsidRDefault="00F250BA" w:rsidP="002706A8">
      <w:r w:rsidRPr="002706A8">
        <w:rPr>
          <w:b/>
          <w:bCs/>
        </w:rPr>
        <w:t>Small Variations in Mid-Range Orders</w:t>
      </w:r>
      <w:r w:rsidRPr="00F250BA">
        <w:t>: Orders with 3 to 6 items have minor dips in completion rates, suggesting that this range could benefit from minor operational adjustments for optimization.</w:t>
      </w:r>
    </w:p>
    <w:p w14:paraId="5F8C2C03" w14:textId="67F48747" w:rsidR="00F250BA" w:rsidRPr="00F250BA" w:rsidRDefault="00F250BA" w:rsidP="002706A8">
      <w:r w:rsidRPr="002706A8">
        <w:rPr>
          <w:b/>
          <w:bCs/>
        </w:rPr>
        <w:t>Reliability Across Most Areas</w:t>
      </w:r>
      <w:r w:rsidRPr="00F250BA">
        <w:t>: The vast majority of drop areas exhibit high or perfect completion rates, which is a positive indication of the reliability of the delivery operations.</w:t>
      </w:r>
    </w:p>
    <w:p w14:paraId="1F8155F8" w14:textId="5700B0A8" w:rsidR="00F250BA" w:rsidRPr="00F250BA" w:rsidRDefault="00F250BA" w:rsidP="002706A8">
      <w:r w:rsidRPr="002706A8">
        <w:rPr>
          <w:b/>
          <w:bCs/>
        </w:rPr>
        <w:t>Focus Areas for Improvement</w:t>
      </w:r>
      <w:r w:rsidRPr="00F250BA">
        <w:t xml:space="preserve">: </w:t>
      </w:r>
      <w:r w:rsidRPr="002706A8">
        <w:rPr>
          <w:b/>
          <w:bCs/>
        </w:rPr>
        <w:t>Whitefield, Cox Town, Domlur, EGL, Marathahalli,</w:t>
      </w:r>
      <w:r w:rsidRPr="00F250BA">
        <w:t xml:space="preserve"> and </w:t>
      </w:r>
      <w:r w:rsidRPr="002706A8">
        <w:rPr>
          <w:b/>
          <w:bCs/>
        </w:rPr>
        <w:t>Viveka Nagar</w:t>
      </w:r>
      <w:r w:rsidRPr="00F250BA">
        <w:t xml:space="preserve"> could benefit from focused operational reviews to understand and address factors impacting completion rates.</w:t>
      </w:r>
    </w:p>
    <w:p w14:paraId="747D4931" w14:textId="08F38FCB" w:rsidR="00C630B6" w:rsidRPr="00C630B6" w:rsidRDefault="00F250BA" w:rsidP="002706A8">
      <w:r w:rsidRPr="002706A8">
        <w:rPr>
          <w:b/>
          <w:bCs/>
        </w:rPr>
        <w:t>High-Volume Areas with Consistent Performance</w:t>
      </w:r>
      <w:r w:rsidRPr="00F250BA">
        <w:t xml:space="preserve">: Areas like </w:t>
      </w:r>
      <w:r w:rsidRPr="002706A8">
        <w:rPr>
          <w:b/>
          <w:bCs/>
        </w:rPr>
        <w:t xml:space="preserve">HSR Layout, </w:t>
      </w:r>
      <w:proofErr w:type="spellStart"/>
      <w:r w:rsidRPr="002706A8">
        <w:rPr>
          <w:b/>
          <w:bCs/>
        </w:rPr>
        <w:t>Harlur</w:t>
      </w:r>
      <w:proofErr w:type="spellEnd"/>
      <w:r w:rsidRPr="002706A8">
        <w:rPr>
          <w:b/>
          <w:bCs/>
        </w:rPr>
        <w:t>,</w:t>
      </w:r>
      <w:r w:rsidRPr="00F250BA">
        <w:t xml:space="preserve"> and </w:t>
      </w:r>
      <w:r w:rsidRPr="002706A8">
        <w:rPr>
          <w:b/>
          <w:bCs/>
        </w:rPr>
        <w:t>ITI Layout</w:t>
      </w:r>
      <w:r w:rsidRPr="00F250BA">
        <w:t xml:space="preserve"> handle large order volumes while maintaining high completion rates, suggesting that practices here could be benchmarks for other areas.</w:t>
      </w:r>
      <w:r w:rsidR="00C630B6" w:rsidRPr="00C630B6">
        <w:br/>
      </w:r>
    </w:p>
    <w:p w14:paraId="056DCA93" w14:textId="04235B69" w:rsidR="00C630B6" w:rsidRPr="00C630B6" w:rsidRDefault="00C630B6" w:rsidP="00C630B6">
      <w:pPr>
        <w:rPr>
          <w:sz w:val="36"/>
          <w:szCs w:val="36"/>
        </w:rPr>
      </w:pPr>
      <w:r w:rsidRPr="00C630B6">
        <w:rPr>
          <w:b/>
          <w:bCs/>
          <w:sz w:val="36"/>
          <w:szCs w:val="36"/>
          <w:highlight w:val="yellow"/>
        </w:rPr>
        <w:t>Customer Level Analysis</w:t>
      </w:r>
      <w:r w:rsidR="00DF3B54" w:rsidRPr="00DF3B54">
        <w:rPr>
          <w:b/>
          <w:bCs/>
          <w:sz w:val="36"/>
          <w:szCs w:val="36"/>
          <w:highlight w:val="yellow"/>
        </w:rPr>
        <w:t>:</w:t>
      </w:r>
    </w:p>
    <w:p w14:paraId="299BC749" w14:textId="77777777" w:rsidR="000E7F24" w:rsidRDefault="000E7F24" w:rsidP="00C630B6">
      <w:r w:rsidRPr="000E7F24">
        <w:t>The completion rate analysis reveals that all marketing channels are performing exceptionally well, with overall rates exceeding 99%. While Organic, Facebook, and Snapchat lead in effectiveness, there is potential for improvement on Instagram and Offline Campaigns. Leveraging insights from this analysis will enable us to optimize our strategies further, ensuring sustained high performance and enhanced user engagement.</w:t>
      </w:r>
    </w:p>
    <w:p w14:paraId="6509B530" w14:textId="59163909" w:rsidR="000E7F24" w:rsidRPr="000E7F24" w:rsidRDefault="000E7F24" w:rsidP="00A05C6C">
      <w:r w:rsidRPr="000E7F24">
        <w:rPr>
          <w:b/>
          <w:bCs/>
        </w:rPr>
        <w:t>Focus on High-Performing Channels</w:t>
      </w:r>
      <w:r w:rsidRPr="000E7F24">
        <w:t>:</w:t>
      </w:r>
    </w:p>
    <w:p w14:paraId="4078EE98" w14:textId="77777777" w:rsidR="000E7F24" w:rsidRPr="000E7F24" w:rsidRDefault="000E7F24" w:rsidP="00A05C6C">
      <w:r w:rsidRPr="000E7F24">
        <w:t>Continue to invest in channels like Google and Snapchat where the aggregated LTV is higher, potentially increasing marketing spend or resource allocation to these platforms.</w:t>
      </w:r>
    </w:p>
    <w:p w14:paraId="7A66163B" w14:textId="5020E438" w:rsidR="000E7F24" w:rsidRPr="000E7F24" w:rsidRDefault="000E7F24" w:rsidP="00A05C6C">
      <w:r w:rsidRPr="000E7F24">
        <w:rPr>
          <w:b/>
          <w:bCs/>
        </w:rPr>
        <w:t>Investigate Lower-Performing Channels</w:t>
      </w:r>
      <w:r w:rsidRPr="000E7F24">
        <w:t>:</w:t>
      </w:r>
    </w:p>
    <w:p w14:paraId="396FCD8B" w14:textId="77777777" w:rsidR="000E7F24" w:rsidRPr="000E7F24" w:rsidRDefault="000E7F24" w:rsidP="00A05C6C">
      <w:r w:rsidRPr="000E7F24">
        <w:t xml:space="preserve">For Instagram, </w:t>
      </w:r>
      <w:proofErr w:type="spellStart"/>
      <w:r w:rsidRPr="000E7F24">
        <w:t>analyze</w:t>
      </w:r>
      <w:proofErr w:type="spellEnd"/>
      <w:r w:rsidRPr="000E7F24">
        <w:t xml:space="preserve"> user engagement and conversion strategies to identify ways to enhance customer value and improve the aggregated LTV.</w:t>
      </w:r>
    </w:p>
    <w:p w14:paraId="112D2DEF" w14:textId="311B8265" w:rsidR="000E7F24" w:rsidRPr="000E7F24" w:rsidRDefault="000E7F24" w:rsidP="00A05C6C">
      <w:r w:rsidRPr="000E7F24">
        <w:rPr>
          <w:b/>
          <w:bCs/>
        </w:rPr>
        <w:t>Monitor Trends</w:t>
      </w:r>
      <w:r w:rsidRPr="000E7F24">
        <w:t>:</w:t>
      </w:r>
    </w:p>
    <w:p w14:paraId="0D47D489" w14:textId="77777777" w:rsidR="000E7F24" w:rsidRPr="000E7F24" w:rsidRDefault="000E7F24" w:rsidP="00A05C6C">
      <w:r w:rsidRPr="000E7F24">
        <w:t>Regularly review these metrics to track any changes in customer value over time. This will help in adjusting strategies as market dynamics evolve.</w:t>
      </w:r>
    </w:p>
    <w:p w14:paraId="17B153C7" w14:textId="64DAF964" w:rsidR="000E7F24" w:rsidRPr="000E7F24" w:rsidRDefault="000E7F24" w:rsidP="00A05C6C">
      <w:r w:rsidRPr="000E7F24">
        <w:rPr>
          <w:b/>
          <w:bCs/>
        </w:rPr>
        <w:t>Customer Retention Strategies</w:t>
      </w:r>
      <w:r w:rsidRPr="000E7F24">
        <w:t>:</w:t>
      </w:r>
    </w:p>
    <w:p w14:paraId="600120EC" w14:textId="19E93BF3" w:rsidR="00C630B6" w:rsidRDefault="000E7F24" w:rsidP="00C630B6">
      <w:r w:rsidRPr="000E7F24">
        <w:t>Implement targeted retention strategies across all channels to maximize the lifetime value of customers, especially in those sources with lower aggregated LTV.</w:t>
      </w:r>
    </w:p>
    <w:p w14:paraId="543CD6F0" w14:textId="77777777" w:rsidR="008A09D3" w:rsidRPr="00C630B6" w:rsidRDefault="008A09D3" w:rsidP="00C630B6"/>
    <w:p w14:paraId="2658EE6E" w14:textId="24076FA3" w:rsidR="00C630B6" w:rsidRPr="00C630B6" w:rsidRDefault="00C630B6" w:rsidP="00C630B6">
      <w:pPr>
        <w:rPr>
          <w:b/>
          <w:bCs/>
          <w:sz w:val="36"/>
          <w:szCs w:val="36"/>
        </w:rPr>
      </w:pPr>
      <w:r w:rsidRPr="00C630B6">
        <w:rPr>
          <w:b/>
          <w:bCs/>
          <w:sz w:val="36"/>
          <w:szCs w:val="36"/>
          <w:highlight w:val="yellow"/>
        </w:rPr>
        <w:t>Delivery Analysi</w:t>
      </w:r>
      <w:r w:rsidR="00DF3B54" w:rsidRPr="00DF3B54">
        <w:rPr>
          <w:b/>
          <w:bCs/>
          <w:sz w:val="36"/>
          <w:szCs w:val="36"/>
          <w:highlight w:val="yellow"/>
        </w:rPr>
        <w:t>s</w:t>
      </w:r>
      <w:r w:rsidRPr="00C630B6">
        <w:rPr>
          <w:b/>
          <w:bCs/>
          <w:sz w:val="36"/>
          <w:szCs w:val="36"/>
          <w:highlight w:val="yellow"/>
        </w:rPr>
        <w:t>:</w:t>
      </w:r>
    </w:p>
    <w:p w14:paraId="7F4445ED" w14:textId="77777777" w:rsidR="008A09D3" w:rsidRPr="008A09D3" w:rsidRDefault="008A09D3" w:rsidP="008A09D3">
      <w:r w:rsidRPr="008A09D3">
        <w:rPr>
          <w:b/>
          <w:bCs/>
        </w:rPr>
        <w:t>Overall Delivery Performance</w:t>
      </w:r>
      <w:r w:rsidRPr="008A09D3">
        <w:t>:</w:t>
      </w:r>
    </w:p>
    <w:p w14:paraId="793B899C" w14:textId="77777777" w:rsidR="008A09D3" w:rsidRPr="00B4629E" w:rsidRDefault="008A09D3" w:rsidP="008A09D3">
      <w:r w:rsidRPr="00B4629E">
        <w:t>The Grand Total across all locations and months shows a significant negative value of -126.29, indicating that there are overall delays in delivery times for the observed period.</w:t>
      </w:r>
    </w:p>
    <w:p w14:paraId="7DE3187D" w14:textId="77777777" w:rsidR="008A09D3" w:rsidRDefault="008A09D3" w:rsidP="008A09D3">
      <w:r w:rsidRPr="008A09D3">
        <w:rPr>
          <w:b/>
          <w:bCs/>
        </w:rPr>
        <w:lastRenderedPageBreak/>
        <w:t>Top Performing Areas</w:t>
      </w:r>
      <w:r w:rsidRPr="008A09D3">
        <w:t>:</w:t>
      </w:r>
    </w:p>
    <w:p w14:paraId="573AB84F" w14:textId="0EDDE736" w:rsidR="008A09D3" w:rsidRPr="00B4629E" w:rsidRDefault="008A09D3" w:rsidP="004A4B0B">
      <w:r w:rsidRPr="008A09D3">
        <w:rPr>
          <w:b/>
          <w:bCs/>
        </w:rPr>
        <w:t>Manipal County</w:t>
      </w:r>
      <w:r w:rsidRPr="008A09D3">
        <w:t xml:space="preserve">: </w:t>
      </w:r>
      <w:r w:rsidRPr="00B4629E">
        <w:t>Notably positive performance with a total of 2.10, suggesting relatively efficient delivery times compared to other locations.</w:t>
      </w:r>
      <w:r w:rsidR="004A4B0B" w:rsidRPr="00B4629E">
        <w:t xml:space="preserve"> </w:t>
      </w:r>
      <w:r w:rsidRPr="00B4629E">
        <w:t>Bellandur, Sarjapur Road: Shows a high positive value of 2.03 in delivery times, indicating that deliveries in this area may be efficient, particularly in some months.</w:t>
      </w:r>
    </w:p>
    <w:p w14:paraId="02BD89F7" w14:textId="77777777" w:rsidR="008A09D3" w:rsidRPr="008A09D3" w:rsidRDefault="008A09D3" w:rsidP="008A09D3">
      <w:r w:rsidRPr="008A09D3">
        <w:rPr>
          <w:b/>
          <w:bCs/>
        </w:rPr>
        <w:t>Significantly Poor Performance</w:t>
      </w:r>
      <w:r w:rsidRPr="008A09D3">
        <w:t>:</w:t>
      </w:r>
    </w:p>
    <w:p w14:paraId="2AA27F27" w14:textId="62E6ECF9" w:rsidR="008A09D3" w:rsidRPr="00B4629E" w:rsidRDefault="008A09D3" w:rsidP="004A4B0B">
      <w:proofErr w:type="spellStart"/>
      <w:r w:rsidRPr="008A09D3">
        <w:rPr>
          <w:b/>
          <w:bCs/>
        </w:rPr>
        <w:t>Hsr</w:t>
      </w:r>
      <w:proofErr w:type="spellEnd"/>
      <w:r w:rsidRPr="008A09D3">
        <w:rPr>
          <w:b/>
          <w:bCs/>
        </w:rPr>
        <w:t xml:space="preserve"> Layout</w:t>
      </w:r>
      <w:r w:rsidRPr="008A09D3">
        <w:t xml:space="preserve">: </w:t>
      </w:r>
      <w:r w:rsidRPr="00B4629E">
        <w:t>This location has the highest negative sum of -96.95, indicating severe delivery delays throughout the observed months. This may require immediate attention to improve delivery logistics.</w:t>
      </w:r>
      <w:r w:rsidR="004A4B0B" w:rsidRPr="00B4629E">
        <w:t xml:space="preserve"> </w:t>
      </w:r>
      <w:proofErr w:type="spellStart"/>
      <w:r w:rsidRPr="00B4629E">
        <w:t>Bomannahalli</w:t>
      </w:r>
      <w:proofErr w:type="spellEnd"/>
      <w:r w:rsidRPr="00B4629E">
        <w:t>: Also shows a considerable negative value of -0.78, indicating consistent delays.</w:t>
      </w:r>
    </w:p>
    <w:p w14:paraId="36F4C127" w14:textId="77777777" w:rsidR="008A09D3" w:rsidRPr="008A09D3" w:rsidRDefault="008A09D3" w:rsidP="008A09D3">
      <w:r w:rsidRPr="008A09D3">
        <w:rPr>
          <w:b/>
          <w:bCs/>
        </w:rPr>
        <w:t>Monthly Trends</w:t>
      </w:r>
      <w:r w:rsidRPr="008A09D3">
        <w:t>:</w:t>
      </w:r>
    </w:p>
    <w:p w14:paraId="66A2C1AB" w14:textId="77777777" w:rsidR="008A09D3" w:rsidRPr="008A09D3" w:rsidRDefault="008A09D3" w:rsidP="004A4B0B">
      <w:r w:rsidRPr="008A09D3">
        <w:rPr>
          <w:b/>
          <w:bCs/>
        </w:rPr>
        <w:t>April</w:t>
      </w:r>
      <w:r w:rsidRPr="008A09D3">
        <w:t xml:space="preserve"> shows the most significant negative impact across various locations, with a </w:t>
      </w:r>
      <w:r w:rsidRPr="001E421D">
        <w:t>total of -19.35. This</w:t>
      </w:r>
      <w:r w:rsidRPr="008A09D3">
        <w:t xml:space="preserve"> may indicate systemic issues during this month that could have led to increased delivery times, such as higher order volumes or logistical challenges.</w:t>
      </w:r>
    </w:p>
    <w:p w14:paraId="0CECA86C" w14:textId="77777777" w:rsidR="008A09D3" w:rsidRPr="008A09D3" w:rsidRDefault="008A09D3" w:rsidP="004A4B0B">
      <w:r w:rsidRPr="008A09D3">
        <w:rPr>
          <w:b/>
          <w:bCs/>
        </w:rPr>
        <w:t>May</w:t>
      </w:r>
      <w:r w:rsidRPr="008A09D3">
        <w:t xml:space="preserve"> also records the highest negative </w:t>
      </w:r>
      <w:r w:rsidRPr="001E421D">
        <w:t>value of -57.50, indicating</w:t>
      </w:r>
      <w:r w:rsidRPr="008A09D3">
        <w:t xml:space="preserve"> that this month experienced substantial delivery delays.</w:t>
      </w:r>
    </w:p>
    <w:p w14:paraId="6E05EEE7" w14:textId="77777777" w:rsidR="008A09D3" w:rsidRPr="008A09D3" w:rsidRDefault="008A09D3" w:rsidP="008A09D3">
      <w:r w:rsidRPr="008A09D3">
        <w:rPr>
          <w:b/>
          <w:bCs/>
        </w:rPr>
        <w:t>Fluctuating Delivery Times</w:t>
      </w:r>
      <w:r w:rsidRPr="008A09D3">
        <w:t>:</w:t>
      </w:r>
    </w:p>
    <w:p w14:paraId="74AB128B" w14:textId="275AB4CC" w:rsidR="008A09D3" w:rsidRPr="00B4629E" w:rsidRDefault="008A09D3" w:rsidP="004A4B0B">
      <w:r w:rsidRPr="00B4629E">
        <w:t xml:space="preserve">Some locations like Bellandur, Sarjapur Road and </w:t>
      </w:r>
      <w:proofErr w:type="spellStart"/>
      <w:r w:rsidRPr="00B4629E">
        <w:t>Harlur</w:t>
      </w:r>
      <w:proofErr w:type="spellEnd"/>
      <w:r w:rsidRPr="00B4629E">
        <w:t xml:space="preserve"> show variability, with fluctuating delivery times across different months. This suggests that delivery efficiency may be affected by external factors such as traffic, weather, or order volume fluctuations.</w:t>
      </w:r>
    </w:p>
    <w:p w14:paraId="7D4B4BA7" w14:textId="5DD6CE4C" w:rsidR="007A4D57" w:rsidRPr="00C630B6" w:rsidRDefault="007A4D57" w:rsidP="004A4B0B"/>
    <w:sectPr w:rsidR="007A4D57" w:rsidRPr="00C63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61D9A"/>
    <w:multiLevelType w:val="hybridMultilevel"/>
    <w:tmpl w:val="A9DC0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076CB9"/>
    <w:multiLevelType w:val="multilevel"/>
    <w:tmpl w:val="F75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A6E53"/>
    <w:multiLevelType w:val="multilevel"/>
    <w:tmpl w:val="FDDA2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2545E"/>
    <w:multiLevelType w:val="hybridMultilevel"/>
    <w:tmpl w:val="C6D68CCA"/>
    <w:lvl w:ilvl="0" w:tplc="9EB6203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955FF8"/>
    <w:multiLevelType w:val="multilevel"/>
    <w:tmpl w:val="F75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3609F"/>
    <w:multiLevelType w:val="multilevel"/>
    <w:tmpl w:val="FDDA2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415AD5"/>
    <w:multiLevelType w:val="hybridMultilevel"/>
    <w:tmpl w:val="B5BEA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E3228F"/>
    <w:multiLevelType w:val="hybridMultilevel"/>
    <w:tmpl w:val="1B22486C"/>
    <w:lvl w:ilvl="0" w:tplc="9EB6203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B758F1"/>
    <w:multiLevelType w:val="hybridMultilevel"/>
    <w:tmpl w:val="CF8CC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766E65"/>
    <w:multiLevelType w:val="hybridMultilevel"/>
    <w:tmpl w:val="F182A6CC"/>
    <w:lvl w:ilvl="0" w:tplc="9EB6203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7F6B71"/>
    <w:multiLevelType w:val="multilevel"/>
    <w:tmpl w:val="F75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A4523"/>
    <w:multiLevelType w:val="multilevel"/>
    <w:tmpl w:val="F75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E5064"/>
    <w:multiLevelType w:val="multilevel"/>
    <w:tmpl w:val="FDDA2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460A15"/>
    <w:multiLevelType w:val="hybridMultilevel"/>
    <w:tmpl w:val="67F21250"/>
    <w:lvl w:ilvl="0" w:tplc="9EB6203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D552E1"/>
    <w:multiLevelType w:val="multilevel"/>
    <w:tmpl w:val="95C6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55DCB"/>
    <w:multiLevelType w:val="multilevel"/>
    <w:tmpl w:val="01AA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D160EE"/>
    <w:multiLevelType w:val="hybridMultilevel"/>
    <w:tmpl w:val="03F42A70"/>
    <w:lvl w:ilvl="0" w:tplc="6E6243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96F19"/>
    <w:multiLevelType w:val="multilevel"/>
    <w:tmpl w:val="F75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721060"/>
    <w:multiLevelType w:val="multilevel"/>
    <w:tmpl w:val="F75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B20FAF"/>
    <w:multiLevelType w:val="hybridMultilevel"/>
    <w:tmpl w:val="C242D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AB65C5"/>
    <w:multiLevelType w:val="multilevel"/>
    <w:tmpl w:val="0224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F815C1"/>
    <w:multiLevelType w:val="hybridMultilevel"/>
    <w:tmpl w:val="742AFF82"/>
    <w:lvl w:ilvl="0" w:tplc="9EB6203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5264246">
    <w:abstractNumId w:val="20"/>
  </w:num>
  <w:num w:numId="2" w16cid:durableId="1015156088">
    <w:abstractNumId w:val="4"/>
  </w:num>
  <w:num w:numId="3" w16cid:durableId="1328747059">
    <w:abstractNumId w:val="14"/>
  </w:num>
  <w:num w:numId="4" w16cid:durableId="2050765543">
    <w:abstractNumId w:val="15"/>
  </w:num>
  <w:num w:numId="5" w16cid:durableId="745953879">
    <w:abstractNumId w:val="1"/>
  </w:num>
  <w:num w:numId="6" w16cid:durableId="1020160752">
    <w:abstractNumId w:val="16"/>
  </w:num>
  <w:num w:numId="7" w16cid:durableId="489297357">
    <w:abstractNumId w:val="0"/>
  </w:num>
  <w:num w:numId="8" w16cid:durableId="665402265">
    <w:abstractNumId w:val="6"/>
  </w:num>
  <w:num w:numId="9" w16cid:durableId="645400747">
    <w:abstractNumId w:val="8"/>
  </w:num>
  <w:num w:numId="10" w16cid:durableId="956446819">
    <w:abstractNumId w:val="19"/>
  </w:num>
  <w:num w:numId="11" w16cid:durableId="999768897">
    <w:abstractNumId w:val="13"/>
  </w:num>
  <w:num w:numId="12" w16cid:durableId="350031756">
    <w:abstractNumId w:val="9"/>
  </w:num>
  <w:num w:numId="13" w16cid:durableId="1687174475">
    <w:abstractNumId w:val="7"/>
  </w:num>
  <w:num w:numId="14" w16cid:durableId="818961700">
    <w:abstractNumId w:val="21"/>
  </w:num>
  <w:num w:numId="15" w16cid:durableId="1821341142">
    <w:abstractNumId w:val="17"/>
  </w:num>
  <w:num w:numId="16" w16cid:durableId="1814564809">
    <w:abstractNumId w:val="18"/>
  </w:num>
  <w:num w:numId="17" w16cid:durableId="319967735">
    <w:abstractNumId w:val="10"/>
  </w:num>
  <w:num w:numId="18" w16cid:durableId="38238647">
    <w:abstractNumId w:val="11"/>
  </w:num>
  <w:num w:numId="19" w16cid:durableId="1805389685">
    <w:abstractNumId w:val="3"/>
  </w:num>
  <w:num w:numId="20" w16cid:durableId="3938780">
    <w:abstractNumId w:val="5"/>
  </w:num>
  <w:num w:numId="21" w16cid:durableId="187181767">
    <w:abstractNumId w:val="12"/>
  </w:num>
  <w:num w:numId="22" w16cid:durableId="1384792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0B6"/>
    <w:rsid w:val="000E7F24"/>
    <w:rsid w:val="001A4850"/>
    <w:rsid w:val="001E421D"/>
    <w:rsid w:val="002706A8"/>
    <w:rsid w:val="004803C2"/>
    <w:rsid w:val="004A4B0B"/>
    <w:rsid w:val="00647EB9"/>
    <w:rsid w:val="007A4D57"/>
    <w:rsid w:val="008A09D3"/>
    <w:rsid w:val="00A05C6C"/>
    <w:rsid w:val="00AD78A2"/>
    <w:rsid w:val="00B4629E"/>
    <w:rsid w:val="00BD5C4C"/>
    <w:rsid w:val="00C630B6"/>
    <w:rsid w:val="00DF3B54"/>
    <w:rsid w:val="00E5115A"/>
    <w:rsid w:val="00F25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995CB"/>
  <w15:chartTrackingRefBased/>
  <w15:docId w15:val="{055D13B3-3680-4181-98BC-D30C421E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792535">
      <w:bodyDiv w:val="1"/>
      <w:marLeft w:val="0"/>
      <w:marRight w:val="0"/>
      <w:marTop w:val="0"/>
      <w:marBottom w:val="0"/>
      <w:divBdr>
        <w:top w:val="none" w:sz="0" w:space="0" w:color="auto"/>
        <w:left w:val="none" w:sz="0" w:space="0" w:color="auto"/>
        <w:bottom w:val="none" w:sz="0" w:space="0" w:color="auto"/>
        <w:right w:val="none" w:sz="0" w:space="0" w:color="auto"/>
      </w:divBdr>
    </w:div>
    <w:div w:id="332876014">
      <w:bodyDiv w:val="1"/>
      <w:marLeft w:val="0"/>
      <w:marRight w:val="0"/>
      <w:marTop w:val="0"/>
      <w:marBottom w:val="0"/>
      <w:divBdr>
        <w:top w:val="none" w:sz="0" w:space="0" w:color="auto"/>
        <w:left w:val="none" w:sz="0" w:space="0" w:color="auto"/>
        <w:bottom w:val="none" w:sz="0" w:space="0" w:color="auto"/>
        <w:right w:val="none" w:sz="0" w:space="0" w:color="auto"/>
      </w:divBdr>
    </w:div>
    <w:div w:id="514805075">
      <w:bodyDiv w:val="1"/>
      <w:marLeft w:val="0"/>
      <w:marRight w:val="0"/>
      <w:marTop w:val="0"/>
      <w:marBottom w:val="0"/>
      <w:divBdr>
        <w:top w:val="none" w:sz="0" w:space="0" w:color="auto"/>
        <w:left w:val="none" w:sz="0" w:space="0" w:color="auto"/>
        <w:bottom w:val="none" w:sz="0" w:space="0" w:color="auto"/>
        <w:right w:val="none" w:sz="0" w:space="0" w:color="auto"/>
      </w:divBdr>
    </w:div>
    <w:div w:id="517701062">
      <w:bodyDiv w:val="1"/>
      <w:marLeft w:val="0"/>
      <w:marRight w:val="0"/>
      <w:marTop w:val="0"/>
      <w:marBottom w:val="0"/>
      <w:divBdr>
        <w:top w:val="none" w:sz="0" w:space="0" w:color="auto"/>
        <w:left w:val="none" w:sz="0" w:space="0" w:color="auto"/>
        <w:bottom w:val="none" w:sz="0" w:space="0" w:color="auto"/>
        <w:right w:val="none" w:sz="0" w:space="0" w:color="auto"/>
      </w:divBdr>
    </w:div>
    <w:div w:id="520628281">
      <w:bodyDiv w:val="1"/>
      <w:marLeft w:val="0"/>
      <w:marRight w:val="0"/>
      <w:marTop w:val="0"/>
      <w:marBottom w:val="0"/>
      <w:divBdr>
        <w:top w:val="none" w:sz="0" w:space="0" w:color="auto"/>
        <w:left w:val="none" w:sz="0" w:space="0" w:color="auto"/>
        <w:bottom w:val="none" w:sz="0" w:space="0" w:color="auto"/>
        <w:right w:val="none" w:sz="0" w:space="0" w:color="auto"/>
      </w:divBdr>
    </w:div>
    <w:div w:id="616987509">
      <w:bodyDiv w:val="1"/>
      <w:marLeft w:val="0"/>
      <w:marRight w:val="0"/>
      <w:marTop w:val="0"/>
      <w:marBottom w:val="0"/>
      <w:divBdr>
        <w:top w:val="none" w:sz="0" w:space="0" w:color="auto"/>
        <w:left w:val="none" w:sz="0" w:space="0" w:color="auto"/>
        <w:bottom w:val="none" w:sz="0" w:space="0" w:color="auto"/>
        <w:right w:val="none" w:sz="0" w:space="0" w:color="auto"/>
      </w:divBdr>
    </w:div>
    <w:div w:id="705832517">
      <w:bodyDiv w:val="1"/>
      <w:marLeft w:val="0"/>
      <w:marRight w:val="0"/>
      <w:marTop w:val="0"/>
      <w:marBottom w:val="0"/>
      <w:divBdr>
        <w:top w:val="none" w:sz="0" w:space="0" w:color="auto"/>
        <w:left w:val="none" w:sz="0" w:space="0" w:color="auto"/>
        <w:bottom w:val="none" w:sz="0" w:space="0" w:color="auto"/>
        <w:right w:val="none" w:sz="0" w:space="0" w:color="auto"/>
      </w:divBdr>
    </w:div>
    <w:div w:id="784345385">
      <w:bodyDiv w:val="1"/>
      <w:marLeft w:val="0"/>
      <w:marRight w:val="0"/>
      <w:marTop w:val="0"/>
      <w:marBottom w:val="0"/>
      <w:divBdr>
        <w:top w:val="none" w:sz="0" w:space="0" w:color="auto"/>
        <w:left w:val="none" w:sz="0" w:space="0" w:color="auto"/>
        <w:bottom w:val="none" w:sz="0" w:space="0" w:color="auto"/>
        <w:right w:val="none" w:sz="0" w:space="0" w:color="auto"/>
      </w:divBdr>
    </w:div>
    <w:div w:id="916522899">
      <w:bodyDiv w:val="1"/>
      <w:marLeft w:val="0"/>
      <w:marRight w:val="0"/>
      <w:marTop w:val="0"/>
      <w:marBottom w:val="0"/>
      <w:divBdr>
        <w:top w:val="none" w:sz="0" w:space="0" w:color="auto"/>
        <w:left w:val="none" w:sz="0" w:space="0" w:color="auto"/>
        <w:bottom w:val="none" w:sz="0" w:space="0" w:color="auto"/>
        <w:right w:val="none" w:sz="0" w:space="0" w:color="auto"/>
      </w:divBdr>
    </w:div>
    <w:div w:id="980693172">
      <w:bodyDiv w:val="1"/>
      <w:marLeft w:val="0"/>
      <w:marRight w:val="0"/>
      <w:marTop w:val="0"/>
      <w:marBottom w:val="0"/>
      <w:divBdr>
        <w:top w:val="none" w:sz="0" w:space="0" w:color="auto"/>
        <w:left w:val="none" w:sz="0" w:space="0" w:color="auto"/>
        <w:bottom w:val="none" w:sz="0" w:space="0" w:color="auto"/>
        <w:right w:val="none" w:sz="0" w:space="0" w:color="auto"/>
      </w:divBdr>
    </w:div>
    <w:div w:id="1024746101">
      <w:bodyDiv w:val="1"/>
      <w:marLeft w:val="0"/>
      <w:marRight w:val="0"/>
      <w:marTop w:val="0"/>
      <w:marBottom w:val="0"/>
      <w:divBdr>
        <w:top w:val="none" w:sz="0" w:space="0" w:color="auto"/>
        <w:left w:val="none" w:sz="0" w:space="0" w:color="auto"/>
        <w:bottom w:val="none" w:sz="0" w:space="0" w:color="auto"/>
        <w:right w:val="none" w:sz="0" w:space="0" w:color="auto"/>
      </w:divBdr>
    </w:div>
    <w:div w:id="1454667104">
      <w:bodyDiv w:val="1"/>
      <w:marLeft w:val="0"/>
      <w:marRight w:val="0"/>
      <w:marTop w:val="0"/>
      <w:marBottom w:val="0"/>
      <w:divBdr>
        <w:top w:val="none" w:sz="0" w:space="0" w:color="auto"/>
        <w:left w:val="none" w:sz="0" w:space="0" w:color="auto"/>
        <w:bottom w:val="none" w:sz="0" w:space="0" w:color="auto"/>
        <w:right w:val="none" w:sz="0" w:space="0" w:color="auto"/>
      </w:divBdr>
    </w:div>
    <w:div w:id="1669094269">
      <w:bodyDiv w:val="1"/>
      <w:marLeft w:val="0"/>
      <w:marRight w:val="0"/>
      <w:marTop w:val="0"/>
      <w:marBottom w:val="0"/>
      <w:divBdr>
        <w:top w:val="none" w:sz="0" w:space="0" w:color="auto"/>
        <w:left w:val="none" w:sz="0" w:space="0" w:color="auto"/>
        <w:bottom w:val="none" w:sz="0" w:space="0" w:color="auto"/>
        <w:right w:val="none" w:sz="0" w:space="0" w:color="auto"/>
      </w:divBdr>
    </w:div>
    <w:div w:id="1725451376">
      <w:bodyDiv w:val="1"/>
      <w:marLeft w:val="0"/>
      <w:marRight w:val="0"/>
      <w:marTop w:val="0"/>
      <w:marBottom w:val="0"/>
      <w:divBdr>
        <w:top w:val="none" w:sz="0" w:space="0" w:color="auto"/>
        <w:left w:val="none" w:sz="0" w:space="0" w:color="auto"/>
        <w:bottom w:val="none" w:sz="0" w:space="0" w:color="auto"/>
        <w:right w:val="none" w:sz="0" w:space="0" w:color="auto"/>
      </w:divBdr>
    </w:div>
    <w:div w:id="1730808825">
      <w:bodyDiv w:val="1"/>
      <w:marLeft w:val="0"/>
      <w:marRight w:val="0"/>
      <w:marTop w:val="0"/>
      <w:marBottom w:val="0"/>
      <w:divBdr>
        <w:top w:val="none" w:sz="0" w:space="0" w:color="auto"/>
        <w:left w:val="none" w:sz="0" w:space="0" w:color="auto"/>
        <w:bottom w:val="none" w:sz="0" w:space="0" w:color="auto"/>
        <w:right w:val="none" w:sz="0" w:space="0" w:color="auto"/>
      </w:divBdr>
    </w:div>
    <w:div w:id="1809083455">
      <w:bodyDiv w:val="1"/>
      <w:marLeft w:val="0"/>
      <w:marRight w:val="0"/>
      <w:marTop w:val="0"/>
      <w:marBottom w:val="0"/>
      <w:divBdr>
        <w:top w:val="none" w:sz="0" w:space="0" w:color="auto"/>
        <w:left w:val="none" w:sz="0" w:space="0" w:color="auto"/>
        <w:bottom w:val="none" w:sz="0" w:space="0" w:color="auto"/>
        <w:right w:val="none" w:sz="0" w:space="0" w:color="auto"/>
      </w:divBdr>
    </w:div>
    <w:div w:id="1837452083">
      <w:bodyDiv w:val="1"/>
      <w:marLeft w:val="0"/>
      <w:marRight w:val="0"/>
      <w:marTop w:val="0"/>
      <w:marBottom w:val="0"/>
      <w:divBdr>
        <w:top w:val="none" w:sz="0" w:space="0" w:color="auto"/>
        <w:left w:val="none" w:sz="0" w:space="0" w:color="auto"/>
        <w:bottom w:val="none" w:sz="0" w:space="0" w:color="auto"/>
        <w:right w:val="none" w:sz="0" w:space="0" w:color="auto"/>
      </w:divBdr>
    </w:div>
    <w:div w:id="1920169552">
      <w:bodyDiv w:val="1"/>
      <w:marLeft w:val="0"/>
      <w:marRight w:val="0"/>
      <w:marTop w:val="0"/>
      <w:marBottom w:val="0"/>
      <w:divBdr>
        <w:top w:val="none" w:sz="0" w:space="0" w:color="auto"/>
        <w:left w:val="none" w:sz="0" w:space="0" w:color="auto"/>
        <w:bottom w:val="none" w:sz="0" w:space="0" w:color="auto"/>
        <w:right w:val="none" w:sz="0" w:space="0" w:color="auto"/>
      </w:divBdr>
    </w:div>
    <w:div w:id="2005009906">
      <w:bodyDiv w:val="1"/>
      <w:marLeft w:val="0"/>
      <w:marRight w:val="0"/>
      <w:marTop w:val="0"/>
      <w:marBottom w:val="0"/>
      <w:divBdr>
        <w:top w:val="none" w:sz="0" w:space="0" w:color="auto"/>
        <w:left w:val="none" w:sz="0" w:space="0" w:color="auto"/>
        <w:bottom w:val="none" w:sz="0" w:space="0" w:color="auto"/>
        <w:right w:val="none" w:sz="0" w:space="0" w:color="auto"/>
      </w:divBdr>
    </w:div>
    <w:div w:id="2008097952">
      <w:bodyDiv w:val="1"/>
      <w:marLeft w:val="0"/>
      <w:marRight w:val="0"/>
      <w:marTop w:val="0"/>
      <w:marBottom w:val="0"/>
      <w:divBdr>
        <w:top w:val="none" w:sz="0" w:space="0" w:color="auto"/>
        <w:left w:val="none" w:sz="0" w:space="0" w:color="auto"/>
        <w:bottom w:val="none" w:sz="0" w:space="0" w:color="auto"/>
        <w:right w:val="none" w:sz="0" w:space="0" w:color="auto"/>
      </w:divBdr>
    </w:div>
    <w:div w:id="2064212734">
      <w:bodyDiv w:val="1"/>
      <w:marLeft w:val="0"/>
      <w:marRight w:val="0"/>
      <w:marTop w:val="0"/>
      <w:marBottom w:val="0"/>
      <w:divBdr>
        <w:top w:val="none" w:sz="0" w:space="0" w:color="auto"/>
        <w:left w:val="none" w:sz="0" w:space="0" w:color="auto"/>
        <w:bottom w:val="none" w:sz="0" w:space="0" w:color="auto"/>
        <w:right w:val="none" w:sz="0" w:space="0" w:color="auto"/>
      </w:divBdr>
    </w:div>
    <w:div w:id="2075932910">
      <w:bodyDiv w:val="1"/>
      <w:marLeft w:val="0"/>
      <w:marRight w:val="0"/>
      <w:marTop w:val="0"/>
      <w:marBottom w:val="0"/>
      <w:divBdr>
        <w:top w:val="none" w:sz="0" w:space="0" w:color="auto"/>
        <w:left w:val="none" w:sz="0" w:space="0" w:color="auto"/>
        <w:bottom w:val="none" w:sz="0" w:space="0" w:color="auto"/>
        <w:right w:val="none" w:sz="0" w:space="0" w:color="auto"/>
      </w:divBdr>
    </w:div>
    <w:div w:id="213332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889</Words>
  <Characters>5286</Characters>
  <Application>Microsoft Office Word</Application>
  <DocSecurity>0</DocSecurity>
  <Lines>89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PD</dc:creator>
  <cp:keywords/>
  <dc:description/>
  <cp:lastModifiedBy>Himanshu PD</cp:lastModifiedBy>
  <cp:revision>10</cp:revision>
  <dcterms:created xsi:type="dcterms:W3CDTF">2024-10-27T16:31:00Z</dcterms:created>
  <dcterms:modified xsi:type="dcterms:W3CDTF">2024-10-27T18:44:00Z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b2678b6f-4bc3-4ffb-836c-1fa35b5946bc</vt:lpwstr>
  </property>
</Properties>
</file>