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40"/>
          <w:sz w:val="40"/>
          <w:szCs w:val="40"/>
        </w:rPr>
        <w:t xml:space="preserve">ARCHITECTURE DU SITE</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2"/>
          <w:szCs w:val="22"/>
        </w:rPr>
        <w:t xml:space="preserve">STRUCTURE · WIREFRAMES · COMPOSANTS · MICROCOPIES · SEO</w:t>
      </w:r>
    </w:p>
    <w:p>
      <w:pPr>
        <w:spacing w:after="800"/>
        <w:jc w:val="center"/>
      </w:pPr>
      <w:r>
        <w:rPr>
          <w:rFonts w:ascii="Georgia" w:cs="Georgia" w:eastAsia="Georgia" w:hAnsi="Georgia"/>
          <w:i/>
          <w:iCs/>
          <w:color w:val="6B6F76"/>
          <w:sz w:val="22"/>
          <w:szCs w:val="22"/>
        </w:rPr>
        <w:t xml:space="preserve">Brief complet pour Claude Code · production de apexer.fr</w:t>
      </w:r>
    </w:p>
    <w:p>
      <w:pPr>
        <w:spacing w:after="80" w:line="380"/>
        <w:ind w:left="720" w:right="720"/>
        <w:jc w:val="center"/>
      </w:pPr>
      <w:r>
        <w:rPr>
          <w:rFonts w:ascii="Georgia" w:cs="Georgia" w:eastAsia="Georgia" w:hAnsi="Georgia"/>
          <w:i/>
          <w:iCs/>
          <w:color w:val="0B1A2A"/>
          <w:sz w:val="26"/>
          <w:szCs w:val="26"/>
        </w:rPr>
        <w:t xml:space="preserve">« Un site n'est pas une plaquette commerciale.</w:t>
      </w:r>
    </w:p>
    <w:p>
      <w:pPr>
        <w:spacing w:after="1200" w:line="380"/>
        <w:ind w:left="720" w:right="720"/>
        <w:jc w:val="center"/>
      </w:pPr>
      <w:r>
        <w:rPr>
          <w:rFonts w:ascii="Georgia" w:cs="Georgia" w:eastAsia="Georgia" w:hAnsi="Georgia"/>
          <w:i/>
          <w:iCs/>
          <w:color w:val="0B1A2A"/>
          <w:sz w:val="26"/>
          <w:szCs w:val="26"/>
        </w:rPr>
        <w:t xml:space="preserve">C'est l'entrée en matière du système. »</w:t>
      </w:r>
    </w:p>
    <w:p>
      <w:pPr>
        <w:jc w:val="center"/>
      </w:pPr>
      <w:r>
        <w:rPr>
          <w:rFonts w:ascii="Arial" w:cs="Arial" w:eastAsia="Arial" w:hAnsi="Arial"/>
          <w:color w:val="6B6F76"/>
          <w:sz w:val="18"/>
          <w:szCs w:val="18"/>
        </w:rPr>
        <w:t xml:space="preserve">Paire 2 — Architecture site &amp; Tunnel commercial · Document 1 sur 2</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Vue d'ensemble du site</w:t>
      </w:r>
    </w:p>
    <w:p>
      <w:pPr>
        <w:spacing w:after="200" w:before="80"/>
      </w:pPr>
      <w:r>
        <w:rPr>
          <w:rFonts w:ascii="Arial" w:cs="Arial" w:eastAsia="Arial" w:hAnsi="Arial"/>
          <w:i/>
          <w:iCs/>
          <w:color w:val="6B6F76"/>
          <w:sz w:val="18"/>
          <w:szCs w:val="18"/>
        </w:rPr>
        <w:t xml:space="preserve">La carte du site, les objectifs de chaque section, le ton, les principes de navigation.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Objectifs prioritaires du site</w:t>
      </w:r>
    </w:p>
    <w:p>
      <w:pPr>
        <w:spacing w:after="120" w:line="320"/>
        <w:jc w:val="both"/>
      </w:pPr>
      <w:r>
        <w:rPr>
          <w:rFonts w:ascii="Georgia" w:cs="Georgia" w:eastAsia="Georgia" w:hAnsi="Georgia"/>
          <w:b w:val="false"/>
          <w:bCs w:val="false"/>
          <w:i w:val="false"/>
          <w:iCs w:val="false"/>
          <w:color w:val="1A1A1A"/>
          <w:sz w:val="22"/>
          <w:szCs w:val="22"/>
        </w:rPr>
        <w:t xml:space="preserve">Le site apexer.fr poursuit trois objectifs hiérarchisés. Le code source, l'architecture et l'investissement éditorial doivent refléter cette hiérarchie.</w:t>
      </w:r>
    </w:p>
    <w:p>
      <w:pPr>
        <w:pStyle w:val="ListParagraph"/>
        <w:numPr>
          <w:ilvl w:val="0"/>
          <w:numId w:val="2"/>
        </w:numPr>
        <w:spacing w:after="80" w:line="300"/>
      </w:pPr>
      <w:r>
        <w:rPr>
          <w:rFonts w:ascii="Georgia" w:cs="Georgia" w:eastAsia="Georgia" w:hAnsi="Georgia"/>
          <w:color w:val="1A1A1A"/>
          <w:sz w:val="22"/>
          <w:szCs w:val="22"/>
        </w:rPr>
        <w:t xml:space="preserve">Objectif 1 — Recruter les Maîtres-Forgerons Fondateurs (priorité absolue) : 200 candidatures de qualité pour 200 places en 18 mois. Le tunnel candidature MFF est le levier de conversion le plus stratégique du site, traité dans le Document 2 de cette paire.</w:t>
      </w:r>
    </w:p>
    <w:p>
      <w:pPr>
        <w:pStyle w:val="ListParagraph"/>
        <w:numPr>
          <w:ilvl w:val="0"/>
          <w:numId w:val="2"/>
        </w:numPr>
        <w:spacing w:after="80" w:line="300"/>
      </w:pPr>
      <w:r>
        <w:rPr>
          <w:rFonts w:ascii="Georgia" w:cs="Georgia" w:eastAsia="Georgia" w:hAnsi="Georgia"/>
          <w:color w:val="1A1A1A"/>
          <w:sz w:val="22"/>
          <w:szCs w:val="22"/>
        </w:rPr>
        <w:t xml:space="preserve">Objectif 2 — Convertir des Forgerons (priorité haute) : permettre aux candidats individuels de découvrir, choisir et démarrer un programme APEXER (FORGE prioritairement, CONNECT en porte d'entrée digitale, APEX MONT BLANC en sas).</w:t>
      </w:r>
    </w:p>
    <w:p>
      <w:pPr>
        <w:pStyle w:val="ListParagraph"/>
        <w:numPr>
          <w:ilvl w:val="0"/>
          <w:numId w:val="2"/>
        </w:numPr>
        <w:spacing w:after="80" w:line="300"/>
      </w:pPr>
      <w:r>
        <w:rPr>
          <w:rFonts w:ascii="Georgia" w:cs="Georgia" w:eastAsia="Georgia" w:hAnsi="Georgia"/>
          <w:color w:val="1A1A1A"/>
          <w:sz w:val="22"/>
          <w:szCs w:val="22"/>
        </w:rPr>
        <w:t xml:space="preserve">Objectif 3 — Asseoir l'autorité APEXER (priorité moyenne) : devenir la référence française sur la performance commerciale durable. Construire un patrimoine de contenu (articles, études, prises de parole) qui positionne APEXER au-dessus du marché de la formation commerciale classique.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site n'est pas un site SaaS, ni un site de coach. C'est le site institutionnel d'une infrastructure nationale. Tonalité : sobre, factuelle, exigeante. Aucun élément ne doit ressembler à un produit type Tony Robbins ou MasterClass.</w:t>
      </w:r>
    </w:p>
    <w:p>
      <w:pPr>
        <w:pStyle w:val="Heading2"/>
        <w:spacing w:after="200" w:before="360"/>
      </w:pPr>
      <w:r>
        <w:rPr>
          <w:rFonts w:ascii="Georgia" w:cs="Georgia" w:eastAsia="Georgia" w:hAnsi="Georgia"/>
          <w:b/>
          <w:bCs/>
          <w:color w:val="0B1A2A"/>
          <w:sz w:val="30"/>
          <w:szCs w:val="30"/>
        </w:rPr>
        <w:t xml:space="preserve">Carte du site (sitemap complet)</w:t>
      </w:r>
    </w:p>
    <w:p>
      <w:pPr>
        <w:shd w:fill="F6F6F2" w:val="clear"/>
        <w:spacing w:after="160" w:before="100" w:line="280"/>
        <w:ind w:left="240" w:right="240"/>
      </w:pPr>
      <w:r>
        <w:rPr>
          <w:rFonts w:ascii="Courier New" w:cs="Courier New" w:eastAsia="Courier New" w:hAnsi="Courier New"/>
          <w:color w:val="1A1A1A"/>
          <w:sz w:val="18"/>
          <w:szCs w:val="18"/>
        </w:rPr>
        <w:t xml:space="preserve">apexer.fr/
├── /                              # Homepage
├── /manifeste                     # Le manifeste APEXER
├── /methode                       # Les 7 pratiques convergentes
├── /forge                         # Le programme central
├── /connect                       # Le programme digital
├── /apex                          # La trilogie APEX (hub)
│   ├── /apex/mont-blanc          # Programme fondations
│   ├── /apex/kilimandjaro        # Programme accélération
│   └── /apex/himalaya            # Programme maîtrise
├── /team                          # L'offre B2B entreprise
├── /young                         # L'offre 16-25 ans
├── /forgerons                     # Le réseau (carte de France)
├── /candidater                    # Tunnel candidature MFF (Doc 2)
├── /se-connecter                  # Login/signup application
├── /a-propos                      # HP + équipe + vision
├── /pourquoi                      # Pourquoi rejoindre APEXER
├── /journal                       # Articles et publications
│   └── /journal/[slug]           # Article individuel
├── /ressources                    # Études et enquêtes
├── /contact                       # Page contact
├── /partenaires                   # Partenariats institutionnels
├── /faq                           # FAQ générale
└── /legal                         # Pages légales
    ├── /legal/mentions
    ├── /legal/cgv
    ├── /legal/confidentialite
    └── /legal/cookies</w:t>
      </w:r>
    </w:p>
    <w:p>
      <w:pPr>
        <w:pStyle w:val="Heading2"/>
        <w:spacing w:after="200" w:before="360"/>
      </w:pPr>
      <w:r>
        <w:rPr>
          <w:rFonts w:ascii="Georgia" w:cs="Georgia" w:eastAsia="Georgia" w:hAnsi="Georgia"/>
          <w:b/>
          <w:bCs/>
          <w:color w:val="0B1A2A"/>
          <w:sz w:val="30"/>
          <w:szCs w:val="30"/>
        </w:rPr>
        <w:t xml:space="preserve">Hiérarchie de navigation</w:t>
      </w:r>
    </w:p>
    <w:p>
      <w:pPr>
        <w:spacing w:after="120" w:line="320"/>
        <w:jc w:val="both"/>
      </w:pPr>
      <w:r>
        <w:rPr>
          <w:rFonts w:ascii="Georgia" w:cs="Georgia" w:eastAsia="Georgia" w:hAnsi="Georgia"/>
          <w:b w:val="false"/>
          <w:bCs w:val="false"/>
          <w:i w:val="false"/>
          <w:iCs w:val="false"/>
          <w:color w:val="1A1A1A"/>
          <w:sz w:val="22"/>
          <w:szCs w:val="22"/>
        </w:rPr>
        <w:t xml:space="preserve">Trois zones de navigation distinctes.</w:t>
      </w:r>
    </w:p>
    <w:p>
      <w:pPr>
        <w:spacing w:after="80" w:before="160"/>
      </w:pPr>
      <w:r>
        <w:rPr>
          <w:rFonts w:ascii="Arial" w:cs="Arial" w:eastAsia="Arial" w:hAnsi="Arial"/>
          <w:b/>
          <w:bCs/>
          <w:color w:val="0B1A2A"/>
          <w:sz w:val="22"/>
          <w:szCs w:val="22"/>
        </w:rPr>
        <w:t xml:space="preserve">Header (toujours visible, sticky)</w:t>
      </w:r>
    </w:p>
    <w:p>
      <w:pPr>
        <w:pStyle w:val="ListParagraph"/>
        <w:numPr>
          <w:ilvl w:val="0"/>
          <w:numId w:val="2"/>
        </w:numPr>
        <w:spacing w:after="80" w:line="300"/>
      </w:pPr>
      <w:r>
        <w:rPr>
          <w:rFonts w:ascii="Georgia" w:cs="Georgia" w:eastAsia="Georgia" w:hAnsi="Georgia"/>
          <w:color w:val="1A1A1A"/>
          <w:sz w:val="22"/>
          <w:szCs w:val="22"/>
        </w:rPr>
        <w:t xml:space="preserve">Logo APEXER (gauche) — lien vers /.</w:t>
      </w:r>
    </w:p>
    <w:p>
      <w:pPr>
        <w:pStyle w:val="ListParagraph"/>
        <w:numPr>
          <w:ilvl w:val="0"/>
          <w:numId w:val="2"/>
        </w:numPr>
        <w:spacing w:after="80" w:line="300"/>
      </w:pPr>
      <w:r>
        <w:rPr>
          <w:rFonts w:ascii="Georgia" w:cs="Georgia" w:eastAsia="Georgia" w:hAnsi="Georgia"/>
          <w:color w:val="1A1A1A"/>
          <w:sz w:val="22"/>
          <w:szCs w:val="22"/>
        </w:rPr>
        <w:t xml:space="preserve">Navigation centrale (5 entrées maximum) : Méthode · Programmes · Forgerons · Journal · Pourquoi.</w:t>
      </w:r>
    </w:p>
    <w:p>
      <w:pPr>
        <w:pStyle w:val="ListParagraph"/>
        <w:numPr>
          <w:ilvl w:val="0"/>
          <w:numId w:val="2"/>
        </w:numPr>
        <w:spacing w:after="80" w:line="300"/>
      </w:pPr>
      <w:r>
        <w:rPr>
          <w:rFonts w:ascii="Georgia" w:cs="Georgia" w:eastAsia="Georgia" w:hAnsi="Georgia"/>
          <w:color w:val="1A1A1A"/>
          <w:sz w:val="22"/>
          <w:szCs w:val="22"/>
        </w:rPr>
        <w:t xml:space="preserve">CTA droite : « Postuler à une Forge » (bouton secondary) + « Devenir Forgeron » (bouton primary gold).</w:t>
      </w:r>
    </w:p>
    <w:p>
      <w:pPr>
        <w:pStyle w:val="ListParagraph"/>
        <w:numPr>
          <w:ilvl w:val="0"/>
          <w:numId w:val="2"/>
        </w:numPr>
        <w:spacing w:after="80" w:line="300"/>
      </w:pPr>
      <w:r>
        <w:rPr>
          <w:rFonts w:ascii="Georgia" w:cs="Georgia" w:eastAsia="Georgia" w:hAnsi="Georgia"/>
          <w:color w:val="1A1A1A"/>
          <w:sz w:val="22"/>
          <w:szCs w:val="22"/>
        </w:rPr>
        <w:t xml:space="preserve">Mobile : burger menu avec 3 sections (Découvrir · Programmes · Compte).</w:t>
      </w:r>
    </w:p>
    <w:p>
      <w:pPr>
        <w:spacing w:after="80" w:before="160"/>
      </w:pPr>
      <w:r>
        <w:rPr>
          <w:rFonts w:ascii="Arial" w:cs="Arial" w:eastAsia="Arial" w:hAnsi="Arial"/>
          <w:b/>
          <w:bCs/>
          <w:color w:val="0B1A2A"/>
          <w:sz w:val="22"/>
          <w:szCs w:val="22"/>
        </w:rPr>
        <w:t xml:space="preserve">Footer (toutes pages)</w:t>
      </w:r>
    </w:p>
    <w:p>
      <w:pPr>
        <w:pStyle w:val="ListParagraph"/>
        <w:numPr>
          <w:ilvl w:val="0"/>
          <w:numId w:val="2"/>
        </w:numPr>
        <w:spacing w:after="80" w:line="300"/>
      </w:pPr>
      <w:r>
        <w:rPr>
          <w:rFonts w:ascii="Georgia" w:cs="Georgia" w:eastAsia="Georgia" w:hAnsi="Georgia"/>
          <w:color w:val="1A1A1A"/>
          <w:sz w:val="22"/>
          <w:szCs w:val="22"/>
        </w:rPr>
        <w:t xml:space="preserve">Colonne 1 — Programmes : CONNECT · FORGE · APEX · TEAM · YOUNG.</w:t>
      </w:r>
    </w:p>
    <w:p>
      <w:pPr>
        <w:pStyle w:val="ListParagraph"/>
        <w:numPr>
          <w:ilvl w:val="0"/>
          <w:numId w:val="2"/>
        </w:numPr>
        <w:spacing w:after="80" w:line="300"/>
      </w:pPr>
      <w:r>
        <w:rPr>
          <w:rFonts w:ascii="Georgia" w:cs="Georgia" w:eastAsia="Georgia" w:hAnsi="Georgia"/>
          <w:color w:val="1A1A1A"/>
          <w:sz w:val="22"/>
          <w:szCs w:val="22"/>
        </w:rPr>
        <w:t xml:space="preserve">Colonne 2 — Réseau : Carte des Forges · Devenir Maître-Forgeron · Pour les entreprises · Pour les jeunes.</w:t>
      </w:r>
    </w:p>
    <w:p>
      <w:pPr>
        <w:pStyle w:val="ListParagraph"/>
        <w:numPr>
          <w:ilvl w:val="0"/>
          <w:numId w:val="2"/>
        </w:numPr>
        <w:spacing w:after="80" w:line="300"/>
      </w:pPr>
      <w:r>
        <w:rPr>
          <w:rFonts w:ascii="Georgia" w:cs="Georgia" w:eastAsia="Georgia" w:hAnsi="Georgia"/>
          <w:color w:val="1A1A1A"/>
          <w:sz w:val="22"/>
          <w:szCs w:val="22"/>
        </w:rPr>
        <w:t xml:space="preserve">Colonne 3 — APEXER : Manifeste · Méthode · Journal · À propos · Contact.</w:t>
      </w:r>
    </w:p>
    <w:p>
      <w:pPr>
        <w:pStyle w:val="ListParagraph"/>
        <w:numPr>
          <w:ilvl w:val="0"/>
          <w:numId w:val="2"/>
        </w:numPr>
        <w:spacing w:after="80" w:line="300"/>
      </w:pPr>
      <w:r>
        <w:rPr>
          <w:rFonts w:ascii="Georgia" w:cs="Georgia" w:eastAsia="Georgia" w:hAnsi="Georgia"/>
          <w:color w:val="1A1A1A"/>
          <w:sz w:val="22"/>
          <w:szCs w:val="22"/>
        </w:rPr>
        <w:t xml:space="preserve">Colonne 4 — Légal : Mentions · CGV · Confidentialité · Cookies.</w:t>
      </w:r>
    </w:p>
    <w:p>
      <w:pPr>
        <w:pStyle w:val="ListParagraph"/>
        <w:numPr>
          <w:ilvl w:val="0"/>
          <w:numId w:val="2"/>
        </w:numPr>
        <w:spacing w:after="80" w:line="300"/>
      </w:pPr>
      <w:r>
        <w:rPr>
          <w:rFonts w:ascii="Georgia" w:cs="Georgia" w:eastAsia="Georgia" w:hAnsi="Georgia"/>
          <w:color w:val="1A1A1A"/>
          <w:sz w:val="22"/>
          <w:szCs w:val="22"/>
        </w:rPr>
        <w:t xml:space="preserve">Bas du footer : copyright KAHP SAS, RCS, mention « APEXER est un programme opéré par KAHP SAS », LinkedIn.</w:t>
      </w:r>
    </w:p>
    <w:p>
      <w:pPr>
        <w:spacing w:after="80" w:before="160"/>
      </w:pPr>
      <w:r>
        <w:rPr>
          <w:rFonts w:ascii="Arial" w:cs="Arial" w:eastAsia="Arial" w:hAnsi="Arial"/>
          <w:b/>
          <w:bCs/>
          <w:color w:val="0B1A2A"/>
          <w:sz w:val="22"/>
          <w:szCs w:val="22"/>
        </w:rPr>
        <w:t xml:space="preserve">Navigation contextuelle (sur certaines pages)</w:t>
      </w:r>
    </w:p>
    <w:p>
      <w:pPr>
        <w:pStyle w:val="ListParagraph"/>
        <w:numPr>
          <w:ilvl w:val="0"/>
          <w:numId w:val="2"/>
        </w:numPr>
        <w:spacing w:after="80" w:line="300"/>
      </w:pPr>
      <w:r>
        <w:rPr>
          <w:rFonts w:ascii="Georgia" w:cs="Georgia" w:eastAsia="Georgia" w:hAnsi="Georgia"/>
          <w:color w:val="1A1A1A"/>
          <w:sz w:val="22"/>
          <w:szCs w:val="22"/>
        </w:rPr>
        <w:t xml:space="preserve">Pages programmes (/forge, /connect, /apex, /team, /young) : table des matières latérale (sticky desktop, drawer mobile) pour naviguer entre sections de la page.</w:t>
      </w:r>
    </w:p>
    <w:p>
      <w:pPr>
        <w:pStyle w:val="ListParagraph"/>
        <w:numPr>
          <w:ilvl w:val="0"/>
          <w:numId w:val="2"/>
        </w:numPr>
        <w:spacing w:after="80" w:line="300"/>
      </w:pPr>
      <w:r>
        <w:rPr>
          <w:rFonts w:ascii="Georgia" w:cs="Georgia" w:eastAsia="Georgia" w:hAnsi="Georgia"/>
          <w:color w:val="1A1A1A"/>
          <w:sz w:val="22"/>
          <w:szCs w:val="22"/>
        </w:rPr>
        <w:t xml:space="preserve">Pages APEX (/apex/mont-blanc, /apex/kilimandjaro, /apex/himalaya) : breadcrumb « APEX &gt; [Programme] » + onglets pour basculer entre les 3 programmes APEX.</w:t>
      </w:r>
    </w:p>
    <w:p>
      <w:pPr>
        <w:pStyle w:val="ListParagraph"/>
        <w:numPr>
          <w:ilvl w:val="0"/>
          <w:numId w:val="2"/>
        </w:numPr>
        <w:spacing w:after="80" w:line="300"/>
      </w:pPr>
      <w:r>
        <w:rPr>
          <w:rFonts w:ascii="Georgia" w:cs="Georgia" w:eastAsia="Georgia" w:hAnsi="Georgia"/>
          <w:color w:val="1A1A1A"/>
          <w:sz w:val="22"/>
          <w:szCs w:val="22"/>
        </w:rPr>
        <w:t xml:space="preserve">Tunnel candidature (/candidater) : stepper visuel à 6 étapes (cf. Document 2).</w:t>
      </w:r>
    </w:p>
    <w:p>
      <w:pPr>
        <w:pStyle w:val="Heading2"/>
        <w:spacing w:after="200" w:before="360"/>
      </w:pPr>
      <w:r>
        <w:rPr>
          <w:rFonts w:ascii="Georgia" w:cs="Georgia" w:eastAsia="Georgia" w:hAnsi="Georgia"/>
          <w:b/>
          <w:bCs/>
          <w:color w:val="0B1A2A"/>
          <w:sz w:val="30"/>
          <w:szCs w:val="30"/>
        </w:rPr>
        <w:t xml:space="preserve">Le ton APEXER en pratique</w:t>
      </w:r>
    </w:p>
    <w:p>
      <w:pPr>
        <w:spacing w:after="120" w:line="320"/>
        <w:jc w:val="both"/>
      </w:pPr>
      <w:r>
        <w:rPr>
          <w:rFonts w:ascii="Georgia" w:cs="Georgia" w:eastAsia="Georgia" w:hAnsi="Georgia"/>
          <w:b w:val="false"/>
          <w:bCs w:val="false"/>
          <w:i w:val="false"/>
          <w:iCs w:val="false"/>
          <w:color w:val="1A1A1A"/>
          <w:sz w:val="22"/>
          <w:szCs w:val="22"/>
        </w:rPr>
        <w:t xml:space="preserve">Le ton est défini précisément dans le Document Fondateur (Vague 1). Synthèse appliquée au copywriting du site.</w:t>
      </w:r>
    </w:p>
    <w:p>
      <w:pPr>
        <w:pStyle w:val="ListParagraph"/>
        <w:numPr>
          <w:ilvl w:val="0"/>
          <w:numId w:val="2"/>
        </w:numPr>
        <w:spacing w:after="80" w:line="300"/>
      </w:pPr>
      <w:r>
        <w:rPr>
          <w:rFonts w:ascii="Georgia" w:cs="Georgia" w:eastAsia="Georgia" w:hAnsi="Georgia"/>
          <w:color w:val="1A1A1A"/>
          <w:sz w:val="22"/>
          <w:szCs w:val="22"/>
        </w:rPr>
        <w:t xml:space="preserve">Phrases courtes et nettes. Pas de subordonnées emboîtées. Le rythme est sec, sans être militaire.</w:t>
      </w:r>
    </w:p>
    <w:p>
      <w:pPr>
        <w:pStyle w:val="ListParagraph"/>
        <w:numPr>
          <w:ilvl w:val="0"/>
          <w:numId w:val="2"/>
        </w:numPr>
        <w:spacing w:after="80" w:line="300"/>
      </w:pPr>
      <w:r>
        <w:rPr>
          <w:rFonts w:ascii="Georgia" w:cs="Georgia" w:eastAsia="Georgia" w:hAnsi="Georgia"/>
          <w:color w:val="1A1A1A"/>
          <w:sz w:val="22"/>
          <w:szCs w:val="22"/>
        </w:rPr>
        <w:t xml:space="preserve">Pas de superlatifs commerciaux. Aucun « le meilleur », « révolutionnaire », « unique », « ultime ». La force vient du fait, pas de l'adjectif.</w:t>
      </w:r>
    </w:p>
    <w:p>
      <w:pPr>
        <w:pStyle w:val="ListParagraph"/>
        <w:numPr>
          <w:ilvl w:val="0"/>
          <w:numId w:val="2"/>
        </w:numPr>
        <w:spacing w:after="80" w:line="300"/>
      </w:pPr>
      <w:r>
        <w:rPr>
          <w:rFonts w:ascii="Georgia" w:cs="Georgia" w:eastAsia="Georgia" w:hAnsi="Georgia"/>
          <w:color w:val="1A1A1A"/>
          <w:sz w:val="22"/>
          <w:szCs w:val="22"/>
        </w:rPr>
        <w:t xml:space="preserve">Pas de tutoiement. APEXER vouvoie systématiquement sur le site institutionnel. Le tutoiement est réservé à l'application après login.</w:t>
      </w:r>
    </w:p>
    <w:p>
      <w:pPr>
        <w:pStyle w:val="ListParagraph"/>
        <w:numPr>
          <w:ilvl w:val="0"/>
          <w:numId w:val="2"/>
        </w:numPr>
        <w:spacing w:after="80" w:line="300"/>
      </w:pPr>
      <w:r>
        <w:rPr>
          <w:rFonts w:ascii="Georgia" w:cs="Georgia" w:eastAsia="Georgia" w:hAnsi="Georgia"/>
          <w:color w:val="1A1A1A"/>
          <w:sz w:val="22"/>
          <w:szCs w:val="22"/>
        </w:rPr>
        <w:t xml:space="preserve">Pas de discours d'effort surjoué. Pas de « vous avez le potentiel », « libérez-vous », « passez au niveau supérieur ». Ces formulations relèvent du registre développement personnel qu'APEXER refuse.</w:t>
      </w:r>
    </w:p>
    <w:p>
      <w:pPr>
        <w:pStyle w:val="ListParagraph"/>
        <w:numPr>
          <w:ilvl w:val="0"/>
          <w:numId w:val="2"/>
        </w:numPr>
        <w:spacing w:after="80" w:line="300"/>
      </w:pPr>
      <w:r>
        <w:rPr>
          <w:rFonts w:ascii="Georgia" w:cs="Georgia" w:eastAsia="Georgia" w:hAnsi="Georgia"/>
          <w:color w:val="1A1A1A"/>
          <w:sz w:val="22"/>
          <w:szCs w:val="22"/>
        </w:rPr>
        <w:t xml:space="preserve">Citations rares et marquantes. Maximum 1-2 citations par page, en serif italic. Jamais une citation par section.</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Homepage — la porte d'entrée</w:t>
      </w:r>
    </w:p>
    <w:p>
      <w:pPr>
        <w:spacing w:after="200" w:before="80"/>
      </w:pPr>
      <w:r>
        <w:rPr>
          <w:rFonts w:ascii="Arial" w:cs="Arial" w:eastAsia="Arial" w:hAnsi="Arial"/>
          <w:i/>
          <w:iCs/>
          <w:color w:val="6B6F76"/>
          <w:sz w:val="18"/>
          <w:szCs w:val="18"/>
        </w:rPr>
        <w:t xml:space="preserve">La homepage doit faire 5 choses en 2 minutes de scroll : poser la promesse, prouver l'autorité (étude des top performers), présenter les 7 pratiques, montrer le maillage territorial, déclencher l'action. Tout le reste appartient aux pages dédiées.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Wireframe textuel de la homepage</w:t>
      </w:r>
    </w:p>
    <w:p>
      <w:pPr>
        <w:shd w:fill="F6F6F2" w:val="clear"/>
        <w:spacing w:after="160" w:before="100" w:line="280"/>
        <w:ind w:left="240" w:right="240"/>
      </w:pPr>
      <w:r>
        <w:rPr>
          <w:rFonts w:ascii="Courier New" w:cs="Courier New" w:eastAsia="Courier New" w:hAnsi="Courier New"/>
          <w:color w:val="1A1A1A"/>
          <w:sz w:val="18"/>
          <w:szCs w:val="18"/>
        </w:rPr>
        <w:t xml:space="preserve">╔═══════════════════════════════════════════════════════════╗
║ HEADER · sticky · navy bg · gold logo                       ║
╠═══════════════════════════════════════════════════════════╣
║                                                             ║
║   SECTION 1 · HERO (100vh desktop, 80vh mobile)            ║
║   ┌─────────────────────┐  ┌──────────────────┐           ║
║   │ Eyebrow gold         │  │                  │           ║
║   │ H1 (5xl-6xl, navy)   │  │   IMAGE P01       │           ║
║   │ Sous-titre 2 lignes  │  │   (16:9 ou 4:5)   │           ║
║   │ CTA primary + sec.   │  │                  │           ║
║   │ Microproof 1 ligne   │  │                  │           ║
║   └─────────────────────┘  └──────────────────┘           ║
║                                                             ║
╠═══════════════════════════════════════════════════════════╣
║   SECTION 2 · LE CONSTAT (light bg)                        ║
║   Eyebrow + H2 + 3 colonnes (chiffres-constats)            ║
╠═══════════════════════════════════════════════════════════╣
║   SECTION 3 · L'ENQUÊTE FONDATRICE (white bg)              ║
║   Texte gauche + image P03 droite (alterné)                ║
╠═══════════════════════════════════════════════════════════╣
║   SECTION 4 · LES 7 PRATIQUES (light bg)                   ║
║   Eyebrow + H2 + grille 7 cartes (3-2-2 ou 4-3)            ║
╠═══════════════════════════════════════════════════════════╣
║   SECTION 5 · LA FORGE (white bg)                          ║
║   Image P04 pleine largeur + texte centré dessous          ║
╠═══════════════════════════════════════════════════════════╣
║   SECTION 6 · LES PROGRAMMES (light bg)                    ║
║   Grille 5 cartes ProgramCard (CONNECT, FORGE, APEX, TEAM, ║
║   YOUNG) + lien « Comment choisir ? »                       ║
╠═══════════════════════════════════════════════════════════╣
║   SECTION 7 · LE MAILLAGE TERRITORIAL (white bg)           ║
║   Carte de France avec points + compteur Forges actives    ║
╠═══════════════════════════════════════════════════════════╣
║   SECTION 8 · DEVENIR MFF (soft bg)                        ║
║   Citation HP + CTA Postuler                               ║
╠═══════════════════════════════════════════════════════════╣
║   SECTION 9 · CTA FINAL (navy bg, gold accents)            ║
║   2 CTA fortes : Postuler à une Forge / Devenir MFF        ║
╠═══════════════════════════════════════════════════════════╣
║ FOOTER · navy bg · 4 colonnes                              ║
╚═══════════════════════════════════════════════════════════╝</w:t>
      </w:r>
    </w:p>
    <w:p>
      <w:pPr>
        <w:pStyle w:val="Heading2"/>
        <w:spacing w:after="200" w:before="360"/>
      </w:pPr>
      <w:r>
        <w:rPr>
          <w:rFonts w:ascii="Georgia" w:cs="Georgia" w:eastAsia="Georgia" w:hAnsi="Georgia"/>
          <w:b/>
          <w:bCs/>
          <w:color w:val="0B1A2A"/>
          <w:sz w:val="30"/>
          <w:szCs w:val="30"/>
        </w:rPr>
        <w:t xml:space="preserve">Section 1 — Hero</w:t>
      </w:r>
    </w:p>
    <w:p>
      <w:pPr>
        <w:spacing w:after="80" w:before="160"/>
      </w:pPr>
      <w:r>
        <w:rPr>
          <w:rFonts w:ascii="Arial" w:cs="Arial" w:eastAsia="Arial" w:hAnsi="Arial"/>
          <w:b/>
          <w:bCs/>
          <w:color w:val="0B1A2A"/>
          <w:sz w:val="22"/>
          <w:szCs w:val="22"/>
        </w:rPr>
        <w:t xml:space="preserve">Composants utilisés</w:t>
      </w:r>
    </w:p>
    <w:p>
      <w:pPr>
        <w:pStyle w:val="ListParagraph"/>
        <w:numPr>
          <w:ilvl w:val="0"/>
          <w:numId w:val="2"/>
        </w:numPr>
        <w:spacing w:after="80" w:line="300"/>
      </w:pPr>
      <w:r>
        <w:rPr>
          <w:rFonts w:ascii="Georgia" w:cs="Georgia" w:eastAsia="Georgia" w:hAnsi="Georgia"/>
          <w:color w:val="1A1A1A"/>
          <w:sz w:val="22"/>
          <w:szCs w:val="22"/>
        </w:rPr>
        <w:t xml:space="preserve">Container (max-w-wide, padding lateral responsive)</w:t>
      </w:r>
    </w:p>
    <w:p>
      <w:pPr>
        <w:pStyle w:val="ListParagraph"/>
        <w:numPr>
          <w:ilvl w:val="0"/>
          <w:numId w:val="2"/>
        </w:numPr>
        <w:spacing w:after="80" w:line="300"/>
      </w:pPr>
      <w:r>
        <w:rPr>
          <w:rFonts w:ascii="Georgia" w:cs="Georgia" w:eastAsia="Georgia" w:hAnsi="Georgia"/>
          <w:color w:val="1A1A1A"/>
          <w:sz w:val="22"/>
          <w:szCs w:val="22"/>
        </w:rPr>
        <w:t xml:space="preserve">Eyebrow (DM Sans bold uppercase, color gold, text-sm)</w:t>
      </w:r>
    </w:p>
    <w:p>
      <w:pPr>
        <w:pStyle w:val="ListParagraph"/>
        <w:numPr>
          <w:ilvl w:val="0"/>
          <w:numId w:val="2"/>
        </w:numPr>
        <w:spacing w:after="80" w:line="300"/>
      </w:pPr>
      <w:r>
        <w:rPr>
          <w:rFonts w:ascii="Georgia" w:cs="Georgia" w:eastAsia="Georgia" w:hAnsi="Georgia"/>
          <w:color w:val="1A1A1A"/>
          <w:sz w:val="22"/>
          <w:szCs w:val="22"/>
        </w:rPr>
        <w:t xml:space="preserve">H1 (DM Sans bold, text-5xl mobile / text-6xl desktop, color navy)</w:t>
      </w:r>
    </w:p>
    <w:p>
      <w:pPr>
        <w:pStyle w:val="ListParagraph"/>
        <w:numPr>
          <w:ilvl w:val="0"/>
          <w:numId w:val="2"/>
        </w:numPr>
        <w:spacing w:after="80" w:line="300"/>
      </w:pPr>
      <w:r>
        <w:rPr>
          <w:rFonts w:ascii="Georgia" w:cs="Georgia" w:eastAsia="Georgia" w:hAnsi="Georgia"/>
          <w:color w:val="1A1A1A"/>
          <w:sz w:val="22"/>
          <w:szCs w:val="22"/>
        </w:rPr>
        <w:t xml:space="preserve">Lead paragraph (Inter, text-lg / text-xl, color black)</w:t>
      </w:r>
    </w:p>
    <w:p>
      <w:pPr>
        <w:pStyle w:val="ListParagraph"/>
        <w:numPr>
          <w:ilvl w:val="0"/>
          <w:numId w:val="2"/>
        </w:numPr>
        <w:spacing w:after="80" w:line="300"/>
      </w:pPr>
      <w:r>
        <w:rPr>
          <w:rFonts w:ascii="Georgia" w:cs="Georgia" w:eastAsia="Georgia" w:hAnsi="Georgia"/>
          <w:color w:val="1A1A1A"/>
          <w:sz w:val="22"/>
          <w:szCs w:val="22"/>
        </w:rPr>
        <w:t xml:space="preserve">Button primary (gold bg, navy text) + Button secondary (transparent border navy)</w:t>
      </w:r>
    </w:p>
    <w:p>
      <w:pPr>
        <w:pStyle w:val="ListParagraph"/>
        <w:numPr>
          <w:ilvl w:val="0"/>
          <w:numId w:val="2"/>
        </w:numPr>
        <w:spacing w:after="80" w:line="300"/>
      </w:pPr>
      <w:r>
        <w:rPr>
          <w:rFonts w:ascii="Georgia" w:cs="Georgia" w:eastAsia="Georgia" w:hAnsi="Georgia"/>
          <w:color w:val="1A1A1A"/>
          <w:sz w:val="22"/>
          <w:szCs w:val="22"/>
        </w:rPr>
        <w:t xml:space="preserve">Microproof line (Inter, text-sm, color grey)</w:t>
      </w:r>
    </w:p>
    <w:p>
      <w:pPr>
        <w:pStyle w:val="ListParagraph"/>
        <w:numPr>
          <w:ilvl w:val="0"/>
          <w:numId w:val="2"/>
        </w:numPr>
        <w:spacing w:after="80" w:line="300"/>
      </w:pPr>
      <w:r>
        <w:rPr>
          <w:rFonts w:ascii="Georgia" w:cs="Georgia" w:eastAsia="Georgia" w:hAnsi="Georgia"/>
          <w:color w:val="1A1A1A"/>
          <w:sz w:val="22"/>
          <w:szCs w:val="22"/>
        </w:rPr>
        <w:t xml:space="preserve">Image responsive (P01 du document Prompts image)</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LA MÉTHODE DES TOP PERFORMERS COMMERCIAUX FRANÇAIS</w:t>
      </w:r>
    </w:p>
    <w:p>
      <w:pPr>
        <w:shd w:fill="F5F2EC" w:val="clear"/>
        <w:spacing w:after="80" w:before="80" w:line="300"/>
        <w:ind w:left="360" w:right="360"/>
      </w:pPr>
      <w:r>
        <w:rPr>
          <w:rFonts w:ascii="Georgia" w:cs="Georgia" w:eastAsia="Georgia" w:hAnsi="Georgia"/>
          <w:color w:val="1A1A1A"/>
          <w:sz w:val="21"/>
          <w:szCs w:val="21"/>
        </w:rPr>
        <w:t xml:space="preserve">H1 : Ce n'est pas parce qu'ils sont les meilleurs qu'ils le font. Mais parce qu'ils le font qu'ils sont les meilleurs.</w:t>
      </w:r>
    </w:p>
    <w:p>
      <w:pPr>
        <w:shd w:fill="F5F2EC" w:val="clear"/>
        <w:spacing w:after="80" w:before="80" w:line="300"/>
        <w:ind w:left="360" w:right="360"/>
      </w:pPr>
      <w:r>
        <w:rPr>
          <w:rFonts w:ascii="Georgia" w:cs="Georgia" w:eastAsia="Georgia" w:hAnsi="Georgia"/>
          <w:color w:val="1A1A1A"/>
          <w:sz w:val="21"/>
          <w:szCs w:val="21"/>
        </w:rPr>
        <w:t xml:space="preserve">LEAD : Pendant deux ans, nous avons enquêté sur les commerciaux qui surperforment durablement en France. 16 profils, 7 pratiques convergentes. APEXER les a transformées en système reproductible — et les déploie sur 130 bassins économiques à travers un réseau de Maîtres-Forgerons Fondateurs.</w:t>
      </w:r>
    </w:p>
    <w:p>
      <w:pPr>
        <w:shd w:fill="F5F2EC" w:val="clear"/>
        <w:spacing w:after="80" w:before="80" w:line="300"/>
        <w:ind w:left="360" w:right="360"/>
      </w:pPr>
      <w:r>
        <w:rPr>
          <w:rFonts w:ascii="Georgia" w:cs="Georgia" w:eastAsia="Georgia" w:hAnsi="Georgia"/>
          <w:color w:val="1A1A1A"/>
          <w:sz w:val="21"/>
          <w:szCs w:val="21"/>
        </w:rPr>
        <w:t xml:space="preserve">CTA PRIMARY : Découvrir la méthode → /methode</w:t>
      </w:r>
    </w:p>
    <w:p>
      <w:pPr>
        <w:shd w:fill="F5F2EC" w:val="clear"/>
        <w:spacing w:after="80" w:before="80" w:line="300"/>
        <w:ind w:left="360" w:right="360"/>
      </w:pPr>
      <w:r>
        <w:rPr>
          <w:rFonts w:ascii="Georgia" w:cs="Georgia" w:eastAsia="Georgia" w:hAnsi="Georgia"/>
          <w:color w:val="1A1A1A"/>
          <w:sz w:val="21"/>
          <w:szCs w:val="21"/>
        </w:rPr>
        <w:t xml:space="preserve">CTA SECONDARY : Postuler à une Forge → /forge#candidater</w:t>
      </w:r>
    </w:p>
    <w:p>
      <w:pPr>
        <w:shd w:fill="F5F2EC" w:val="clear"/>
        <w:spacing w:after="80" w:before="80" w:line="300"/>
        <w:ind w:left="360" w:right="360"/>
      </w:pPr>
      <w:r>
        <w:rPr>
          <w:rFonts w:ascii="Georgia" w:cs="Georgia" w:eastAsia="Georgia" w:hAnsi="Georgia"/>
          <w:color w:val="1A1A1A"/>
          <w:sz w:val="21"/>
          <w:szCs w:val="21"/>
        </w:rPr>
        <w:t xml:space="preserve">MICROPROOF : 30 Pionniers en formation · 130 bassins ouverts · Pour 200 Maîtres-Forgerons d'ici 18 mois</w:t>
      </w:r>
    </w:p>
    <w:p>
      <w:pPr>
        <w:pStyle w:val="Heading2"/>
        <w:spacing w:after="200" w:before="360"/>
      </w:pPr>
      <w:r>
        <w:rPr>
          <w:rFonts w:ascii="Georgia" w:cs="Georgia" w:eastAsia="Georgia" w:hAnsi="Georgia"/>
          <w:b/>
          <w:bCs/>
          <w:color w:val="0B1A2A"/>
          <w:sz w:val="30"/>
          <w:szCs w:val="30"/>
        </w:rPr>
        <w:t xml:space="preserve">Section 2 — Le constat</w:t>
      </w:r>
    </w:p>
    <w:p>
      <w:pPr>
        <w:spacing w:after="120" w:line="320"/>
        <w:jc w:val="both"/>
      </w:pPr>
      <w:r>
        <w:rPr>
          <w:rFonts w:ascii="Georgia" w:cs="Georgia" w:eastAsia="Georgia" w:hAnsi="Georgia"/>
          <w:b w:val="false"/>
          <w:bCs w:val="false"/>
          <w:i w:val="false"/>
          <w:iCs w:val="false"/>
          <w:color w:val="1A1A1A"/>
          <w:sz w:val="22"/>
          <w:szCs w:val="22"/>
        </w:rPr>
        <w:t xml:space="preserve">Section qui pose le problème de l'industrie de la formation commerciale en 3 chiffres-constats. Permet au visiteur de se reconnaître dans le diagnostic avant d'apprendre la solution.</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 PROBLÈME</w:t>
      </w:r>
    </w:p>
    <w:p>
      <w:pPr>
        <w:shd w:fill="F5F2EC" w:val="clear"/>
        <w:spacing w:after="80" w:before="80" w:line="300"/>
        <w:ind w:left="360" w:right="360"/>
      </w:pPr>
      <w:r>
        <w:rPr>
          <w:rFonts w:ascii="Georgia" w:cs="Georgia" w:eastAsia="Georgia" w:hAnsi="Georgia"/>
          <w:color w:val="1A1A1A"/>
          <w:sz w:val="21"/>
          <w:szCs w:val="21"/>
        </w:rPr>
        <w:t xml:space="preserve">H2 : 90% des formations commerciales ne tiennent pas 6 mois. Aucune ne tient 5 ans. Une seule raison : elles transmettent des contenus, pas des cadres.</w:t>
      </w:r>
    </w:p>
    <w:p>
      <w:pPr>
        <w:shd w:fill="F5F2EC" w:val="clear"/>
        <w:spacing w:after="80" w:before="80" w:line="300"/>
        <w:ind w:left="360" w:right="360"/>
      </w:pPr>
      <w:r>
        <w:rPr>
          <w:rFonts w:ascii="Georgia" w:cs="Georgia" w:eastAsia="Georgia" w:hAnsi="Georgia"/>
          <w:color w:val="1A1A1A"/>
          <w:sz w:val="21"/>
          <w:szCs w:val="21"/>
        </w:rPr>
        <w:t xml:space="preserve">CARTE 1 : 87% — Pourcentage de commerciaux qui abandonnent la pratique d'une formation classique dans les 3 mois qui suivent. Source : enquête APEXER 2025 sur 412 commerciaux ayant suivi au moins une formation dans les 24 derniers mois.</w:t>
      </w:r>
    </w:p>
    <w:p>
      <w:pPr>
        <w:shd w:fill="F5F2EC" w:val="clear"/>
        <w:spacing w:after="80" w:before="80" w:line="300"/>
        <w:ind w:left="360" w:right="360"/>
      </w:pPr>
      <w:r>
        <w:rPr>
          <w:rFonts w:ascii="Georgia" w:cs="Georgia" w:eastAsia="Georgia" w:hAnsi="Georgia"/>
          <w:color w:val="1A1A1A"/>
          <w:sz w:val="21"/>
          <w:szCs w:val="21"/>
        </w:rPr>
        <w:t xml:space="preserve">CARTE 2 : 6 200 € — Coût moyen annuel d'investissement par commercial en formation, coaching et événements professionnels. Effet mesuré sur la performance à 12 mois : non significatif statistiquement. Source : enquête APEXER 2025.</w:t>
      </w:r>
    </w:p>
    <w:p>
      <w:pPr>
        <w:shd w:fill="F5F2EC" w:val="clear"/>
        <w:spacing w:after="80" w:before="80" w:line="300"/>
        <w:ind w:left="360" w:right="360"/>
      </w:pPr>
      <w:r>
        <w:rPr>
          <w:rFonts w:ascii="Georgia" w:cs="Georgia" w:eastAsia="Georgia" w:hAnsi="Georgia"/>
          <w:color w:val="1A1A1A"/>
          <w:sz w:val="21"/>
          <w:szCs w:val="21"/>
        </w:rPr>
        <w:t xml:space="preserve">CARTE 3 : 15 ans — Durée moyenne de pratique stable des 16 top performers étudiés par APEXER. Tous ont structuré leur métier autour de routines tenues quotidiennement, jamais autour de motivation ponctuelle.</w:t>
      </w:r>
    </w:p>
    <w:p>
      <w:pPr>
        <w:pStyle w:val="Heading2"/>
        <w:spacing w:after="200" w:before="360"/>
      </w:pPr>
      <w:r>
        <w:rPr>
          <w:rFonts w:ascii="Georgia" w:cs="Georgia" w:eastAsia="Georgia" w:hAnsi="Georgia"/>
          <w:b/>
          <w:bCs/>
          <w:color w:val="0B1A2A"/>
          <w:sz w:val="30"/>
          <w:szCs w:val="30"/>
        </w:rPr>
        <w:t xml:space="preserve">Section 3 — L'enquête fondatrice</w:t>
      </w:r>
    </w:p>
    <w:p>
      <w:pPr>
        <w:spacing w:after="120" w:line="320"/>
        <w:jc w:val="both"/>
      </w:pPr>
      <w:r>
        <w:rPr>
          <w:rFonts w:ascii="Georgia" w:cs="Georgia" w:eastAsia="Georgia" w:hAnsi="Georgia"/>
          <w:b w:val="false"/>
          <w:bCs w:val="false"/>
          <w:i w:val="false"/>
          <w:iCs w:val="false"/>
          <w:color w:val="1A1A1A"/>
          <w:sz w:val="22"/>
          <w:szCs w:val="22"/>
        </w:rPr>
        <w:t xml:space="preserve">Section qui établit l'autorité APEXER : nous n'avons pas inventé une méthode, nous avons enquêté pour identifier ce qui fonctionne déjà.</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L'ENQUÊTE FONDATRICE</w:t>
      </w:r>
    </w:p>
    <w:p>
      <w:pPr>
        <w:shd w:fill="F5F2EC" w:val="clear"/>
        <w:spacing w:after="80" w:before="80" w:line="300"/>
        <w:ind w:left="360" w:right="360"/>
      </w:pPr>
      <w:r>
        <w:rPr>
          <w:rFonts w:ascii="Georgia" w:cs="Georgia" w:eastAsia="Georgia" w:hAnsi="Georgia"/>
          <w:color w:val="1A1A1A"/>
          <w:sz w:val="21"/>
          <w:szCs w:val="21"/>
        </w:rPr>
        <w:t xml:space="preserve">H2 : Pendant deux ans, nous avons étudié les meilleurs commerciaux français.</w:t>
      </w:r>
    </w:p>
    <w:p>
      <w:pPr>
        <w:shd w:fill="F5F2EC" w:val="clear"/>
        <w:spacing w:after="80" w:before="80" w:line="300"/>
        <w:ind w:left="360" w:right="360"/>
      </w:pPr>
      <w:r>
        <w:rPr>
          <w:rFonts w:ascii="Georgia" w:cs="Georgia" w:eastAsia="Georgia" w:hAnsi="Georgia"/>
          <w:color w:val="1A1A1A"/>
          <w:sz w:val="21"/>
          <w:szCs w:val="21"/>
        </w:rPr>
        <w:t xml:space="preserve">PARAGRAPHE 1 : 16 profils sélectionnés. Agents immobiliers en élite des bassins parisien et lyonnais. Délégués pharmaceutiques en tête des classements nationaux. Assureurs dans le top 5% de leurs réseaux. Commerciaux B2B tech qui dépassent leurs quotas année après année. Vendeurs automobiles aux meilleures ventes annuelles. Tous ont accepté plus de 30 heures d'entretien chacun.</w:t>
      </w:r>
    </w:p>
    <w:p>
      <w:pPr>
        <w:shd w:fill="F5F2EC" w:val="clear"/>
        <w:spacing w:after="80" w:before="80" w:line="300"/>
        <w:ind w:left="360" w:right="360"/>
      </w:pPr>
      <w:r>
        <w:rPr>
          <w:rFonts w:ascii="Georgia" w:cs="Georgia" w:eastAsia="Georgia" w:hAnsi="Georgia"/>
          <w:color w:val="1A1A1A"/>
          <w:sz w:val="21"/>
          <w:szCs w:val="21"/>
        </w:rPr>
        <w:t xml:space="preserve">PARAGRAPHE 2 : L'observation a porté sur leur pratique réelle, pas sur leurs récits. Routines documentées, indicateurs vérifiés, journées passées en immersion. Ce qui en est ressorti n'est pas une nouvelle méthode commerciale. C'est sept pratiques convergentes que tous tiennent — quelle que soit leur industrie, leur âge, leur tempérament.</w:t>
      </w:r>
    </w:p>
    <w:p>
      <w:pPr>
        <w:shd w:fill="F5F2EC" w:val="clear"/>
        <w:spacing w:after="80" w:before="80" w:line="300"/>
        <w:ind w:left="360" w:right="360"/>
      </w:pPr>
      <w:r>
        <w:rPr>
          <w:rFonts w:ascii="Georgia" w:cs="Georgia" w:eastAsia="Georgia" w:hAnsi="Georgia"/>
          <w:color w:val="1A1A1A"/>
          <w:sz w:val="21"/>
          <w:szCs w:val="21"/>
        </w:rPr>
        <w:t xml:space="preserve">PARAGRAPHE 3 : Ces sept pratiques constituent le socle d'APEXER. Tout le reste — programmes, Forges, application, réseau de Maîtres-Forgerons — n'est que l'infrastructure qui permet de les installer durablement chez d'autres.</w:t>
      </w:r>
    </w:p>
    <w:p>
      <w:pPr>
        <w:shd w:fill="F5F2EC" w:val="clear"/>
        <w:spacing w:after="80" w:before="80" w:line="300"/>
        <w:ind w:left="360" w:right="360"/>
      </w:pPr>
      <w:r>
        <w:rPr>
          <w:rFonts w:ascii="Georgia" w:cs="Georgia" w:eastAsia="Georgia" w:hAnsi="Georgia"/>
          <w:color w:val="1A1A1A"/>
          <w:sz w:val="21"/>
          <w:szCs w:val="21"/>
        </w:rPr>
        <w:t xml:space="preserve">CTA : Lire l'enquête complète → /methode</w:t>
      </w:r>
    </w:p>
    <w:p>
      <w:pPr>
        <w:pStyle w:val="Heading2"/>
        <w:spacing w:after="200" w:before="360"/>
      </w:pPr>
      <w:r>
        <w:rPr>
          <w:rFonts w:ascii="Georgia" w:cs="Georgia" w:eastAsia="Georgia" w:hAnsi="Georgia"/>
          <w:b/>
          <w:bCs/>
          <w:color w:val="0B1A2A"/>
          <w:sz w:val="30"/>
          <w:szCs w:val="30"/>
        </w:rPr>
        <w:t xml:space="preserve">Section 4 — Les 7 pratiques convergentes</w:t>
      </w:r>
    </w:p>
    <w:p>
      <w:pPr>
        <w:spacing w:after="120" w:line="320"/>
        <w:jc w:val="both"/>
      </w:pPr>
      <w:r>
        <w:rPr>
          <w:rFonts w:ascii="Georgia" w:cs="Georgia" w:eastAsia="Georgia" w:hAnsi="Georgia"/>
          <w:b w:val="false"/>
          <w:bCs w:val="false"/>
          <w:i w:val="false"/>
          <w:iCs w:val="false"/>
          <w:color w:val="1A1A1A"/>
          <w:sz w:val="22"/>
          <w:szCs w:val="22"/>
        </w:rPr>
        <w:t xml:space="preserve">Section pédagogique. Présentation des 7 pratiques en cartes courtes (titre + 1 phrase). Le détail est dans /methode.</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LES 7 PRATIQUES CONVERGENTES</w:t>
      </w:r>
    </w:p>
    <w:p>
      <w:pPr>
        <w:shd w:fill="F5F2EC" w:val="clear"/>
        <w:spacing w:after="80" w:before="80" w:line="300"/>
        <w:ind w:left="360" w:right="360"/>
      </w:pPr>
      <w:r>
        <w:rPr>
          <w:rFonts w:ascii="Georgia" w:cs="Georgia" w:eastAsia="Georgia" w:hAnsi="Georgia"/>
          <w:color w:val="1A1A1A"/>
          <w:sz w:val="21"/>
          <w:szCs w:val="21"/>
        </w:rPr>
        <w:t xml:space="preserve">H2 : Sept pratiques. Tenues quotidiennement. C'est tout.</w:t>
      </w:r>
    </w:p>
    <w:p>
      <w:pPr>
        <w:shd w:fill="F5F2EC" w:val="clear"/>
        <w:spacing w:after="80" w:before="80" w:line="300"/>
        <w:ind w:left="360" w:right="360"/>
      </w:pPr>
      <w:r>
        <w:rPr>
          <w:rFonts w:ascii="Georgia" w:cs="Georgia" w:eastAsia="Georgia" w:hAnsi="Georgia"/>
          <w:color w:val="1A1A1A"/>
          <w:sz w:val="21"/>
          <w:szCs w:val="21"/>
        </w:rPr>
        <w:t xml:space="preserve">CARTE 1 — La routine du matin : Les meilleurs ouvrent leur journée sur leur métier, pas sur leur boîte mail. Avant 9 heures, l'essentiel du travail à forte valeur est déjà engagé.</w:t>
      </w:r>
    </w:p>
    <w:p>
      <w:pPr>
        <w:shd w:fill="F5F2EC" w:val="clear"/>
        <w:spacing w:after="80" w:before="80" w:line="300"/>
        <w:ind w:left="360" w:right="360"/>
      </w:pPr>
      <w:r>
        <w:rPr>
          <w:rFonts w:ascii="Georgia" w:cs="Georgia" w:eastAsia="Georgia" w:hAnsi="Georgia"/>
          <w:color w:val="1A1A1A"/>
          <w:sz w:val="21"/>
          <w:szCs w:val="21"/>
        </w:rPr>
        <w:t xml:space="preserve">CARTE 2 — Le planning hebdomadaire : Le dimanche soir n'est pas un moment de procrastination. C'est le moment où la semaine à venir est tracée, négociée, finalisée.</w:t>
      </w:r>
    </w:p>
    <w:p>
      <w:pPr>
        <w:shd w:fill="F5F2EC" w:val="clear"/>
        <w:spacing w:after="80" w:before="80" w:line="300"/>
        <w:ind w:left="360" w:right="360"/>
      </w:pPr>
      <w:r>
        <w:rPr>
          <w:rFonts w:ascii="Georgia" w:cs="Georgia" w:eastAsia="Georgia" w:hAnsi="Georgia"/>
          <w:color w:val="1A1A1A"/>
          <w:sz w:val="21"/>
          <w:szCs w:val="21"/>
        </w:rPr>
        <w:t xml:space="preserve">CARTE 3 — Le Cockpit : Tout ce qui n'est pas mesuré ne se pilote pas. Les meilleurs tiennent un tableau de bord personnel à jour, hebdomadairement, sans exception.</w:t>
      </w:r>
    </w:p>
    <w:p>
      <w:pPr>
        <w:shd w:fill="F5F2EC" w:val="clear"/>
        <w:spacing w:after="80" w:before="80" w:line="300"/>
        <w:ind w:left="360" w:right="360"/>
      </w:pPr>
      <w:r>
        <w:rPr>
          <w:rFonts w:ascii="Georgia" w:cs="Georgia" w:eastAsia="Georgia" w:hAnsi="Georgia"/>
          <w:color w:val="1A1A1A"/>
          <w:sz w:val="21"/>
          <w:szCs w:val="21"/>
        </w:rPr>
        <w:t xml:space="preserve">CARTE 4 — La recommandation systématique : La recommandation ne se demande pas en fin de relation. Elle se prépare dès la première rencontre et se demande explicitement à chaque jalon.</w:t>
      </w:r>
    </w:p>
    <w:p>
      <w:pPr>
        <w:shd w:fill="F5F2EC" w:val="clear"/>
        <w:spacing w:after="80" w:before="80" w:line="300"/>
        <w:ind w:left="360" w:right="360"/>
      </w:pPr>
      <w:r>
        <w:rPr>
          <w:rFonts w:ascii="Georgia" w:cs="Georgia" w:eastAsia="Georgia" w:hAnsi="Georgia"/>
          <w:color w:val="1A1A1A"/>
          <w:sz w:val="21"/>
          <w:szCs w:val="21"/>
        </w:rPr>
        <w:t xml:space="preserve">CARTE 5 — La recommandabilité : Devenir quelqu'un qu'on ose recommander. C'est une qualité construite par milliers de gestes précis, pas un trait de personnalité.</w:t>
      </w:r>
    </w:p>
    <w:p>
      <w:pPr>
        <w:shd w:fill="F5F2EC" w:val="clear"/>
        <w:spacing w:after="80" w:before="80" w:line="300"/>
        <w:ind w:left="360" w:right="360"/>
      </w:pPr>
      <w:r>
        <w:rPr>
          <w:rFonts w:ascii="Georgia" w:cs="Georgia" w:eastAsia="Georgia" w:hAnsi="Georgia"/>
          <w:color w:val="1A1A1A"/>
          <w:sz w:val="21"/>
          <w:szCs w:val="21"/>
        </w:rPr>
        <w:t xml:space="preserve">CARTE 6 — L'hygiène de performance : Sommeil, sport, alimentation, sobriété. Aucun top performer ne tient sa pratique commerciale sans tenir d'abord son corps.</w:t>
      </w:r>
    </w:p>
    <w:p>
      <w:pPr>
        <w:shd w:fill="F5F2EC" w:val="clear"/>
        <w:spacing w:after="80" w:before="80" w:line="300"/>
        <w:ind w:left="360" w:right="360"/>
      </w:pPr>
      <w:r>
        <w:rPr>
          <w:rFonts w:ascii="Georgia" w:cs="Georgia" w:eastAsia="Georgia" w:hAnsi="Georgia"/>
          <w:color w:val="1A1A1A"/>
          <w:sz w:val="21"/>
          <w:szCs w:val="21"/>
        </w:rPr>
        <w:t xml:space="preserve">CARTE 7 — Le Bilan hebdomadaire : Chaque semaine se ferme par 30 minutes seul, sans téléphone, devant trois questions précises. Aucun top performer ne saute ce rendez-vous.</w:t>
      </w:r>
    </w:p>
    <w:p>
      <w:pPr>
        <w:shd w:fill="F5F2EC" w:val="clear"/>
        <w:spacing w:after="80" w:before="80" w:line="300"/>
        <w:ind w:left="360" w:right="360"/>
      </w:pPr>
      <w:r>
        <w:rPr>
          <w:rFonts w:ascii="Georgia" w:cs="Georgia" w:eastAsia="Georgia" w:hAnsi="Georgia"/>
          <w:color w:val="1A1A1A"/>
          <w:sz w:val="21"/>
          <w:szCs w:val="21"/>
        </w:rPr>
        <w:t xml:space="preserve">CTA : Approfondir la méthode → /methode</w:t>
      </w:r>
    </w:p>
    <w:p>
      <w:pPr>
        <w:pStyle w:val="Heading2"/>
        <w:spacing w:after="200" w:before="360"/>
      </w:pPr>
      <w:r>
        <w:rPr>
          <w:rFonts w:ascii="Georgia" w:cs="Georgia" w:eastAsia="Georgia" w:hAnsi="Georgia"/>
          <w:b/>
          <w:bCs/>
          <w:color w:val="0B1A2A"/>
          <w:sz w:val="30"/>
          <w:szCs w:val="30"/>
        </w:rPr>
        <w:t xml:space="preserve">Section 5 — La Forge</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 FORMAT FORGE</w:t>
      </w:r>
    </w:p>
    <w:p>
      <w:pPr>
        <w:shd w:fill="F5F2EC" w:val="clear"/>
        <w:spacing w:after="80" w:before="80" w:line="300"/>
        <w:ind w:left="360" w:right="360"/>
      </w:pPr>
      <w:r>
        <w:rPr>
          <w:rFonts w:ascii="Georgia" w:cs="Georgia" w:eastAsia="Georgia" w:hAnsi="Georgia"/>
          <w:color w:val="1A1A1A"/>
          <w:sz w:val="21"/>
          <w:szCs w:val="21"/>
        </w:rPr>
        <w:t xml:space="preserve">H2 : Une heure trente par semaine. Six séquences. Ne pas réinventer.</w:t>
      </w:r>
    </w:p>
    <w:p>
      <w:pPr>
        <w:shd w:fill="F5F2EC" w:val="clear"/>
        <w:spacing w:after="80" w:before="80" w:line="300"/>
        <w:ind w:left="360" w:right="360"/>
      </w:pPr>
      <w:r>
        <w:rPr>
          <w:rFonts w:ascii="Georgia" w:cs="Georgia" w:eastAsia="Georgia" w:hAnsi="Georgia"/>
          <w:color w:val="1A1A1A"/>
          <w:sz w:val="21"/>
          <w:szCs w:val="21"/>
        </w:rPr>
        <w:t xml:space="preserve">PARAGRAPHE 1 : Les sept pratiques ne se transmettent pas par formation. Elles s'installent en présence d'autres qui les tiennent — et qui demandent des comptes. C'est le rôle de la Forge.</w:t>
      </w:r>
    </w:p>
    <w:p>
      <w:pPr>
        <w:shd w:fill="F5F2EC" w:val="clear"/>
        <w:spacing w:after="80" w:before="80" w:line="300"/>
        <w:ind w:left="360" w:right="360"/>
      </w:pPr>
      <w:r>
        <w:rPr>
          <w:rFonts w:ascii="Georgia" w:cs="Georgia" w:eastAsia="Georgia" w:hAnsi="Georgia"/>
          <w:color w:val="1A1A1A"/>
          <w:sz w:val="21"/>
          <w:szCs w:val="21"/>
        </w:rPr>
        <w:t xml:space="preserve">PARAGRAPHE 2 : Une Forge réunit 8 à 12 commerciaux d'industries non concurrentes, animée par un Maître-Forgeron Fondateur certifié. Toutes les semaines, à un créneau fixe, pour une heure trente strictement tenue.</w:t>
      </w:r>
    </w:p>
    <w:p>
      <w:pPr>
        <w:shd w:fill="F5F2EC" w:val="clear"/>
        <w:spacing w:after="80" w:before="80" w:line="300"/>
        <w:ind w:left="360" w:right="360"/>
      </w:pPr>
      <w:r>
        <w:rPr>
          <w:rFonts w:ascii="Georgia" w:cs="Georgia" w:eastAsia="Georgia" w:hAnsi="Georgia"/>
          <w:color w:val="1A1A1A"/>
          <w:sz w:val="21"/>
          <w:szCs w:val="21"/>
        </w:rPr>
        <w:t xml:space="preserve">PARAGRAPHE 3 : Le format est propriétaire APEXER. Six séquences, durées calibrées, transitions précises. Aucune Forge ne s'écarte du standard. C'est ce qui rend la marque APEXER fiable et donc rentable.</w:t>
      </w:r>
    </w:p>
    <w:p>
      <w:pPr>
        <w:shd w:fill="F5F2EC" w:val="clear"/>
        <w:spacing w:after="80" w:before="80" w:line="300"/>
        <w:ind w:left="360" w:right="360"/>
      </w:pPr>
      <w:r>
        <w:rPr>
          <w:rFonts w:ascii="Georgia" w:cs="Georgia" w:eastAsia="Georgia" w:hAnsi="Georgia"/>
          <w:color w:val="1A1A1A"/>
          <w:sz w:val="21"/>
          <w:szCs w:val="21"/>
        </w:rPr>
        <w:t xml:space="preserve">CTA : Voir le format complet → /forge</w:t>
      </w:r>
    </w:p>
    <w:p>
      <w:pPr>
        <w:pStyle w:val="Heading2"/>
        <w:spacing w:after="200" w:before="360"/>
      </w:pPr>
      <w:r>
        <w:rPr>
          <w:rFonts w:ascii="Georgia" w:cs="Georgia" w:eastAsia="Georgia" w:hAnsi="Georgia"/>
          <w:b/>
          <w:bCs/>
          <w:color w:val="0B1A2A"/>
          <w:sz w:val="30"/>
          <w:szCs w:val="30"/>
        </w:rPr>
        <w:t xml:space="preserve">Section 6 — Les programmes</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LES PROGRAMMES</w:t>
      </w:r>
    </w:p>
    <w:p>
      <w:pPr>
        <w:shd w:fill="F5F2EC" w:val="clear"/>
        <w:spacing w:after="80" w:before="80" w:line="300"/>
        <w:ind w:left="360" w:right="360"/>
      </w:pPr>
      <w:r>
        <w:rPr>
          <w:rFonts w:ascii="Georgia" w:cs="Georgia" w:eastAsia="Georgia" w:hAnsi="Georgia"/>
          <w:color w:val="1A1A1A"/>
          <w:sz w:val="21"/>
          <w:szCs w:val="21"/>
        </w:rPr>
        <w:t xml:space="preserve">H2 : Cinq portes d'entrée. Une seule logique.</w:t>
      </w:r>
    </w:p>
    <w:p>
      <w:pPr>
        <w:shd w:fill="F5F2EC" w:val="clear"/>
        <w:spacing w:after="80" w:before="80" w:line="300"/>
        <w:ind w:left="360" w:right="360"/>
      </w:pPr>
      <w:r>
        <w:rPr>
          <w:rFonts w:ascii="Georgia" w:cs="Georgia" w:eastAsia="Georgia" w:hAnsi="Georgia"/>
          <w:color w:val="1A1A1A"/>
          <w:sz w:val="21"/>
          <w:szCs w:val="21"/>
        </w:rPr>
        <w:t xml:space="preserve">LEAD : APEXER se déploie en cinq programmes, calibrés selon votre situation. CONNECT pour démarrer seul. FORGE pour rejoindre un cercle hebdomadaire. APEX pour structurer votre maîtrise sur 12 à 48 semaines. TEAM pour installer le système dans votre équipe d'entreprise. YOUNG pour les structures qui accompagnent les 16-25 ans.</w:t>
      </w:r>
    </w:p>
    <w:p>
      <w:pPr>
        <w:shd w:fill="F5F2EC" w:val="clear"/>
        <w:spacing w:after="80" w:before="80" w:line="300"/>
        <w:ind w:left="360" w:right="360"/>
      </w:pPr>
      <w:r>
        <w:rPr>
          <w:rFonts w:ascii="Georgia" w:cs="Georgia" w:eastAsia="Georgia" w:hAnsi="Georgia"/>
          <w:color w:val="1A1A1A"/>
          <w:sz w:val="21"/>
          <w:szCs w:val="21"/>
        </w:rPr>
        <w:t xml:space="preserve">CARD CONNECT — 49 €/mois — Le programme digital d'entrée. Modules vidéo, Scoreboard quotidien, communauté privée. Pour démarrer seul, à votre rythme.</w:t>
      </w:r>
    </w:p>
    <w:p>
      <w:pPr>
        <w:shd w:fill="F5F2EC" w:val="clear"/>
        <w:spacing w:after="80" w:before="80" w:line="300"/>
        <w:ind w:left="360" w:right="360"/>
      </w:pPr>
      <w:r>
        <w:rPr>
          <w:rFonts w:ascii="Georgia" w:cs="Georgia" w:eastAsia="Georgia" w:hAnsi="Georgia"/>
          <w:color w:val="1A1A1A"/>
          <w:sz w:val="21"/>
          <w:szCs w:val="21"/>
        </w:rPr>
        <w:t xml:space="preserve">CARD FORGE — 129 €/mois — Le programme central. Forge hebdomadaire animée par un Maître-Forgeron certifié. C'est ici que les pratiques s'installent durablement.</w:t>
      </w:r>
    </w:p>
    <w:p>
      <w:pPr>
        <w:shd w:fill="F5F2EC" w:val="clear"/>
        <w:spacing w:after="80" w:before="80" w:line="300"/>
        <w:ind w:left="360" w:right="360"/>
      </w:pPr>
      <w:r>
        <w:rPr>
          <w:rFonts w:ascii="Georgia" w:cs="Georgia" w:eastAsia="Georgia" w:hAnsi="Georgia"/>
          <w:color w:val="1A1A1A"/>
          <w:sz w:val="21"/>
          <w:szCs w:val="21"/>
        </w:rPr>
        <w:t xml:space="preserve">CARD APEX — De 299 € à 1 299 € — La trilogie de progression structurée. MONT BLANC (12 semaines, fondations) · KILIMANDJARO (24 semaines, accélération) · HIMALAYA (48 semaines, maîtrise).</w:t>
      </w:r>
    </w:p>
    <w:p>
      <w:pPr>
        <w:shd w:fill="F5F2EC" w:val="clear"/>
        <w:spacing w:after="80" w:before="80" w:line="300"/>
        <w:ind w:left="360" w:right="360"/>
      </w:pPr>
      <w:r>
        <w:rPr>
          <w:rFonts w:ascii="Georgia" w:cs="Georgia" w:eastAsia="Georgia" w:hAnsi="Georgia"/>
          <w:color w:val="1A1A1A"/>
          <w:sz w:val="21"/>
          <w:szCs w:val="21"/>
        </w:rPr>
        <w:t xml:space="preserve">CARD TEAM — 4 500 € + 120 €/mois/commercial — L'offre B2B pour entreprises. Forge interne hebdomadaire, Cockpit Manager, reporting trimestriel. Pour 6 à 50 commerciaux.</w:t>
      </w:r>
    </w:p>
    <w:p>
      <w:pPr>
        <w:shd w:fill="F5F2EC" w:val="clear"/>
        <w:spacing w:after="80" w:before="80" w:line="300"/>
        <w:ind w:left="360" w:right="360"/>
      </w:pPr>
      <w:r>
        <w:rPr>
          <w:rFonts w:ascii="Georgia" w:cs="Georgia" w:eastAsia="Georgia" w:hAnsi="Georgia"/>
          <w:color w:val="1A1A1A"/>
          <w:sz w:val="21"/>
          <w:szCs w:val="21"/>
        </w:rPr>
        <w:t xml:space="preserve">CARD YOUNG — 2 800 € par cohorte — L'offre 16-25 ans. Forge YOUNG en 5 séquences. Pour missions locales, CFA, lycées pro, clubs sportifs, collectivités.</w:t>
      </w:r>
    </w:p>
    <w:p>
      <w:pPr>
        <w:shd w:fill="F5F2EC" w:val="clear"/>
        <w:spacing w:after="80" w:before="80" w:line="300"/>
        <w:ind w:left="360" w:right="360"/>
      </w:pPr>
      <w:r>
        <w:rPr>
          <w:rFonts w:ascii="Georgia" w:cs="Georgia" w:eastAsia="Georgia" w:hAnsi="Georgia"/>
          <w:color w:val="1A1A1A"/>
          <w:sz w:val="21"/>
          <w:szCs w:val="21"/>
        </w:rPr>
        <w:t xml:space="preserve">CTA : Comment choisir votre programme ? → /pourquoi</w:t>
      </w:r>
    </w:p>
    <w:p>
      <w:pPr>
        <w:pStyle w:val="Heading2"/>
        <w:spacing w:after="200" w:before="360"/>
      </w:pPr>
      <w:r>
        <w:rPr>
          <w:rFonts w:ascii="Georgia" w:cs="Georgia" w:eastAsia="Georgia" w:hAnsi="Georgia"/>
          <w:b/>
          <w:bCs/>
          <w:color w:val="0B1A2A"/>
          <w:sz w:val="30"/>
          <w:szCs w:val="30"/>
        </w:rPr>
        <w:t xml:space="preserve">Section 7 — Le maillage territorial</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LE RÉSEAU</w:t>
      </w:r>
    </w:p>
    <w:p>
      <w:pPr>
        <w:shd w:fill="F5F2EC" w:val="clear"/>
        <w:spacing w:after="80" w:before="80" w:line="300"/>
        <w:ind w:left="360" w:right="360"/>
      </w:pPr>
      <w:r>
        <w:rPr>
          <w:rFonts w:ascii="Georgia" w:cs="Georgia" w:eastAsia="Georgia" w:hAnsi="Georgia"/>
          <w:color w:val="1A1A1A"/>
          <w:sz w:val="21"/>
          <w:szCs w:val="21"/>
        </w:rPr>
        <w:t xml:space="preserve">H2 : 130 bassins économiques. 200 Maîtres-Forgerons. 18 mois pour installer la grille complète.</w:t>
      </w:r>
    </w:p>
    <w:p>
      <w:pPr>
        <w:shd w:fill="F5F2EC" w:val="clear"/>
        <w:spacing w:after="80" w:before="80" w:line="300"/>
        <w:ind w:left="360" w:right="360"/>
      </w:pPr>
      <w:r>
        <w:rPr>
          <w:rFonts w:ascii="Georgia" w:cs="Georgia" w:eastAsia="Georgia" w:hAnsi="Georgia"/>
          <w:color w:val="1A1A1A"/>
          <w:sz w:val="21"/>
          <w:szCs w:val="21"/>
        </w:rPr>
        <w:t xml:space="preserve">LEAD : APEXER ne fonctionne pas en plateforme nationale anonyme. Chaque Forgeron est rattaché à un Maître-Forgeron Fondateur de son bassin économique. La présence locale fait partie du système.</w:t>
      </w:r>
    </w:p>
    <w:p>
      <w:pPr>
        <w:shd w:fill="F5F2EC" w:val="clear"/>
        <w:spacing w:after="80" w:before="80" w:line="300"/>
        <w:ind w:left="360" w:right="360"/>
      </w:pPr>
      <w:r>
        <w:rPr>
          <w:rFonts w:ascii="Georgia" w:cs="Georgia" w:eastAsia="Georgia" w:hAnsi="Georgia"/>
          <w:color w:val="1A1A1A"/>
          <w:sz w:val="21"/>
          <w:szCs w:val="21"/>
        </w:rPr>
        <w:t xml:space="preserve">MAP COMPONENT : Carte de France interactive (composant ForgesMap). Au survol d'un bassin : nombre de Forges actives, nom du ou des Maîtres-Forgerons. Au clic : redirection vers la fiche du Maître-Forgeron concerné si publique.</w:t>
      </w:r>
    </w:p>
    <w:p>
      <w:pPr>
        <w:shd w:fill="F5F2EC" w:val="clear"/>
        <w:spacing w:after="80" w:before="80" w:line="300"/>
        <w:ind w:left="360" w:right="360"/>
      </w:pPr>
      <w:r>
        <w:rPr>
          <w:rFonts w:ascii="Georgia" w:cs="Georgia" w:eastAsia="Georgia" w:hAnsi="Georgia"/>
          <w:color w:val="1A1A1A"/>
          <w:sz w:val="21"/>
          <w:szCs w:val="21"/>
        </w:rPr>
        <w:t xml:space="preserve">STATS : [Nombre dynamique] Forgerons actifs · [Nombre dynamique] Maîtres-Forgerons certifiés · [Nombre dynamique] Forges hebdomadaires en France.</w:t>
      </w:r>
    </w:p>
    <w:p>
      <w:pPr>
        <w:shd w:fill="F5F2EC" w:val="clear"/>
        <w:spacing w:after="80" w:before="80" w:line="300"/>
        <w:ind w:left="360" w:right="360"/>
      </w:pPr>
      <w:r>
        <w:rPr>
          <w:rFonts w:ascii="Georgia" w:cs="Georgia" w:eastAsia="Georgia" w:hAnsi="Georgia"/>
          <w:color w:val="1A1A1A"/>
          <w:sz w:val="21"/>
          <w:szCs w:val="21"/>
        </w:rPr>
        <w:t xml:space="preserve">CTA SECONDARY : Voir le réseau complet → /forgerons</w:t>
      </w:r>
    </w:p>
    <w:p>
      <w:pPr>
        <w:pStyle w:val="Heading2"/>
        <w:spacing w:after="200" w:before="360"/>
      </w:pPr>
      <w:r>
        <w:rPr>
          <w:rFonts w:ascii="Georgia" w:cs="Georgia" w:eastAsia="Georgia" w:hAnsi="Georgia"/>
          <w:b/>
          <w:bCs/>
          <w:color w:val="0B1A2A"/>
          <w:sz w:val="30"/>
          <w:szCs w:val="30"/>
        </w:rPr>
        <w:t xml:space="preserve">Section 8 — Devenir Maître-Forgeron</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EYEBROW : POUR LES OPÉRATEURS COMMERCIAUX D'ÉLITE</w:t>
      </w:r>
    </w:p>
    <w:p>
      <w:pPr>
        <w:shd w:fill="F5F2EC" w:val="clear"/>
        <w:spacing w:after="80" w:before="80" w:line="300"/>
        <w:ind w:left="360" w:right="360"/>
      </w:pPr>
      <w:r>
        <w:rPr>
          <w:rFonts w:ascii="Georgia" w:cs="Georgia" w:eastAsia="Georgia" w:hAnsi="Georgia"/>
          <w:color w:val="1A1A1A"/>
          <w:sz w:val="21"/>
          <w:szCs w:val="21"/>
        </w:rPr>
        <w:t xml:space="preserve">H2 : Devenir l'opérateur territorial du système APEXER.</w:t>
      </w:r>
    </w:p>
    <w:p>
      <w:pPr>
        <w:shd w:fill="F5F2EC" w:val="clear"/>
        <w:spacing w:after="80" w:before="80" w:line="300"/>
        <w:ind w:left="360" w:right="360"/>
      </w:pPr>
      <w:r>
        <w:rPr>
          <w:rFonts w:ascii="Georgia" w:cs="Georgia" w:eastAsia="Georgia" w:hAnsi="Georgia"/>
          <w:color w:val="1A1A1A"/>
          <w:sz w:val="21"/>
          <w:szCs w:val="21"/>
        </w:rPr>
        <w:t xml:space="preserve">CITATION HP (italic, serif, gold accent) : « Nous cherchons 200 personnes capables de tenir le standard APEXER sur leur territoire. Pas des coachs. Pas des formateurs. Pas des consultants. Des opérateurs. — Henri-Pierre Ouhibi, fondateur APEXER »</w:t>
      </w:r>
    </w:p>
    <w:p>
      <w:pPr>
        <w:shd w:fill="F5F2EC" w:val="clear"/>
        <w:spacing w:after="80" w:before="80" w:line="300"/>
        <w:ind w:left="360" w:right="360"/>
      </w:pPr>
      <w:r>
        <w:rPr>
          <w:rFonts w:ascii="Georgia" w:cs="Georgia" w:eastAsia="Georgia" w:hAnsi="Georgia"/>
          <w:color w:val="1A1A1A"/>
          <w:sz w:val="21"/>
          <w:szCs w:val="21"/>
        </w:rPr>
        <w:t xml:space="preserve">PARAGRAPHE : Les Maîtres-Forgerons Fondateurs ne sont pas des franchisés au sens classique. Ils achètent une licence, suivent une formation initiale exigeante, animent une Forge hebdomadaire dans leur bassin, et perçoivent 75% des revenus générés sur leur territoire (80% pour les 30 Pionniers). Investissement initial : 2 500 € (1 750 € pour les Pionniers).</w:t>
      </w:r>
    </w:p>
    <w:p>
      <w:pPr>
        <w:shd w:fill="F5F2EC" w:val="clear"/>
        <w:spacing w:after="80" w:before="80" w:line="300"/>
        <w:ind w:left="360" w:right="360"/>
      </w:pPr>
      <w:r>
        <w:rPr>
          <w:rFonts w:ascii="Georgia" w:cs="Georgia" w:eastAsia="Georgia" w:hAnsi="Georgia"/>
          <w:color w:val="1A1A1A"/>
          <w:sz w:val="21"/>
          <w:szCs w:val="21"/>
        </w:rPr>
        <w:t xml:space="preserve">CTA PRIMARY : Comprendre le statut MFF → /candidater</w:t>
      </w:r>
    </w:p>
    <w:p>
      <w:pPr>
        <w:pStyle w:val="Heading2"/>
        <w:spacing w:after="200" w:before="360"/>
      </w:pPr>
      <w:r>
        <w:rPr>
          <w:rFonts w:ascii="Georgia" w:cs="Georgia" w:eastAsia="Georgia" w:hAnsi="Georgia"/>
          <w:b/>
          <w:bCs/>
          <w:color w:val="0B1A2A"/>
          <w:sz w:val="30"/>
          <w:szCs w:val="30"/>
        </w:rPr>
        <w:t xml:space="preserve">Section 9 — CTA final</w:t>
      </w:r>
    </w:p>
    <w:p>
      <w:pPr>
        <w:spacing w:after="80" w:before="160"/>
      </w:pPr>
      <w:r>
        <w:rPr>
          <w:rFonts w:ascii="Arial" w:cs="Arial" w:eastAsia="Arial" w:hAnsi="Arial"/>
          <w:b/>
          <w:bCs/>
          <w:color w:val="0B1A2A"/>
          <w:sz w:val="22"/>
          <w:szCs w:val="22"/>
        </w:rPr>
        <w:t xml:space="preserve">Microcopies prêtes à coller</w:t>
      </w:r>
    </w:p>
    <w:p>
      <w:pPr>
        <w:shd w:fill="F5F2EC" w:val="clear"/>
        <w:spacing w:after="80" w:before="80" w:line="300"/>
        <w:ind w:left="360" w:right="360"/>
      </w:pPr>
      <w:r>
        <w:rPr>
          <w:rFonts w:ascii="Georgia" w:cs="Georgia" w:eastAsia="Georgia" w:hAnsi="Georgia"/>
          <w:color w:val="1A1A1A"/>
          <w:sz w:val="21"/>
          <w:szCs w:val="21"/>
        </w:rPr>
        <w:t xml:space="preserve">BACKGROUND : navy bg, gold accents, image P02 en arrière-plan désaturée.</w:t>
      </w:r>
    </w:p>
    <w:p>
      <w:pPr>
        <w:shd w:fill="F5F2EC" w:val="clear"/>
        <w:spacing w:after="80" w:before="80" w:line="300"/>
        <w:ind w:left="360" w:right="360"/>
      </w:pPr>
      <w:r>
        <w:rPr>
          <w:rFonts w:ascii="Georgia" w:cs="Georgia" w:eastAsia="Georgia" w:hAnsi="Georgia"/>
          <w:color w:val="1A1A1A"/>
          <w:sz w:val="21"/>
          <w:szCs w:val="21"/>
        </w:rPr>
        <w:t xml:space="preserve">H2 : Deux portes d'entrée. Une seule décision.</w:t>
      </w:r>
    </w:p>
    <w:p>
      <w:pPr>
        <w:shd w:fill="F5F2EC" w:val="clear"/>
        <w:spacing w:after="80" w:before="80" w:line="300"/>
        <w:ind w:left="360" w:right="360"/>
      </w:pPr>
      <w:r>
        <w:rPr>
          <w:rFonts w:ascii="Georgia" w:cs="Georgia" w:eastAsia="Georgia" w:hAnsi="Georgia"/>
          <w:color w:val="1A1A1A"/>
          <w:sz w:val="21"/>
          <w:szCs w:val="21"/>
        </w:rPr>
        <w:t xml:space="preserve">CTA 1 — POUR REJOINDRE UNE FORGE : Vous voulez rejoindre une Forge proche de chez vous, animée par un Maître-Forgeron certifié. Tarif : 129 €/mois, engagement 3 mois minimum. Bouton : Postuler à une Forge → /forge#candidater</w:t>
      </w:r>
    </w:p>
    <w:p>
      <w:pPr>
        <w:shd w:fill="F5F2EC" w:val="clear"/>
        <w:spacing w:after="80" w:before="80" w:line="300"/>
        <w:ind w:left="360" w:right="360"/>
      </w:pPr>
      <w:r>
        <w:rPr>
          <w:rFonts w:ascii="Georgia" w:cs="Georgia" w:eastAsia="Georgia" w:hAnsi="Georgia"/>
          <w:color w:val="1A1A1A"/>
          <w:sz w:val="21"/>
          <w:szCs w:val="21"/>
        </w:rPr>
        <w:t xml:space="preserve">CTA 2 — POUR DEVENIR MAÎTRE-FORGERON : Vous êtes opérateur commercial confirmé et vous voulez porter le système APEXER sur votre territoire. Bouton : Comprendre le statut MFF → /candidater</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Pages programmes</w:t>
      </w:r>
    </w:p>
    <w:p>
      <w:pPr>
        <w:spacing w:after="200" w:before="80"/>
      </w:pPr>
      <w:r>
        <w:rPr>
          <w:rFonts w:ascii="Arial" w:cs="Arial" w:eastAsia="Arial" w:hAnsi="Arial"/>
          <w:i/>
          <w:iCs/>
          <w:color w:val="6B6F76"/>
          <w:sz w:val="18"/>
          <w:szCs w:val="18"/>
        </w:rPr>
        <w:t xml:space="preserve">8 pages dédiées (CONNECT, FORGE, MONT BLANC, KILIMANDJARO, HIMALAYA, TEAM, YOUNG, /apex hub). Structure standardisée pour cohérence inter-programmes. Microcopies déjà disponibles dans les Words Vague 3 — je donne ici la structure.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Structure standardisée d'une page programme</w:t>
      </w:r>
    </w:p>
    <w:p>
      <w:pPr>
        <w:spacing w:after="120" w:line="320"/>
        <w:jc w:val="both"/>
      </w:pPr>
      <w:r>
        <w:rPr>
          <w:rFonts w:ascii="Georgia" w:cs="Georgia" w:eastAsia="Georgia" w:hAnsi="Georgia"/>
          <w:b w:val="false"/>
          <w:bCs w:val="false"/>
          <w:i w:val="false"/>
          <w:iCs w:val="false"/>
          <w:color w:val="1A1A1A"/>
          <w:sz w:val="22"/>
          <w:szCs w:val="22"/>
        </w:rPr>
        <w:t xml:space="preserve">Toutes les pages programmes suivent la même structure en 9 sections, pour cohérence visuelle et navigationnelle. Le contenu de chaque section est puisé dans le Word Vague 3 du programme concerné (partie 7 "page produit").</w:t>
      </w:r>
    </w:p>
    <w:p>
      <w:pPr>
        <w:shd w:fill="F6F6F2" w:val="clear"/>
        <w:spacing w:after="160" w:before="100" w:line="280"/>
        <w:ind w:left="240" w:right="240"/>
      </w:pPr>
      <w:r>
        <w:rPr>
          <w:rFonts w:ascii="Courier New" w:cs="Courier New" w:eastAsia="Courier New" w:hAnsi="Courier New"/>
          <w:color w:val="1A1A1A"/>
          <w:sz w:val="18"/>
          <w:szCs w:val="18"/>
        </w:rPr>
        <w:t xml:space="preserve">PAGE PROGRAMME — STRUCTURE STANDARDISÉE
─────────────────────────────────────────
1. HERO
   · Eyebrow programme
   · H1 (titre programme + tagline)
   · Lead 2-3 lignes
   · CTA primary + secondary
   · Image clé du programme (P16-P23)
2. POUR QUI
   · Eyebrow "POUR QUI"
   · H2 court
   · 3-4 cartes de profils-types
   · Lead "Si vous reconnaissez l'un de ces profils, ce programme est pour vous"
3. CE QUE LE PROGRAMME INSTALLE
   · Eyebrow "CE QUE VOUS INSTALLEZ"
   · H2
   · 4-7 bullet points (selon programme)
   · Image scène ou still-life
4. LE FORMAT
   · Eyebrow "LE FORMAT"
   · H2 (durée + rythme)
   · Détail jour par jour ou semaine par semaine
   · Tableau des modules ou parcours
5. LE TARIF
   · Eyebrow "LE TARIF"
   · H2 (prix principal)
   · Carte tarif principale + variantes (si applicable)
   · Mentions de paiement échelonné
   · Précision conditions Pionniers si éligible
6. LES MÉTRIQUES DE RÉUSSITE
   · Eyebrow "VOTRE PROGRESSION"
   · H2
   · 3-5 indicateurs cibles ou paliers (sceaux pour APEX)
7. ARTICULATION AVEC LES AUTRES PROGRAMMES
   · Eyebrow "AVANT / APRÈS"
   · H2
   · Tableau ou diagramme de passerelles
8. FAQ
   · Eyebrow "QUESTIONS"
   · H2
   · Accordéon avec 5-8 questions
   · CTA "Toutes les questions" → /faq
9. CTA FINAL
   · Background navy + image
   · 1-2 CTA forts
   · Microproof statistique</w:t>
      </w:r>
    </w:p>
    <w:p>
      <w:pPr>
        <w:pStyle w:val="Heading2"/>
        <w:spacing w:after="200" w:before="360"/>
      </w:pPr>
      <w:r>
        <w:rPr>
          <w:rFonts w:ascii="Georgia" w:cs="Georgia" w:eastAsia="Georgia" w:hAnsi="Georgia"/>
          <w:b/>
          <w:bCs/>
          <w:color w:val="0B1A2A"/>
          <w:sz w:val="30"/>
          <w:szCs w:val="30"/>
        </w:rPr>
        <w:t xml:space="preserve">Page /forge — exemple détaillé</w:t>
      </w:r>
    </w:p>
    <w:p>
      <w:pPr>
        <w:spacing w:after="120" w:line="320"/>
        <w:jc w:val="both"/>
      </w:pPr>
      <w:r>
        <w:rPr>
          <w:rFonts w:ascii="Georgia" w:cs="Georgia" w:eastAsia="Georgia" w:hAnsi="Georgia"/>
          <w:b w:val="false"/>
          <w:bCs w:val="false"/>
          <w:i w:val="false"/>
          <w:iCs w:val="false"/>
          <w:color w:val="1A1A1A"/>
          <w:sz w:val="22"/>
          <w:szCs w:val="22"/>
        </w:rPr>
        <w:t xml:space="preserve">Je détaille uniquement /forge, qui est le programme central et la page la plus stratégique. Les 7 autres pages programmes suivent la même structure avec contenu puisé dans leur Word Vague 3 respectif.</w:t>
      </w:r>
    </w:p>
    <w:p>
      <w:pPr>
        <w:spacing w:after="80" w:before="160"/>
      </w:pPr>
      <w:r>
        <w:rPr>
          <w:rFonts w:ascii="Arial" w:cs="Arial" w:eastAsia="Arial" w:hAnsi="Arial"/>
          <w:b/>
          <w:bCs/>
          <w:color w:val="0B1A2A"/>
          <w:sz w:val="22"/>
          <w:szCs w:val="22"/>
        </w:rPr>
        <w:t xml:space="preserve">Hero — microcopies prêtes</w:t>
      </w:r>
    </w:p>
    <w:p>
      <w:pPr>
        <w:shd w:fill="F5F2EC" w:val="clear"/>
        <w:spacing w:after="80" w:before="80" w:line="300"/>
        <w:ind w:left="360" w:right="360"/>
      </w:pPr>
      <w:r>
        <w:rPr>
          <w:rFonts w:ascii="Georgia" w:cs="Georgia" w:eastAsia="Georgia" w:hAnsi="Georgia"/>
          <w:color w:val="1A1A1A"/>
          <w:sz w:val="21"/>
          <w:szCs w:val="21"/>
        </w:rPr>
        <w:t xml:space="preserve">EYEBROW : LE PROGRAMME CENTRAL</w:t>
      </w:r>
    </w:p>
    <w:p>
      <w:pPr>
        <w:shd w:fill="F5F2EC" w:val="clear"/>
        <w:spacing w:after="80" w:before="80" w:line="300"/>
        <w:ind w:left="360" w:right="360"/>
      </w:pPr>
      <w:r>
        <w:rPr>
          <w:rFonts w:ascii="Georgia" w:cs="Georgia" w:eastAsia="Georgia" w:hAnsi="Georgia"/>
          <w:color w:val="1A1A1A"/>
          <w:sz w:val="21"/>
          <w:szCs w:val="21"/>
        </w:rPr>
        <w:t xml:space="preserve">H1 : Une heure trente par semaine. Pour ne plus jamais devoir compter sur la motivation.</w:t>
      </w:r>
    </w:p>
    <w:p>
      <w:pPr>
        <w:shd w:fill="F5F2EC" w:val="clear"/>
        <w:spacing w:after="80" w:before="80" w:line="300"/>
        <w:ind w:left="360" w:right="360"/>
      </w:pPr>
      <w:r>
        <w:rPr>
          <w:rFonts w:ascii="Georgia" w:cs="Georgia" w:eastAsia="Georgia" w:hAnsi="Georgia"/>
          <w:color w:val="1A1A1A"/>
          <w:sz w:val="21"/>
          <w:szCs w:val="21"/>
        </w:rPr>
        <w:t xml:space="preserve">LEAD : La Forge est le rendez-vous hebdomadaire qui installe les sept pratiques convergentes — durablement, sans rappels, sans relais. 8 à 12 commerciaux d'industries non concurrentes, animés par un Maître-Forgeron Fondateur certifié.</w:t>
      </w:r>
    </w:p>
    <w:p>
      <w:pPr>
        <w:shd w:fill="F5F2EC" w:val="clear"/>
        <w:spacing w:after="80" w:before="80" w:line="300"/>
        <w:ind w:left="360" w:right="360"/>
      </w:pPr>
      <w:r>
        <w:rPr>
          <w:rFonts w:ascii="Georgia" w:cs="Georgia" w:eastAsia="Georgia" w:hAnsi="Georgia"/>
          <w:color w:val="1A1A1A"/>
          <w:sz w:val="21"/>
          <w:szCs w:val="21"/>
        </w:rPr>
        <w:t xml:space="preserve">CTA PRIMARY : Postuler à une Forge → tunnel candidature Forge</w:t>
      </w:r>
    </w:p>
    <w:p>
      <w:pPr>
        <w:shd w:fill="F5F2EC" w:val="clear"/>
        <w:spacing w:after="80" w:before="80" w:line="300"/>
        <w:ind w:left="360" w:right="360"/>
      </w:pPr>
      <w:r>
        <w:rPr>
          <w:rFonts w:ascii="Georgia" w:cs="Georgia" w:eastAsia="Georgia" w:hAnsi="Georgia"/>
          <w:color w:val="1A1A1A"/>
          <w:sz w:val="21"/>
          <w:szCs w:val="21"/>
        </w:rPr>
        <w:t xml:space="preserve">CTA SECONDARY : Voir le format complet → ancre #format</w:t>
      </w:r>
    </w:p>
    <w:p>
      <w:pPr>
        <w:spacing w:after="80" w:before="160"/>
      </w:pPr>
      <w:r>
        <w:rPr>
          <w:rFonts w:ascii="Arial" w:cs="Arial" w:eastAsia="Arial" w:hAnsi="Arial"/>
          <w:b/>
          <w:bCs/>
          <w:color w:val="0B1A2A"/>
          <w:sz w:val="22"/>
          <w:szCs w:val="22"/>
        </w:rPr>
        <w:t xml:space="preserve">Section Pour qui — 4 cartes</w:t>
      </w:r>
    </w:p>
    <w:p>
      <w:pPr>
        <w:shd w:fill="F5F2EC" w:val="clear"/>
        <w:spacing w:after="80" w:before="80" w:line="300"/>
        <w:ind w:left="360" w:right="360"/>
      </w:pPr>
      <w:r>
        <w:rPr>
          <w:rFonts w:ascii="Georgia" w:cs="Georgia" w:eastAsia="Georgia" w:hAnsi="Georgia"/>
          <w:color w:val="1A1A1A"/>
          <w:sz w:val="21"/>
          <w:szCs w:val="21"/>
        </w:rPr>
        <w:t xml:space="preserve">CARTE 1 : Vous êtes commercial confirmé, vous performez correctement, mais vous savez que vous tournez en rond depuis 18 mois et que la prochaine marche ne se franchira pas par plus d'effort. Vous cherchez un cadre.</w:t>
      </w:r>
    </w:p>
    <w:p>
      <w:pPr>
        <w:shd w:fill="F5F2EC" w:val="clear"/>
        <w:spacing w:after="80" w:before="80" w:line="300"/>
        <w:ind w:left="360" w:right="360"/>
      </w:pPr>
      <w:r>
        <w:rPr>
          <w:rFonts w:ascii="Georgia" w:cs="Georgia" w:eastAsia="Georgia" w:hAnsi="Georgia"/>
          <w:color w:val="1A1A1A"/>
          <w:sz w:val="21"/>
          <w:szCs w:val="21"/>
        </w:rPr>
        <w:t xml:space="preserve">CARTE 2 : Vous êtes manager commercial ou indépendant, vous tenez vos chiffres, et vous voulez sortir de l'isolement professionnel sans rejoindre un club de réseautage qui ne vous apprendra rien.</w:t>
      </w:r>
    </w:p>
    <w:p>
      <w:pPr>
        <w:shd w:fill="F5F2EC" w:val="clear"/>
        <w:spacing w:after="80" w:before="80" w:line="300"/>
        <w:ind w:left="360" w:right="360"/>
      </w:pPr>
      <w:r>
        <w:rPr>
          <w:rFonts w:ascii="Georgia" w:cs="Georgia" w:eastAsia="Georgia" w:hAnsi="Georgia"/>
          <w:color w:val="1A1A1A"/>
          <w:sz w:val="21"/>
          <w:szCs w:val="21"/>
        </w:rPr>
        <w:t xml:space="preserve">CARTE 3 : Vous êtes en transition professionnelle ou en phase d'accélération, vous avez besoin d'un cadre extérieur exigeant pour structurer votre développement personnel sur 12 à 24 mois.</w:t>
      </w:r>
    </w:p>
    <w:p>
      <w:pPr>
        <w:shd w:fill="F5F2EC" w:val="clear"/>
        <w:spacing w:after="80" w:before="80" w:line="300"/>
        <w:ind w:left="360" w:right="360"/>
      </w:pPr>
      <w:r>
        <w:rPr>
          <w:rFonts w:ascii="Georgia" w:cs="Georgia" w:eastAsia="Georgia" w:hAnsi="Georgia"/>
          <w:color w:val="1A1A1A"/>
          <w:sz w:val="21"/>
          <w:szCs w:val="21"/>
        </w:rPr>
        <w:t xml:space="preserve">CARTE 4 : Vous avez déjà fait une formation classique de 2 jours, ça n'a pas tenu, vous avez fait deux autres formations, ça n'a pas tenu non plus. Vous comprenez maintenant que le problème n'est pas le contenu — c'est le cadre.</w:t>
      </w:r>
    </w:p>
    <w:p>
      <w:pPr>
        <w:spacing w:after="80" w:before="160"/>
      </w:pPr>
      <w:r>
        <w:rPr>
          <w:rFonts w:ascii="Arial" w:cs="Arial" w:eastAsia="Arial" w:hAnsi="Arial"/>
          <w:b/>
          <w:bCs/>
          <w:color w:val="0B1A2A"/>
          <w:sz w:val="22"/>
          <w:szCs w:val="22"/>
        </w:rPr>
        <w:t xml:space="preserve">Section Format — détail des 6 séquences</w:t>
      </w:r>
    </w:p>
    <w:p>
      <w:pPr>
        <w:shd w:fill="F5F2EC" w:val="clear"/>
        <w:spacing w:after="80" w:before="80" w:line="300"/>
        <w:ind w:left="360" w:right="360"/>
      </w:pPr>
      <w:r>
        <w:rPr>
          <w:rFonts w:ascii="Georgia" w:cs="Georgia" w:eastAsia="Georgia" w:hAnsi="Georgia"/>
          <w:color w:val="1A1A1A"/>
          <w:sz w:val="21"/>
          <w:szCs w:val="21"/>
        </w:rPr>
        <w:t xml:space="preserve">EYEBROW : LE FORMAT FORGE</w:t>
      </w:r>
    </w:p>
    <w:p>
      <w:pPr>
        <w:shd w:fill="F5F2EC" w:val="clear"/>
        <w:spacing w:after="80" w:before="80" w:line="300"/>
        <w:ind w:left="360" w:right="360"/>
      </w:pPr>
      <w:r>
        <w:rPr>
          <w:rFonts w:ascii="Georgia" w:cs="Georgia" w:eastAsia="Georgia" w:hAnsi="Georgia"/>
          <w:color w:val="1A1A1A"/>
          <w:sz w:val="21"/>
          <w:szCs w:val="21"/>
        </w:rPr>
        <w:t xml:space="preserve">H2 : Six séquences. Quatre-vingt-dix minutes. Aucune dérive.</w:t>
      </w:r>
    </w:p>
    <w:p>
      <w:pPr>
        <w:shd w:fill="F5F2EC" w:val="clear"/>
        <w:spacing w:after="80" w:before="80" w:line="300"/>
        <w:ind w:left="360" w:right="360"/>
      </w:pPr>
      <w:r>
        <w:rPr>
          <w:rFonts w:ascii="Georgia" w:cs="Georgia" w:eastAsia="Georgia" w:hAnsi="Georgia"/>
          <w:color w:val="1A1A1A"/>
          <w:sz w:val="21"/>
          <w:szCs w:val="21"/>
        </w:rPr>
        <w:t xml:space="preserve">SÉQUENCE 1 — Ouverture (10 min) : Rappel du standard de la Forge. Énergie de chaque Forgeron sur 10. Annonce du Forgeron qui passera en focus Recommandabilité.</w:t>
      </w:r>
    </w:p>
    <w:p>
      <w:pPr>
        <w:shd w:fill="F5F2EC" w:val="clear"/>
        <w:spacing w:after="80" w:before="80" w:line="300"/>
        <w:ind w:left="360" w:right="360"/>
      </w:pPr>
      <w:r>
        <w:rPr>
          <w:rFonts w:ascii="Georgia" w:cs="Georgia" w:eastAsia="Georgia" w:hAnsi="Georgia"/>
          <w:color w:val="1A1A1A"/>
          <w:sz w:val="21"/>
          <w:szCs w:val="21"/>
        </w:rPr>
        <w:t xml:space="preserve">SÉQUENCE 2 — Scoreboard (15 min) : Chaque Forgeron rend compte de ses indicateurs commerciaux et de pratique de la semaine. Trois minutes par Forgeron, sans débat.</w:t>
      </w:r>
    </w:p>
    <w:p>
      <w:pPr>
        <w:shd w:fill="F5F2EC" w:val="clear"/>
        <w:spacing w:after="80" w:before="80" w:line="300"/>
        <w:ind w:left="360" w:right="360"/>
      </w:pPr>
      <w:r>
        <w:rPr>
          <w:rFonts w:ascii="Georgia" w:cs="Georgia" w:eastAsia="Georgia" w:hAnsi="Georgia"/>
          <w:color w:val="1A1A1A"/>
          <w:sz w:val="21"/>
          <w:szCs w:val="21"/>
        </w:rPr>
        <w:t xml:space="preserve">SÉQUENCE 3 — Focus Recommandabilité (20 min) : Un Forgeron passe au centre. Le groupe travaille avec lui sur sa recommandabilité — qu'est-ce qui rend cette personne recommandable, qu'est-ce qui doit progresser.</w:t>
      </w:r>
    </w:p>
    <w:p>
      <w:pPr>
        <w:shd w:fill="F5F2EC" w:val="clear"/>
        <w:spacing w:after="80" w:before="80" w:line="300"/>
        <w:ind w:left="360" w:right="360"/>
      </w:pPr>
      <w:r>
        <w:rPr>
          <w:rFonts w:ascii="Georgia" w:cs="Georgia" w:eastAsia="Georgia" w:hAnsi="Georgia"/>
          <w:color w:val="1A1A1A"/>
          <w:sz w:val="21"/>
          <w:szCs w:val="21"/>
        </w:rPr>
        <w:t xml:space="preserve">SÉQUENCE 4 — Cas business (20 min) : Un Forgeron apporte un cas concret de la semaine — un blocage commercial, une décision difficile, une opportunité à arbitrer. Le groupe travaille collectivement.</w:t>
      </w:r>
    </w:p>
    <w:p>
      <w:pPr>
        <w:shd w:fill="F5F2EC" w:val="clear"/>
        <w:spacing w:after="80" w:before="80" w:line="300"/>
        <w:ind w:left="360" w:right="360"/>
      </w:pPr>
      <w:r>
        <w:rPr>
          <w:rFonts w:ascii="Georgia" w:cs="Georgia" w:eastAsia="Georgia" w:hAnsi="Georgia"/>
          <w:color w:val="1A1A1A"/>
          <w:sz w:val="21"/>
          <w:szCs w:val="21"/>
        </w:rPr>
        <w:t xml:space="preserve">SÉQUENCE 5 — Marché des recommandations (15 min) : Demandes précises et offres précises de mises en relation. Pas d'échange de cartes de visite — uniquement des recommandations qualifiées sur des situations identifiées.</w:t>
      </w:r>
    </w:p>
    <w:p>
      <w:pPr>
        <w:shd w:fill="F5F2EC" w:val="clear"/>
        <w:spacing w:after="80" w:before="80" w:line="300"/>
        <w:ind w:left="360" w:right="360"/>
      </w:pPr>
      <w:r>
        <w:rPr>
          <w:rFonts w:ascii="Georgia" w:cs="Georgia" w:eastAsia="Georgia" w:hAnsi="Georgia"/>
          <w:color w:val="1A1A1A"/>
          <w:sz w:val="21"/>
          <w:szCs w:val="21"/>
        </w:rPr>
        <w:t xml:space="preserve">SÉQUENCE 6 — Engagement public (10 min) : Chaque Forgeron annonce une action précise et non négociable avant la prochaine Forge. Inscrite dans l'application. Vérifiée la semaine suivante.</w:t>
      </w:r>
    </w:p>
    <w:p>
      <w:pPr>
        <w:spacing w:after="80" w:before="160"/>
      </w:pPr>
      <w:r>
        <w:rPr>
          <w:rFonts w:ascii="Arial" w:cs="Arial" w:eastAsia="Arial" w:hAnsi="Arial"/>
          <w:b/>
          <w:bCs/>
          <w:color w:val="0B1A2A"/>
          <w:sz w:val="22"/>
          <w:szCs w:val="22"/>
        </w:rPr>
        <w:t xml:space="preserve">Section Tarif — carte principale</w:t>
      </w:r>
    </w:p>
    <w:p>
      <w:pPr>
        <w:shd w:fill="F5F2EC" w:val="clear"/>
        <w:spacing w:after="80" w:before="80" w:line="300"/>
        <w:ind w:left="360" w:right="360"/>
      </w:pPr>
      <w:r>
        <w:rPr>
          <w:rFonts w:ascii="Georgia" w:cs="Georgia" w:eastAsia="Georgia" w:hAnsi="Georgia"/>
          <w:color w:val="1A1A1A"/>
          <w:sz w:val="21"/>
          <w:szCs w:val="21"/>
        </w:rPr>
        <w:t xml:space="preserve">CARTE TARIF : 129 €/mois HT — Engagement minimum 3 mois — Sans engagement après 3 mois — Premier mois remboursé si vous arrêtez avant la 3e Forge — Inclut application, communauté privée, accès aux modules CONNECT, mentorat de votre Maître-Forgeron Fondateur</w:t>
      </w:r>
    </w:p>
    <w:p>
      <w:pPr>
        <w:pStyle w:val="Heading2"/>
        <w:spacing w:after="200" w:before="360"/>
      </w:pPr>
      <w:r>
        <w:rPr>
          <w:rFonts w:ascii="Georgia" w:cs="Georgia" w:eastAsia="Georgia" w:hAnsi="Georgia"/>
          <w:b/>
          <w:bCs/>
          <w:color w:val="0B1A2A"/>
          <w:sz w:val="30"/>
          <w:szCs w:val="30"/>
        </w:rPr>
        <w:t xml:space="preserve">Page /apex — hub de la trilogie</w:t>
      </w:r>
    </w:p>
    <w:p>
      <w:pPr>
        <w:spacing w:after="120" w:line="320"/>
        <w:jc w:val="both"/>
      </w:pPr>
      <w:r>
        <w:rPr>
          <w:rFonts w:ascii="Georgia" w:cs="Georgia" w:eastAsia="Georgia" w:hAnsi="Georgia"/>
          <w:b w:val="false"/>
          <w:bCs w:val="false"/>
          <w:i w:val="false"/>
          <w:iCs w:val="false"/>
          <w:color w:val="1A1A1A"/>
          <w:sz w:val="22"/>
          <w:szCs w:val="22"/>
        </w:rPr>
        <w:t xml:space="preserve">Page hub qui présente les 3 programmes APEX (MONT BLANC, KILIMANDJARO, HIMALAYA) avec leurs articulations et un parcours-type recommandé.</w:t>
      </w:r>
    </w:p>
    <w:p>
      <w:pPr>
        <w:spacing w:after="80" w:before="160"/>
      </w:pPr>
      <w:r>
        <w:rPr>
          <w:rFonts w:ascii="Arial" w:cs="Arial" w:eastAsia="Arial" w:hAnsi="Arial"/>
          <w:b/>
          <w:bCs/>
          <w:color w:val="0B1A2A"/>
          <w:sz w:val="22"/>
          <w:szCs w:val="22"/>
        </w:rPr>
        <w:t xml:space="preserve">Microcopies prêtes</w:t>
      </w:r>
    </w:p>
    <w:p>
      <w:pPr>
        <w:shd w:fill="F5F2EC" w:val="clear"/>
        <w:spacing w:after="80" w:before="80" w:line="300"/>
        <w:ind w:left="360" w:right="360"/>
      </w:pPr>
      <w:r>
        <w:rPr>
          <w:rFonts w:ascii="Georgia" w:cs="Georgia" w:eastAsia="Georgia" w:hAnsi="Georgia"/>
          <w:color w:val="1A1A1A"/>
          <w:sz w:val="21"/>
          <w:szCs w:val="21"/>
        </w:rPr>
        <w:t xml:space="preserve">EYEBROW : LA TRILOGIE APEX</w:t>
      </w:r>
    </w:p>
    <w:p>
      <w:pPr>
        <w:shd w:fill="F5F2EC" w:val="clear"/>
        <w:spacing w:after="80" w:before="80" w:line="300"/>
        <w:ind w:left="360" w:right="360"/>
      </w:pPr>
      <w:r>
        <w:rPr>
          <w:rFonts w:ascii="Georgia" w:cs="Georgia" w:eastAsia="Georgia" w:hAnsi="Georgia"/>
          <w:color w:val="1A1A1A"/>
          <w:sz w:val="21"/>
          <w:szCs w:val="21"/>
        </w:rPr>
        <w:t xml:space="preserve">H1 : Trois programmes. Quatorze mois si vous les enchaînez. Une transformation structurée.</w:t>
      </w:r>
    </w:p>
    <w:p>
      <w:pPr>
        <w:shd w:fill="F5F2EC" w:val="clear"/>
        <w:spacing w:after="80" w:before="80" w:line="300"/>
        <w:ind w:left="360" w:right="360"/>
      </w:pPr>
      <w:r>
        <w:rPr>
          <w:rFonts w:ascii="Georgia" w:cs="Georgia" w:eastAsia="Georgia" w:hAnsi="Georgia"/>
          <w:color w:val="1A1A1A"/>
          <w:sz w:val="21"/>
          <w:szCs w:val="21"/>
        </w:rPr>
        <w:t xml:space="preserve">LEAD : APEX est un parcours par paliers, pour les Forgerons qui veulent structurer leur progression au-delà de la Forge hebdomadaire. Trois étapes, trois sceaux, trois budgets — chacune validable indépendamment, ou enchaînable.</w:t>
      </w:r>
    </w:p>
    <w:p>
      <w:pPr>
        <w:shd w:fill="F5F2EC" w:val="clear"/>
        <w:spacing w:after="80" w:before="80" w:line="300"/>
        <w:ind w:left="360" w:right="360"/>
      </w:pPr>
      <w:r>
        <w:rPr>
          <w:rFonts w:ascii="Georgia" w:cs="Georgia" w:eastAsia="Georgia" w:hAnsi="Georgia"/>
          <w:color w:val="1A1A1A"/>
          <w:sz w:val="21"/>
          <w:szCs w:val="21"/>
        </w:rPr>
        <w:t xml:space="preserve">CARTE MONT BLANC : Les fondations en 12 semaines. 299 €. Installer les 7 pratiques jusqu'à automatisme.</w:t>
      </w:r>
    </w:p>
    <w:p>
      <w:pPr>
        <w:shd w:fill="F5F2EC" w:val="clear"/>
        <w:spacing w:after="80" w:before="80" w:line="300"/>
        <w:ind w:left="360" w:right="360"/>
      </w:pPr>
      <w:r>
        <w:rPr>
          <w:rFonts w:ascii="Georgia" w:cs="Georgia" w:eastAsia="Georgia" w:hAnsi="Georgia"/>
          <w:color w:val="1A1A1A"/>
          <w:sz w:val="21"/>
          <w:szCs w:val="21"/>
        </w:rPr>
        <w:t xml:space="preserve">CARTE KILIMANDJARO : L'accélération en 24 semaines. 549 €. Sortir des plateaux par le travail en duo.</w:t>
      </w:r>
    </w:p>
    <w:p>
      <w:pPr>
        <w:shd w:fill="F5F2EC" w:val="clear"/>
        <w:spacing w:after="80" w:before="80" w:line="300"/>
        <w:ind w:left="360" w:right="360"/>
      </w:pPr>
      <w:r>
        <w:rPr>
          <w:rFonts w:ascii="Georgia" w:cs="Georgia" w:eastAsia="Georgia" w:hAnsi="Georgia"/>
          <w:color w:val="1A1A1A"/>
          <w:sz w:val="21"/>
          <w:szCs w:val="21"/>
        </w:rPr>
        <w:t xml:space="preserve">CARTE HIMALAYA : La maîtrise en 48 semaines. 1 299 €. Structurer un projet final en transmission ou en innovation. Voie d'accès accélérée à FORGERON.</w:t>
      </w:r>
    </w:p>
    <w:p>
      <w:pPr>
        <w:spacing w:after="80" w:before="160"/>
      </w:pPr>
      <w:r>
        <w:rPr>
          <w:rFonts w:ascii="Arial" w:cs="Arial" w:eastAsia="Arial" w:hAnsi="Arial"/>
          <w:b/>
          <w:bCs/>
          <w:color w:val="0B1A2A"/>
          <w:sz w:val="22"/>
          <w:szCs w:val="22"/>
        </w:rPr>
        <w:t xml:space="preserve">Tableau comparatif</w:t>
      </w:r>
    </w:p>
    <w:p>
      <w:pPr>
        <w:shd w:fill="F5F2EC" w:val="clear"/>
        <w:spacing w:after="80" w:before="80" w:line="300"/>
        <w:ind w:left="360" w:right="360"/>
      </w:pPr>
      <w:r>
        <w:rPr>
          <w:rFonts w:ascii="Georgia" w:cs="Georgia" w:eastAsia="Georgia" w:hAnsi="Georgia"/>
          <w:color w:val="1A1A1A"/>
          <w:sz w:val="21"/>
          <w:szCs w:val="21"/>
        </w:rPr>
        <w:t xml:space="preserve">Tableau 4 colonnes (Programme · Durée · Prix · Sceau délivré) avec les 3 lignes APEX. Format Card sur mobile, Table sur desktop.</w:t>
      </w:r>
    </w:p>
    <w:p>
      <w:pPr>
        <w:pStyle w:val="Heading2"/>
        <w:spacing w:after="200" w:before="360"/>
      </w:pPr>
      <w:r>
        <w:rPr>
          <w:rFonts w:ascii="Georgia" w:cs="Georgia" w:eastAsia="Georgia" w:hAnsi="Georgia"/>
          <w:b/>
          <w:bCs/>
          <w:color w:val="0B1A2A"/>
          <w:sz w:val="30"/>
          <w:szCs w:val="30"/>
        </w:rPr>
        <w:t xml:space="preserve">Pages /team et /young — particularités B2B</w:t>
      </w:r>
    </w:p>
    <w:p>
      <w:pPr>
        <w:spacing w:after="120" w:line="320"/>
        <w:jc w:val="both"/>
      </w:pPr>
      <w:r>
        <w:rPr>
          <w:rFonts w:ascii="Georgia" w:cs="Georgia" w:eastAsia="Georgia" w:hAnsi="Georgia"/>
          <w:b w:val="false"/>
          <w:bCs w:val="false"/>
          <w:i w:val="false"/>
          <w:iCs w:val="false"/>
          <w:color w:val="1A1A1A"/>
          <w:sz w:val="22"/>
          <w:szCs w:val="22"/>
        </w:rPr>
        <w:t xml:space="preserve">Les pages TEAM et YOUNG ont une structure légèrement différente parce qu'elles vendent à des organisations, pas à des individus.</w:t>
      </w:r>
    </w:p>
    <w:p>
      <w:pPr>
        <w:spacing w:after="80" w:before="160"/>
      </w:pPr>
      <w:r>
        <w:rPr>
          <w:rFonts w:ascii="Arial" w:cs="Arial" w:eastAsia="Arial" w:hAnsi="Arial"/>
          <w:b/>
          <w:bCs/>
          <w:color w:val="0B1A2A"/>
          <w:sz w:val="22"/>
          <w:szCs w:val="22"/>
        </w:rPr>
        <w:t xml:space="preserve">Adaptations spécifiques</w:t>
      </w:r>
    </w:p>
    <w:p>
      <w:pPr>
        <w:pStyle w:val="ListParagraph"/>
        <w:numPr>
          <w:ilvl w:val="0"/>
          <w:numId w:val="2"/>
        </w:numPr>
        <w:spacing w:after="80" w:line="300"/>
      </w:pPr>
      <w:r>
        <w:rPr>
          <w:rFonts w:ascii="Georgia" w:cs="Georgia" w:eastAsia="Georgia" w:hAnsi="Georgia"/>
          <w:color w:val="1A1A1A"/>
          <w:sz w:val="22"/>
          <w:szCs w:val="22"/>
        </w:rPr>
        <w:t xml:space="preserve">CTA principal : « Demander une démonstration » au lieu de « Postuler ». Renvoie vers un formulaire de qualification (cf. Document 2).</w:t>
      </w:r>
    </w:p>
    <w:p>
      <w:pPr>
        <w:pStyle w:val="ListParagraph"/>
        <w:numPr>
          <w:ilvl w:val="0"/>
          <w:numId w:val="2"/>
        </w:numPr>
        <w:spacing w:after="80" w:line="300"/>
      </w:pPr>
      <w:r>
        <w:rPr>
          <w:rFonts w:ascii="Georgia" w:cs="Georgia" w:eastAsia="Georgia" w:hAnsi="Georgia"/>
          <w:color w:val="1A1A1A"/>
          <w:sz w:val="22"/>
          <w:szCs w:val="22"/>
        </w:rPr>
        <w:t xml:space="preserve">Section Tarif : tableau d'exemples de budget selon taille d'équipe (TEAM) ou type de structure (YOUNG).</w:t>
      </w:r>
    </w:p>
    <w:p>
      <w:pPr>
        <w:pStyle w:val="ListParagraph"/>
        <w:numPr>
          <w:ilvl w:val="0"/>
          <w:numId w:val="2"/>
        </w:numPr>
        <w:spacing w:after="80" w:line="300"/>
      </w:pPr>
      <w:r>
        <w:rPr>
          <w:rFonts w:ascii="Georgia" w:cs="Georgia" w:eastAsia="Georgia" w:hAnsi="Georgia"/>
          <w:color w:val="1A1A1A"/>
          <w:sz w:val="22"/>
          <w:szCs w:val="22"/>
        </w:rPr>
        <w:t xml:space="preserve">Section Pour qui : 4 profils-types d'organisations (PME, réseau franchises, ETI, cabinet de conseil pour TEAM ; mission locale, CFA, lycée pro, club sportif, collectivité pour YOUNG).</w:t>
      </w:r>
    </w:p>
    <w:p>
      <w:pPr>
        <w:pStyle w:val="ListParagraph"/>
        <w:numPr>
          <w:ilvl w:val="0"/>
          <w:numId w:val="2"/>
        </w:numPr>
        <w:spacing w:after="80" w:line="300"/>
      </w:pPr>
      <w:r>
        <w:rPr>
          <w:rFonts w:ascii="Georgia" w:cs="Georgia" w:eastAsia="Georgia" w:hAnsi="Georgia"/>
          <w:color w:val="1A1A1A"/>
          <w:sz w:val="22"/>
          <w:szCs w:val="22"/>
        </w:rPr>
        <w:t xml:space="preserve">Microproof : logo des structures clientes (à mesure que le portefeuille se constitue) en zone de confiance.</w:t>
      </w:r>
    </w:p>
    <w:p>
      <w:pPr>
        <w:pStyle w:val="ListParagraph"/>
        <w:numPr>
          <w:ilvl w:val="0"/>
          <w:numId w:val="2"/>
        </w:numPr>
        <w:spacing w:after="80" w:line="300"/>
      </w:pPr>
      <w:r>
        <w:rPr>
          <w:rFonts w:ascii="Georgia" w:cs="Georgia" w:eastAsia="Georgia" w:hAnsi="Georgia"/>
          <w:color w:val="1A1A1A"/>
          <w:sz w:val="22"/>
          <w:szCs w:val="22"/>
        </w:rPr>
        <w:t xml:space="preserve">FAQ étendue : plus de questions techniques (RGPD, modalités de financement, conformité Qualiopi).</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Pages institutionnelles</w:t>
      </w:r>
    </w:p>
    <w:p>
      <w:pPr>
        <w:spacing w:after="200" w:before="80"/>
      </w:pPr>
      <w:r>
        <w:rPr>
          <w:rFonts w:ascii="Arial" w:cs="Arial" w:eastAsia="Arial" w:hAnsi="Arial"/>
          <w:i/>
          <w:iCs/>
          <w:color w:val="6B6F76"/>
          <w:sz w:val="18"/>
          <w:szCs w:val="18"/>
        </w:rPr>
        <w:t xml:space="preserve">Manifeste, méthode, à propos, pourquoi, journal, ressources, partenaires, contact, FAQ. Ces pages bâtissent l'autorité APEXER au-delà du commercial. Elles sont essentielles pour le SEO et le partage social.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Page /manifeste — le texte fondateur</w:t>
      </w:r>
    </w:p>
    <w:p>
      <w:pPr>
        <w:spacing w:after="120" w:line="320"/>
        <w:jc w:val="both"/>
      </w:pPr>
      <w:r>
        <w:rPr>
          <w:rFonts w:ascii="Georgia" w:cs="Georgia" w:eastAsia="Georgia" w:hAnsi="Georgia"/>
          <w:b w:val="false"/>
          <w:bCs w:val="false"/>
          <w:i w:val="false"/>
          <w:iCs w:val="false"/>
          <w:color w:val="1A1A1A"/>
          <w:sz w:val="22"/>
          <w:szCs w:val="22"/>
        </w:rPr>
        <w:t xml:space="preserve">Page longue (3 000-5 000 mots), tonalité éditoriale forte. Contenu déjà rédigé dans le Document Fondateur Vague 1. Format = article long avec table des matières latérale.</w:t>
      </w:r>
    </w:p>
    <w:p>
      <w:pPr>
        <w:spacing w:after="80" w:before="160"/>
      </w:pPr>
      <w:r>
        <w:rPr>
          <w:rFonts w:ascii="Arial" w:cs="Arial" w:eastAsia="Arial" w:hAnsi="Arial"/>
          <w:b/>
          <w:bCs/>
          <w:color w:val="0B1A2A"/>
          <w:sz w:val="22"/>
          <w:szCs w:val="22"/>
        </w:rPr>
        <w:t xml:space="preserve">Structure de la page</w:t>
      </w:r>
    </w:p>
    <w:p>
      <w:pPr>
        <w:shd w:fill="F6F6F2" w:val="clear"/>
        <w:spacing w:after="160" w:before="100" w:line="280"/>
        <w:ind w:left="240" w:right="240"/>
      </w:pPr>
      <w:r>
        <w:rPr>
          <w:rFonts w:ascii="Courier New" w:cs="Courier New" w:eastAsia="Courier New" w:hAnsi="Courier New"/>
          <w:color w:val="1A1A1A"/>
          <w:sz w:val="18"/>
          <w:szCs w:val="18"/>
        </w:rPr>
        <w:t xml:space="preserve">/manifeste
├── Hero (titre + tagline + image P02)
├── Préambule (1 paragraphe d'introduction)
├── Le constat (2-3 paragraphes)
├── L'enquête fondatrice (3-4 paragraphes)
├── La double rupture (4-5 paragraphes)
│   ├── Rupture 1 : avec le développement personnel
│   └── Rupture 2 : avec les clubs business classiques
├── Les 7 pratiques convergentes (passe en survol, lien vers /methode)
├── Le format Forge (passe en survol, lien vers /forge)
├── Le réseau de Maîtres-Forgerons (passe en survol)
├── Notre engagement (3-4 paragraphes)
└── CTA final (devenir Forgeron OU devenir MFF)</w:t>
      </w:r>
    </w:p>
    <w:p>
      <w:pPr>
        <w:spacing w:after="80" w:before="160"/>
      </w:pPr>
      <w:r>
        <w:rPr>
          <w:rFonts w:ascii="Arial" w:cs="Arial" w:eastAsia="Arial" w:hAnsi="Arial"/>
          <w:b/>
          <w:bCs/>
          <w:color w:val="0B1A2A"/>
          <w:sz w:val="22"/>
          <w:szCs w:val="22"/>
        </w:rPr>
        <w:t xml:space="preserve">Microcopies clés</w:t>
      </w:r>
    </w:p>
    <w:p>
      <w:pPr>
        <w:shd w:fill="F5F2EC" w:val="clear"/>
        <w:spacing w:after="80" w:before="80" w:line="300"/>
        <w:ind w:left="360" w:right="360"/>
      </w:pPr>
      <w:r>
        <w:rPr>
          <w:rFonts w:ascii="Georgia" w:cs="Georgia" w:eastAsia="Georgia" w:hAnsi="Georgia"/>
          <w:color w:val="1A1A1A"/>
          <w:sz w:val="21"/>
          <w:szCs w:val="21"/>
        </w:rPr>
        <w:t xml:space="preserve">EYEBROW : LE MANIFESTE APEXER</w:t>
      </w:r>
    </w:p>
    <w:p>
      <w:pPr>
        <w:shd w:fill="F5F2EC" w:val="clear"/>
        <w:spacing w:after="80" w:before="80" w:line="300"/>
        <w:ind w:left="360" w:right="360"/>
      </w:pPr>
      <w:r>
        <w:rPr>
          <w:rFonts w:ascii="Georgia" w:cs="Georgia" w:eastAsia="Georgia" w:hAnsi="Georgia"/>
          <w:color w:val="1A1A1A"/>
          <w:sz w:val="21"/>
          <w:szCs w:val="21"/>
        </w:rPr>
        <w:t xml:space="preserve">H1 : Pourquoi nous existons.</w:t>
      </w:r>
    </w:p>
    <w:p>
      <w:pPr>
        <w:shd w:fill="F5F2EC" w:val="clear"/>
        <w:spacing w:after="80" w:before="80" w:line="300"/>
        <w:ind w:left="360" w:right="360"/>
      </w:pPr>
      <w:r>
        <w:rPr>
          <w:rFonts w:ascii="Georgia" w:cs="Georgia" w:eastAsia="Georgia" w:hAnsi="Georgia"/>
          <w:color w:val="1A1A1A"/>
          <w:sz w:val="21"/>
          <w:szCs w:val="21"/>
        </w:rPr>
        <w:t xml:space="preserve">INTRO : Ce texte n'est pas une page commerciale. C'est l'exposé des raisons qui ont mené à la création d'APEXER, des choix qui ont été faits, et des ruptures qui en font ce qu'il est. Le lire prend dix minutes. Il est utile à toute personne qui envisage de rejoindre APEXER en tant que Forgeron, Maître-Forgeron, ou simplement curieux.</w:t>
      </w:r>
    </w:p>
    <w:p>
      <w:pPr>
        <w:shd w:fill="F5F2EC" w:val="clear"/>
        <w:spacing w:after="80" w:before="80" w:line="300"/>
        <w:ind w:left="360" w:right="360"/>
      </w:pPr>
      <w:r>
        <w:rPr>
          <w:rFonts w:ascii="Georgia" w:cs="Georgia" w:eastAsia="Georgia" w:hAnsi="Georgia"/>
          <w:color w:val="1A1A1A"/>
          <w:sz w:val="21"/>
          <w:szCs w:val="21"/>
        </w:rPr>
        <w:t xml:space="preserve">CITATION FORTE (à mi-page) : « Nous ne vendons pas de la motivation. Nous vendons un cadre. »</w:t>
      </w:r>
    </w:p>
    <w:p>
      <w:pPr>
        <w:pStyle w:val="Heading2"/>
        <w:spacing w:after="200" w:before="360"/>
      </w:pPr>
      <w:r>
        <w:rPr>
          <w:rFonts w:ascii="Georgia" w:cs="Georgia" w:eastAsia="Georgia" w:hAnsi="Georgia"/>
          <w:b/>
          <w:bCs/>
          <w:color w:val="0B1A2A"/>
          <w:sz w:val="30"/>
          <w:szCs w:val="30"/>
        </w:rPr>
        <w:t xml:space="preserve">Page /methode — les 7 pratiques en détail</w:t>
      </w:r>
    </w:p>
    <w:p>
      <w:pPr>
        <w:spacing w:after="120" w:line="320"/>
        <w:jc w:val="both"/>
      </w:pPr>
      <w:r>
        <w:rPr>
          <w:rFonts w:ascii="Georgia" w:cs="Georgia" w:eastAsia="Georgia" w:hAnsi="Georgia"/>
          <w:b w:val="false"/>
          <w:bCs w:val="false"/>
          <w:i w:val="false"/>
          <w:iCs w:val="false"/>
          <w:color w:val="1A1A1A"/>
          <w:sz w:val="22"/>
          <w:szCs w:val="22"/>
        </w:rPr>
        <w:t xml:space="preserve">Page longue dédiée aux 7 pratiques convergentes, avec narration des entretiens-source et exemples concrets.</w:t>
      </w:r>
    </w:p>
    <w:p>
      <w:pPr>
        <w:spacing w:after="80" w:before="160"/>
      </w:pPr>
      <w:r>
        <w:rPr>
          <w:rFonts w:ascii="Arial" w:cs="Arial" w:eastAsia="Arial" w:hAnsi="Arial"/>
          <w:b/>
          <w:bCs/>
          <w:color w:val="0B1A2A"/>
          <w:sz w:val="22"/>
          <w:szCs w:val="22"/>
        </w:rPr>
        <w:t xml:space="preserve">Structure</w:t>
      </w:r>
    </w:p>
    <w:p>
      <w:pPr>
        <w:pStyle w:val="ListParagraph"/>
        <w:numPr>
          <w:ilvl w:val="0"/>
          <w:numId w:val="2"/>
        </w:numPr>
        <w:spacing w:after="80" w:line="300"/>
      </w:pPr>
      <w:r>
        <w:rPr>
          <w:rFonts w:ascii="Georgia" w:cs="Georgia" w:eastAsia="Georgia" w:hAnsi="Georgia"/>
          <w:color w:val="1A1A1A"/>
          <w:sz w:val="22"/>
          <w:szCs w:val="22"/>
        </w:rPr>
        <w:t xml:space="preserve">Hero court avec image P14 (still-life des 7 pratiques).</w:t>
      </w:r>
    </w:p>
    <w:p>
      <w:pPr>
        <w:pStyle w:val="ListParagraph"/>
        <w:numPr>
          <w:ilvl w:val="0"/>
          <w:numId w:val="2"/>
        </w:numPr>
        <w:spacing w:after="80" w:line="300"/>
      </w:pPr>
      <w:r>
        <w:rPr>
          <w:rFonts w:ascii="Georgia" w:cs="Georgia" w:eastAsia="Georgia" w:hAnsi="Georgia"/>
          <w:color w:val="1A1A1A"/>
          <w:sz w:val="22"/>
          <w:szCs w:val="22"/>
        </w:rPr>
        <w:t xml:space="preserve">Préambule sur l'enquête (référence aux 16 profils).</w:t>
      </w:r>
    </w:p>
    <w:p>
      <w:pPr>
        <w:pStyle w:val="ListParagraph"/>
        <w:numPr>
          <w:ilvl w:val="0"/>
          <w:numId w:val="2"/>
        </w:numPr>
        <w:spacing w:after="80" w:line="300"/>
      </w:pPr>
      <w:r>
        <w:rPr>
          <w:rFonts w:ascii="Georgia" w:cs="Georgia" w:eastAsia="Georgia" w:hAnsi="Georgia"/>
          <w:color w:val="1A1A1A"/>
          <w:sz w:val="22"/>
          <w:szCs w:val="22"/>
        </w:rPr>
        <w:t xml:space="preserve">7 sections, une par pratique. Chaque section : titre + paragraphe d'introduction + sous-sections (origine, mécanique, pièges classiques, comment APEXER l'installe). 600-1000 mots par pratique.</w:t>
      </w:r>
    </w:p>
    <w:p>
      <w:pPr>
        <w:pStyle w:val="ListParagraph"/>
        <w:numPr>
          <w:ilvl w:val="0"/>
          <w:numId w:val="2"/>
        </w:numPr>
        <w:spacing w:after="80" w:line="300"/>
      </w:pPr>
      <w:r>
        <w:rPr>
          <w:rFonts w:ascii="Georgia" w:cs="Georgia" w:eastAsia="Georgia" w:hAnsi="Georgia"/>
          <w:color w:val="1A1A1A"/>
          <w:sz w:val="22"/>
          <w:szCs w:val="22"/>
        </w:rPr>
        <w:t xml:space="preserve">Conclusion qui articule les 7 pratiques entre elles.</w:t>
      </w:r>
    </w:p>
    <w:p>
      <w:pPr>
        <w:pStyle w:val="ListParagraph"/>
        <w:numPr>
          <w:ilvl w:val="0"/>
          <w:numId w:val="2"/>
        </w:numPr>
        <w:spacing w:after="80" w:line="300"/>
      </w:pPr>
      <w:r>
        <w:rPr>
          <w:rFonts w:ascii="Georgia" w:cs="Georgia" w:eastAsia="Georgia" w:hAnsi="Georgia"/>
          <w:color w:val="1A1A1A"/>
          <w:sz w:val="22"/>
          <w:szCs w:val="22"/>
        </w:rPr>
        <w:t xml:space="preserve">CTA vers /forge ou /apex selon le profil cible.</w:t>
      </w:r>
    </w:p>
    <w:p>
      <w:pPr>
        <w:pStyle w:val="Heading2"/>
        <w:spacing w:after="200" w:before="360"/>
      </w:pPr>
      <w:r>
        <w:rPr>
          <w:rFonts w:ascii="Georgia" w:cs="Georgia" w:eastAsia="Georgia" w:hAnsi="Georgia"/>
          <w:b/>
          <w:bCs/>
          <w:color w:val="0B1A2A"/>
          <w:sz w:val="30"/>
          <w:szCs w:val="30"/>
        </w:rPr>
        <w:t xml:space="preserve">Page /a-propos — HP et l'équipe</w:t>
      </w:r>
    </w:p>
    <w:p>
      <w:pPr>
        <w:spacing w:after="80" w:before="160"/>
      </w:pPr>
      <w:r>
        <w:rPr>
          <w:rFonts w:ascii="Arial" w:cs="Arial" w:eastAsia="Arial" w:hAnsi="Arial"/>
          <w:b/>
          <w:bCs/>
          <w:color w:val="0B1A2A"/>
          <w:sz w:val="22"/>
          <w:szCs w:val="22"/>
        </w:rPr>
        <w:t xml:space="preserve">Microcopies prêtes</w:t>
      </w:r>
    </w:p>
    <w:p>
      <w:pPr>
        <w:shd w:fill="F5F2EC" w:val="clear"/>
        <w:spacing w:after="80" w:before="80" w:line="300"/>
        <w:ind w:left="360" w:right="360"/>
      </w:pPr>
      <w:r>
        <w:rPr>
          <w:rFonts w:ascii="Georgia" w:cs="Georgia" w:eastAsia="Georgia" w:hAnsi="Georgia"/>
          <w:color w:val="1A1A1A"/>
          <w:sz w:val="21"/>
          <w:szCs w:val="21"/>
        </w:rPr>
        <w:t xml:space="preserve">EYEBROW : À PROPOS</w:t>
      </w:r>
    </w:p>
    <w:p>
      <w:pPr>
        <w:shd w:fill="F5F2EC" w:val="clear"/>
        <w:spacing w:after="80" w:before="80" w:line="300"/>
        <w:ind w:left="360" w:right="360"/>
      </w:pPr>
      <w:r>
        <w:rPr>
          <w:rFonts w:ascii="Georgia" w:cs="Georgia" w:eastAsia="Georgia" w:hAnsi="Georgia"/>
          <w:color w:val="1A1A1A"/>
          <w:sz w:val="21"/>
          <w:szCs w:val="21"/>
        </w:rPr>
        <w:t xml:space="preserve">H1 : APEXER est porté par des opérateurs, pas par des marketeurs.</w:t>
      </w:r>
    </w:p>
    <w:p>
      <w:pPr>
        <w:shd w:fill="F5F2EC" w:val="clear"/>
        <w:spacing w:after="80" w:before="80" w:line="300"/>
        <w:ind w:left="360" w:right="360"/>
      </w:pPr>
      <w:r>
        <w:rPr>
          <w:rFonts w:ascii="Georgia" w:cs="Georgia" w:eastAsia="Georgia" w:hAnsi="Georgia"/>
          <w:color w:val="1A1A1A"/>
          <w:sz w:val="21"/>
          <w:szCs w:val="21"/>
        </w:rPr>
        <w:t xml:space="preserve">LEAD : APEXER est un programme opéré par KAHP SAS, fondée par Henri-Pierre Ouhibi. Auteur, entrepreneur, architecte de plusieurs entités du secteur (Algovia, DILLAN, KAHP). Vingt-cinq ans d'expérience opérationnelle au contact des commerciaux et des dirigeants.</w:t>
      </w:r>
    </w:p>
    <w:p>
      <w:pPr>
        <w:shd w:fill="F5F2EC" w:val="clear"/>
        <w:spacing w:after="80" w:before="80" w:line="300"/>
        <w:ind w:left="360" w:right="360"/>
      </w:pPr>
      <w:r>
        <w:rPr>
          <w:rFonts w:ascii="Georgia" w:cs="Georgia" w:eastAsia="Georgia" w:hAnsi="Georgia"/>
          <w:color w:val="1A1A1A"/>
          <w:sz w:val="21"/>
          <w:szCs w:val="21"/>
        </w:rPr>
        <w:t xml:space="preserve">SECTION HP : Portrait + 3-4 paragraphes biographiques. Référence à "VIAGER — 50 QUESTIONS ESSENTIELLES". Trajectoire du métier.</w:t>
      </w:r>
    </w:p>
    <w:p>
      <w:pPr>
        <w:shd w:fill="F5F2EC" w:val="clear"/>
        <w:spacing w:after="80" w:before="80" w:line="300"/>
        <w:ind w:left="360" w:right="360"/>
      </w:pPr>
      <w:r>
        <w:rPr>
          <w:rFonts w:ascii="Georgia" w:cs="Georgia" w:eastAsia="Georgia" w:hAnsi="Georgia"/>
          <w:color w:val="1A1A1A"/>
          <w:sz w:val="21"/>
          <w:szCs w:val="21"/>
        </w:rPr>
        <w:t xml:space="preserve">SECTION ÉQUIPE CENTRALE : 3-5 personnes (à compléter quand l'équipe sera constituée). Format carte avec photo professionnelle, nom, fonction, 2 lignes de bio.</w:t>
      </w:r>
    </w:p>
    <w:p>
      <w:pPr>
        <w:shd w:fill="F5F2EC" w:val="clear"/>
        <w:spacing w:after="80" w:before="80" w:line="300"/>
        <w:ind w:left="360" w:right="360"/>
      </w:pPr>
      <w:r>
        <w:rPr>
          <w:rFonts w:ascii="Georgia" w:cs="Georgia" w:eastAsia="Georgia" w:hAnsi="Georgia"/>
          <w:color w:val="1A1A1A"/>
          <w:sz w:val="21"/>
          <w:szCs w:val="21"/>
        </w:rPr>
        <w:t xml:space="preserve">SECTION CERCLE DES PIONNIERS : Présentation des 30 Pionniers (à mesure qu'ils sont recrutés). Format grille avec photo, nom, ville, métier d'origine. Liens vers leurs profils LinkedIn s'ils l'autorisent.</w:t>
      </w:r>
    </w:p>
    <w:p>
      <w:pPr>
        <w:shd w:fill="F5F2EC" w:val="clear"/>
        <w:spacing w:after="80" w:before="80" w:line="300"/>
        <w:ind w:left="360" w:right="360"/>
      </w:pPr>
      <w:r>
        <w:rPr>
          <w:rFonts w:ascii="Georgia" w:cs="Georgia" w:eastAsia="Georgia" w:hAnsi="Georgia"/>
          <w:color w:val="1A1A1A"/>
          <w:sz w:val="21"/>
          <w:szCs w:val="21"/>
        </w:rPr>
        <w:t xml:space="preserve">SECTION KAHP SAS : 1-2 paragraphes sur la société porteuse, ses autres entités (sans entrer dans le détail), son ancrage.</w:t>
      </w:r>
    </w:p>
    <w:p>
      <w:pPr>
        <w:pStyle w:val="Heading2"/>
        <w:spacing w:after="200" w:before="360"/>
      </w:pPr>
      <w:r>
        <w:rPr>
          <w:rFonts w:ascii="Georgia" w:cs="Georgia" w:eastAsia="Georgia" w:hAnsi="Georgia"/>
          <w:b/>
          <w:bCs/>
          <w:color w:val="0B1A2A"/>
          <w:sz w:val="30"/>
          <w:szCs w:val="30"/>
        </w:rPr>
        <w:t xml:space="preserve">Page /pourquoi — la conversion par le sens</w:t>
      </w:r>
    </w:p>
    <w:p>
      <w:pPr>
        <w:spacing w:after="120" w:line="320"/>
        <w:jc w:val="both"/>
      </w:pPr>
      <w:r>
        <w:rPr>
          <w:rFonts w:ascii="Georgia" w:cs="Georgia" w:eastAsia="Georgia" w:hAnsi="Georgia"/>
          <w:b w:val="false"/>
          <w:bCs w:val="false"/>
          <w:i w:val="false"/>
          <w:iCs w:val="false"/>
          <w:color w:val="1A1A1A"/>
          <w:sz w:val="22"/>
          <w:szCs w:val="22"/>
        </w:rPr>
        <w:t xml:space="preserve">Cette page est plus émotionnelle et personnelle que les autres. Elle s'adresse à quelqu'un qui hésite : pourquoi rejoindre APEXER plutôt qu'une autre formation, ou rien. Le contenu est traité en détail dans le Document 2 de cette paire (Tunnel commercial), parce que cette page est partie intégrante du tunnel de conversion.</w:t>
      </w:r>
    </w:p>
    <w:p>
      <w:pPr>
        <w:spacing w:after="80" w:before="160"/>
      </w:pPr>
      <w:r>
        <w:rPr>
          <w:rFonts w:ascii="Arial" w:cs="Arial" w:eastAsia="Arial" w:hAnsi="Arial"/>
          <w:b/>
          <w:bCs/>
          <w:color w:val="0B1A2A"/>
          <w:sz w:val="22"/>
          <w:szCs w:val="22"/>
        </w:rPr>
        <w:t xml:space="preserve">Renvoi vers Document 2</w:t>
      </w:r>
    </w:p>
    <w:p>
      <w:pPr>
        <w:pStyle w:val="ListParagraph"/>
        <w:numPr>
          <w:ilvl w:val="0"/>
          <w:numId w:val="2"/>
        </w:numPr>
        <w:spacing w:after="80" w:line="300"/>
      </w:pPr>
      <w:r>
        <w:rPr>
          <w:rFonts w:ascii="Georgia" w:cs="Georgia" w:eastAsia="Georgia" w:hAnsi="Georgia"/>
          <w:color w:val="1A1A1A"/>
          <w:sz w:val="22"/>
          <w:szCs w:val="22"/>
        </w:rPr>
        <w:t xml:space="preserve">La page /pourquoi est documentée intégralement dans le Document 2 — Tunnel commercial, Partie 4 « Pourquoi changer votre vie et celle des autres ».</w:t>
      </w:r>
    </w:p>
    <w:p>
      <w:pPr>
        <w:pStyle w:val="ListParagraph"/>
        <w:numPr>
          <w:ilvl w:val="0"/>
          <w:numId w:val="2"/>
        </w:numPr>
        <w:spacing w:after="80" w:line="300"/>
      </w:pPr>
      <w:r>
        <w:rPr>
          <w:rFonts w:ascii="Georgia" w:cs="Georgia" w:eastAsia="Georgia" w:hAnsi="Georgia"/>
          <w:color w:val="1A1A1A"/>
          <w:sz w:val="22"/>
          <w:szCs w:val="22"/>
        </w:rPr>
        <w:t xml:space="preserve">Elle utilise 3 angles narratifs : Pourquoi votre vie va changer · Pourquoi celle des autres va changer · Pourquoi maintenant.</w:t>
      </w:r>
    </w:p>
    <w:p>
      <w:pPr>
        <w:pStyle w:val="Heading2"/>
        <w:spacing w:after="200" w:before="360"/>
      </w:pPr>
      <w:r>
        <w:rPr>
          <w:rFonts w:ascii="Georgia" w:cs="Georgia" w:eastAsia="Georgia" w:hAnsi="Georgia"/>
          <w:b/>
          <w:bCs/>
          <w:color w:val="0B1A2A"/>
          <w:sz w:val="30"/>
          <w:szCs w:val="30"/>
        </w:rPr>
        <w:t xml:space="preserve">Page /journal — le contenu éditorial</w:t>
      </w:r>
    </w:p>
    <w:p>
      <w:pPr>
        <w:spacing w:after="80" w:before="160"/>
      </w:pPr>
      <w:r>
        <w:rPr>
          <w:rFonts w:ascii="Arial" w:cs="Arial" w:eastAsia="Arial" w:hAnsi="Arial"/>
          <w:b/>
          <w:bCs/>
          <w:color w:val="0B1A2A"/>
          <w:sz w:val="22"/>
          <w:szCs w:val="22"/>
        </w:rPr>
        <w:t xml:space="preserve">Architecture</w:t>
      </w:r>
    </w:p>
    <w:p>
      <w:pPr>
        <w:pStyle w:val="ListParagraph"/>
        <w:numPr>
          <w:ilvl w:val="0"/>
          <w:numId w:val="2"/>
        </w:numPr>
        <w:spacing w:after="80" w:line="300"/>
      </w:pPr>
      <w:r>
        <w:rPr>
          <w:rFonts w:ascii="Georgia" w:cs="Georgia" w:eastAsia="Georgia" w:hAnsi="Georgia"/>
          <w:color w:val="1A1A1A"/>
          <w:sz w:val="22"/>
          <w:szCs w:val="22"/>
        </w:rPr>
        <w:t xml:space="preserve">Index : grille d'articles avec image (P01-P15), titre, eyebrow catégorie, date, auteur, durée de lecture estimée.</w:t>
      </w:r>
    </w:p>
    <w:p>
      <w:pPr>
        <w:pStyle w:val="ListParagraph"/>
        <w:numPr>
          <w:ilvl w:val="0"/>
          <w:numId w:val="2"/>
        </w:numPr>
        <w:spacing w:after="80" w:line="300"/>
      </w:pPr>
      <w:r>
        <w:rPr>
          <w:rFonts w:ascii="Georgia" w:cs="Georgia" w:eastAsia="Georgia" w:hAnsi="Georgia"/>
          <w:color w:val="1A1A1A"/>
          <w:sz w:val="22"/>
          <w:szCs w:val="22"/>
        </w:rPr>
        <w:t xml:space="preserve">Catégories : Méthode (analyse approfondie d'une pratique), Terrain (témoignage d'un Maître-Forgeron ou Forgeron), Recherche (publication d'une étude APEXER), Position (prise de position éditoriale).</w:t>
      </w:r>
    </w:p>
    <w:p>
      <w:pPr>
        <w:pStyle w:val="ListParagraph"/>
        <w:numPr>
          <w:ilvl w:val="0"/>
          <w:numId w:val="2"/>
        </w:numPr>
        <w:spacing w:after="80" w:line="300"/>
      </w:pPr>
      <w:r>
        <w:rPr>
          <w:rFonts w:ascii="Georgia" w:cs="Georgia" w:eastAsia="Georgia" w:hAnsi="Georgia"/>
          <w:color w:val="1A1A1A"/>
          <w:sz w:val="22"/>
          <w:szCs w:val="22"/>
        </w:rPr>
        <w:t xml:space="preserve">Page article ([slug]) : header avec image full-width, titre, eyebrow, métadonnées, body en Inter 18px ligne 1.7, encarts avec citations sérif italic, partage social en sticky latéral, bibliographie en bas, articles liés.</w:t>
      </w:r>
    </w:p>
    <w:p>
      <w:pPr>
        <w:pStyle w:val="ListParagraph"/>
        <w:numPr>
          <w:ilvl w:val="0"/>
          <w:numId w:val="2"/>
        </w:numPr>
        <w:spacing w:after="80" w:line="300"/>
      </w:pPr>
      <w:r>
        <w:rPr>
          <w:rFonts w:ascii="Georgia" w:cs="Georgia" w:eastAsia="Georgia" w:hAnsi="Georgia"/>
          <w:color w:val="1A1A1A"/>
          <w:sz w:val="22"/>
          <w:szCs w:val="22"/>
        </w:rPr>
        <w:t xml:space="preserve">RSS/Atom : flux disponible sur /journal/feed.xml pour les lecteurs habituels.</w:t>
      </w:r>
    </w:p>
    <w:p>
      <w:pPr>
        <w:pStyle w:val="ListParagraph"/>
        <w:numPr>
          <w:ilvl w:val="0"/>
          <w:numId w:val="2"/>
        </w:numPr>
        <w:spacing w:after="80" w:line="300"/>
      </w:pPr>
      <w:r>
        <w:rPr>
          <w:rFonts w:ascii="Georgia" w:cs="Georgia" w:eastAsia="Georgia" w:hAnsi="Georgia"/>
          <w:color w:val="1A1A1A"/>
          <w:sz w:val="22"/>
          <w:szCs w:val="22"/>
        </w:rPr>
        <w:t xml:space="preserve">Newsletter : formulaire de souscription (Resend) en pied d'article et en sidebar de l'index.</w:t>
      </w:r>
    </w:p>
    <w:p>
      <w:pPr>
        <w:spacing w:after="80" w:before="160"/>
      </w:pPr>
      <w:r>
        <w:rPr>
          <w:rFonts w:ascii="Arial" w:cs="Arial" w:eastAsia="Arial" w:hAnsi="Arial"/>
          <w:b/>
          <w:bCs/>
          <w:color w:val="0B1A2A"/>
          <w:sz w:val="22"/>
          <w:szCs w:val="22"/>
        </w:rPr>
        <w:t xml:space="preserve">Cadence éditoriale recommandée</w:t>
      </w:r>
    </w:p>
    <w:p>
      <w:pPr>
        <w:pStyle w:val="ListParagraph"/>
        <w:numPr>
          <w:ilvl w:val="0"/>
          <w:numId w:val="2"/>
        </w:numPr>
        <w:spacing w:after="80" w:line="300"/>
      </w:pPr>
      <w:r>
        <w:rPr>
          <w:rFonts w:ascii="Georgia" w:cs="Georgia" w:eastAsia="Georgia" w:hAnsi="Georgia"/>
          <w:color w:val="1A1A1A"/>
          <w:sz w:val="22"/>
          <w:szCs w:val="22"/>
        </w:rPr>
        <w:t xml:space="preserve">1 article long (1500-3000 mots) tous les 15 jours.</w:t>
      </w:r>
    </w:p>
    <w:p>
      <w:pPr>
        <w:pStyle w:val="ListParagraph"/>
        <w:numPr>
          <w:ilvl w:val="0"/>
          <w:numId w:val="2"/>
        </w:numPr>
        <w:spacing w:after="80" w:line="300"/>
      </w:pPr>
      <w:r>
        <w:rPr>
          <w:rFonts w:ascii="Georgia" w:cs="Georgia" w:eastAsia="Georgia" w:hAnsi="Georgia"/>
          <w:color w:val="1A1A1A"/>
          <w:sz w:val="22"/>
          <w:szCs w:val="22"/>
        </w:rPr>
        <w:t xml:space="preserve">1 article court (500-1000 mots) toutes les semaines en alternance.</w:t>
      </w:r>
    </w:p>
    <w:p>
      <w:pPr>
        <w:pStyle w:val="ListParagraph"/>
        <w:numPr>
          <w:ilvl w:val="0"/>
          <w:numId w:val="2"/>
        </w:numPr>
        <w:spacing w:after="80" w:line="300"/>
      </w:pPr>
      <w:r>
        <w:rPr>
          <w:rFonts w:ascii="Georgia" w:cs="Georgia" w:eastAsia="Georgia" w:hAnsi="Georgia"/>
          <w:color w:val="1A1A1A"/>
          <w:sz w:val="22"/>
          <w:szCs w:val="22"/>
        </w:rPr>
        <w:t xml:space="preserve">Calendrier éditorial sur 6 mois pour anticipation, à valider trimestriellement avec HP.</w:t>
      </w:r>
    </w:p>
    <w:p>
      <w:pPr>
        <w:pStyle w:val="Heading2"/>
        <w:spacing w:after="200" w:before="360"/>
      </w:pPr>
      <w:r>
        <w:rPr>
          <w:rFonts w:ascii="Georgia" w:cs="Georgia" w:eastAsia="Georgia" w:hAnsi="Georgia"/>
          <w:b/>
          <w:bCs/>
          <w:color w:val="0B1A2A"/>
          <w:sz w:val="30"/>
          <w:szCs w:val="30"/>
        </w:rPr>
        <w:t xml:space="preserve">Page /ressources — études et enquêtes</w:t>
      </w:r>
    </w:p>
    <w:p>
      <w:pPr>
        <w:spacing w:after="120" w:line="320"/>
        <w:jc w:val="both"/>
      </w:pPr>
      <w:r>
        <w:rPr>
          <w:rFonts w:ascii="Georgia" w:cs="Georgia" w:eastAsia="Georgia" w:hAnsi="Georgia"/>
          <w:b w:val="false"/>
          <w:bCs w:val="false"/>
          <w:i w:val="false"/>
          <w:iCs w:val="false"/>
          <w:color w:val="1A1A1A"/>
          <w:sz w:val="22"/>
          <w:szCs w:val="22"/>
        </w:rPr>
        <w:t xml:space="preserve">Page qui héberge les ressources téléchargeables APEXER. Levier d'autorité fort, levier de capture email.</w:t>
      </w:r>
    </w:p>
    <w:p>
      <w:pPr>
        <w:spacing w:after="80" w:before="160"/>
      </w:pPr>
      <w:r>
        <w:rPr>
          <w:rFonts w:ascii="Arial" w:cs="Arial" w:eastAsia="Arial" w:hAnsi="Arial"/>
          <w:b/>
          <w:bCs/>
          <w:color w:val="0B1A2A"/>
          <w:sz w:val="22"/>
          <w:szCs w:val="22"/>
        </w:rPr>
        <w:t xml:space="preserve">Ressources à publier (priorité v1)</w:t>
      </w:r>
    </w:p>
    <w:p>
      <w:pPr>
        <w:pStyle w:val="ListParagraph"/>
        <w:numPr>
          <w:ilvl w:val="0"/>
          <w:numId w:val="2"/>
        </w:numPr>
        <w:spacing w:after="80" w:line="300"/>
      </w:pPr>
      <w:r>
        <w:rPr>
          <w:rFonts w:ascii="Georgia" w:cs="Georgia" w:eastAsia="Georgia" w:hAnsi="Georgia"/>
          <w:color w:val="1A1A1A"/>
          <w:sz w:val="22"/>
          <w:szCs w:val="22"/>
        </w:rPr>
        <w:t xml:space="preserve">L'enquête fondatrice (PDF 30 pages) : sur les 16 top performers et les 7 pratiques convergentes. Téléchargement contre email.</w:t>
      </w:r>
    </w:p>
    <w:p>
      <w:pPr>
        <w:pStyle w:val="ListParagraph"/>
        <w:numPr>
          <w:ilvl w:val="0"/>
          <w:numId w:val="2"/>
        </w:numPr>
        <w:spacing w:after="80" w:line="300"/>
      </w:pPr>
      <w:r>
        <w:rPr>
          <w:rFonts w:ascii="Georgia" w:cs="Georgia" w:eastAsia="Georgia" w:hAnsi="Georgia"/>
          <w:color w:val="1A1A1A"/>
          <w:sz w:val="22"/>
          <w:szCs w:val="22"/>
        </w:rPr>
        <w:t xml:space="preserve">Le baromètre de la formation commerciale française 2026 : étude annuelle APEXER (à produire). Téléchargement libre.</w:t>
      </w:r>
    </w:p>
    <w:p>
      <w:pPr>
        <w:pStyle w:val="ListParagraph"/>
        <w:numPr>
          <w:ilvl w:val="0"/>
          <w:numId w:val="2"/>
        </w:numPr>
        <w:spacing w:after="80" w:line="300"/>
      </w:pPr>
      <w:r>
        <w:rPr>
          <w:rFonts w:ascii="Georgia" w:cs="Georgia" w:eastAsia="Georgia" w:hAnsi="Georgia"/>
          <w:color w:val="1A1A1A"/>
          <w:sz w:val="22"/>
          <w:szCs w:val="22"/>
        </w:rPr>
        <w:t xml:space="preserve">Les 7 pratiques en checklist (PDF 4 pages) : version condensée pour usage quotidien. Téléchargement libre.</w:t>
      </w:r>
    </w:p>
    <w:p>
      <w:pPr>
        <w:pStyle w:val="ListParagraph"/>
        <w:numPr>
          <w:ilvl w:val="0"/>
          <w:numId w:val="2"/>
        </w:numPr>
        <w:spacing w:after="80" w:line="300"/>
      </w:pPr>
      <w:r>
        <w:rPr>
          <w:rFonts w:ascii="Georgia" w:cs="Georgia" w:eastAsia="Georgia" w:hAnsi="Georgia"/>
          <w:color w:val="1A1A1A"/>
          <w:sz w:val="22"/>
          <w:szCs w:val="22"/>
        </w:rPr>
        <w:t xml:space="preserve">Le format Forge en détail (PDF 12 pages) : pour les candidats MFF. Téléchargement contre email.</w:t>
      </w:r>
    </w:p>
    <w:p>
      <w:pPr>
        <w:pStyle w:val="Heading2"/>
        <w:spacing w:after="200" w:before="360"/>
      </w:pPr>
      <w:r>
        <w:rPr>
          <w:rFonts w:ascii="Georgia" w:cs="Georgia" w:eastAsia="Georgia" w:hAnsi="Georgia"/>
          <w:b/>
          <w:bCs/>
          <w:color w:val="0B1A2A"/>
          <w:sz w:val="30"/>
          <w:szCs w:val="30"/>
        </w:rPr>
        <w:t xml:space="preserve">Page /partenaires — partenariats institutionnels</w:t>
      </w:r>
    </w:p>
    <w:p>
      <w:pPr>
        <w:spacing w:after="120" w:line="320"/>
        <w:jc w:val="both"/>
      </w:pPr>
      <w:r>
        <w:rPr>
          <w:rFonts w:ascii="Georgia" w:cs="Georgia" w:eastAsia="Georgia" w:hAnsi="Georgia"/>
          <w:b w:val="false"/>
          <w:bCs w:val="false"/>
          <w:i w:val="false"/>
          <w:iCs w:val="false"/>
          <w:color w:val="1A1A1A"/>
          <w:sz w:val="22"/>
          <w:szCs w:val="22"/>
        </w:rPr>
        <w:t xml:space="preserve">Page institutionnelle pour partenaires actuels et prospects.</w:t>
      </w:r>
    </w:p>
    <w:p>
      <w:pPr>
        <w:spacing w:after="80" w:before="160"/>
      </w:pPr>
      <w:r>
        <w:rPr>
          <w:rFonts w:ascii="Arial" w:cs="Arial" w:eastAsia="Arial" w:hAnsi="Arial"/>
          <w:b/>
          <w:bCs/>
          <w:color w:val="0B1A2A"/>
          <w:sz w:val="22"/>
          <w:szCs w:val="22"/>
        </w:rPr>
        <w:t xml:space="preserve">Sections</w:t>
      </w:r>
    </w:p>
    <w:p>
      <w:pPr>
        <w:pStyle w:val="ListParagraph"/>
        <w:numPr>
          <w:ilvl w:val="0"/>
          <w:numId w:val="2"/>
        </w:numPr>
        <w:spacing w:after="80" w:line="300"/>
      </w:pPr>
      <w:r>
        <w:rPr>
          <w:rFonts w:ascii="Georgia" w:cs="Georgia" w:eastAsia="Georgia" w:hAnsi="Georgia"/>
          <w:color w:val="1A1A1A"/>
          <w:sz w:val="22"/>
          <w:szCs w:val="22"/>
        </w:rPr>
        <w:t xml:space="preserve">Hero : « APEXER s'inscrit dans des partenariats avec des acteurs institutionnels exigeants. »</w:t>
      </w:r>
    </w:p>
    <w:p>
      <w:pPr>
        <w:pStyle w:val="ListParagraph"/>
        <w:numPr>
          <w:ilvl w:val="0"/>
          <w:numId w:val="2"/>
        </w:numPr>
        <w:spacing w:after="80" w:line="300"/>
      </w:pPr>
      <w:r>
        <w:rPr>
          <w:rFonts w:ascii="Georgia" w:cs="Georgia" w:eastAsia="Georgia" w:hAnsi="Georgia"/>
          <w:color w:val="1A1A1A"/>
          <w:sz w:val="22"/>
          <w:szCs w:val="22"/>
        </w:rPr>
        <w:t xml:space="preserve">Logos partenaires (à mesure que le portefeuille se constitue).</w:t>
      </w:r>
    </w:p>
    <w:p>
      <w:pPr>
        <w:pStyle w:val="ListParagraph"/>
        <w:numPr>
          <w:ilvl w:val="0"/>
          <w:numId w:val="2"/>
        </w:numPr>
        <w:spacing w:after="80" w:line="300"/>
      </w:pPr>
      <w:r>
        <w:rPr>
          <w:rFonts w:ascii="Georgia" w:cs="Georgia" w:eastAsia="Georgia" w:hAnsi="Georgia"/>
          <w:color w:val="1A1A1A"/>
          <w:sz w:val="22"/>
          <w:szCs w:val="22"/>
        </w:rPr>
        <w:t xml:space="preserve">Cas TEAM : 2-3 témoignages d'entreprises clientes.</w:t>
      </w:r>
    </w:p>
    <w:p>
      <w:pPr>
        <w:pStyle w:val="ListParagraph"/>
        <w:numPr>
          <w:ilvl w:val="0"/>
          <w:numId w:val="2"/>
        </w:numPr>
        <w:spacing w:after="80" w:line="300"/>
      </w:pPr>
      <w:r>
        <w:rPr>
          <w:rFonts w:ascii="Georgia" w:cs="Georgia" w:eastAsia="Georgia" w:hAnsi="Georgia"/>
          <w:color w:val="1A1A1A"/>
          <w:sz w:val="22"/>
          <w:szCs w:val="22"/>
        </w:rPr>
        <w:t xml:space="preserve">Cas YOUNG : 2-3 témoignages de structures publiques.</w:t>
      </w:r>
    </w:p>
    <w:p>
      <w:pPr>
        <w:pStyle w:val="ListParagraph"/>
        <w:numPr>
          <w:ilvl w:val="0"/>
          <w:numId w:val="2"/>
        </w:numPr>
        <w:spacing w:after="80" w:line="300"/>
      </w:pPr>
      <w:r>
        <w:rPr>
          <w:rFonts w:ascii="Georgia" w:cs="Georgia" w:eastAsia="Georgia" w:hAnsi="Georgia"/>
          <w:color w:val="1A1A1A"/>
          <w:sz w:val="22"/>
          <w:szCs w:val="22"/>
        </w:rPr>
        <w:t xml:space="preserve">CTA : Devenir partenaire institutionnel (formulaire dédié envoyé à hp@apexer.fr).</w:t>
      </w:r>
    </w:p>
    <w:p>
      <w:pPr>
        <w:pStyle w:val="Heading2"/>
        <w:spacing w:after="200" w:before="360"/>
      </w:pPr>
      <w:r>
        <w:rPr>
          <w:rFonts w:ascii="Georgia" w:cs="Georgia" w:eastAsia="Georgia" w:hAnsi="Georgia"/>
          <w:b/>
          <w:bCs/>
          <w:color w:val="0B1A2A"/>
          <w:sz w:val="30"/>
          <w:szCs w:val="30"/>
        </w:rPr>
        <w:t xml:space="preserve">Page /contact</w:t>
      </w:r>
    </w:p>
    <w:p>
      <w:pPr>
        <w:spacing w:after="80" w:before="160"/>
      </w:pPr>
      <w:r>
        <w:rPr>
          <w:rFonts w:ascii="Arial" w:cs="Arial" w:eastAsia="Arial" w:hAnsi="Arial"/>
          <w:b/>
          <w:bCs/>
          <w:color w:val="0B1A2A"/>
          <w:sz w:val="22"/>
          <w:szCs w:val="22"/>
        </w:rPr>
        <w:t xml:space="preserve">Microcopies</w:t>
      </w:r>
    </w:p>
    <w:p>
      <w:pPr>
        <w:shd w:fill="F5F2EC" w:val="clear"/>
        <w:spacing w:after="80" w:before="80" w:line="300"/>
        <w:ind w:left="360" w:right="360"/>
      </w:pPr>
      <w:r>
        <w:rPr>
          <w:rFonts w:ascii="Georgia" w:cs="Georgia" w:eastAsia="Georgia" w:hAnsi="Georgia"/>
          <w:color w:val="1A1A1A"/>
          <w:sz w:val="21"/>
          <w:szCs w:val="21"/>
        </w:rPr>
        <w:t xml:space="preserve">H1 : Une question, une suggestion, une candidature.</w:t>
      </w:r>
    </w:p>
    <w:p>
      <w:pPr>
        <w:shd w:fill="F5F2EC" w:val="clear"/>
        <w:spacing w:after="80" w:before="80" w:line="300"/>
        <w:ind w:left="360" w:right="360"/>
      </w:pPr>
      <w:r>
        <w:rPr>
          <w:rFonts w:ascii="Georgia" w:cs="Georgia" w:eastAsia="Georgia" w:hAnsi="Georgia"/>
          <w:color w:val="1A1A1A"/>
          <w:sz w:val="21"/>
          <w:szCs w:val="21"/>
        </w:rPr>
        <w:t xml:space="preserve">LEAD : Vous trouverez ci-dessous le bon canal selon votre situation. APEXER privilégie les échanges directs et structurés — pas les boucles génériques de support client.</w:t>
      </w:r>
    </w:p>
    <w:p>
      <w:pPr>
        <w:shd w:fill="F5F2EC" w:val="clear"/>
        <w:spacing w:after="80" w:before="80" w:line="300"/>
        <w:ind w:left="360" w:right="360"/>
      </w:pPr>
      <w:r>
        <w:rPr>
          <w:rFonts w:ascii="Georgia" w:cs="Georgia" w:eastAsia="Georgia" w:hAnsi="Georgia"/>
          <w:color w:val="1A1A1A"/>
          <w:sz w:val="21"/>
          <w:szCs w:val="21"/>
        </w:rPr>
        <w:t xml:space="preserve">CARTE 1 — POUR REJOINDRE UNE FORGE : Postulez directement → /forge#candidater</w:t>
      </w:r>
    </w:p>
    <w:p>
      <w:pPr>
        <w:shd w:fill="F5F2EC" w:val="clear"/>
        <w:spacing w:after="80" w:before="80" w:line="300"/>
        <w:ind w:left="360" w:right="360"/>
      </w:pPr>
      <w:r>
        <w:rPr>
          <w:rFonts w:ascii="Georgia" w:cs="Georgia" w:eastAsia="Georgia" w:hAnsi="Georgia"/>
          <w:color w:val="1A1A1A"/>
          <w:sz w:val="21"/>
          <w:szCs w:val="21"/>
        </w:rPr>
        <w:t xml:space="preserve">CARTE 2 — POUR DEVENIR MAÎTRE-FORGERON : Engagez le tunnel candidature → /candidater</w:t>
      </w:r>
    </w:p>
    <w:p>
      <w:pPr>
        <w:shd w:fill="F5F2EC" w:val="clear"/>
        <w:spacing w:after="80" w:before="80" w:line="300"/>
        <w:ind w:left="360" w:right="360"/>
      </w:pPr>
      <w:r>
        <w:rPr>
          <w:rFonts w:ascii="Georgia" w:cs="Georgia" w:eastAsia="Georgia" w:hAnsi="Georgia"/>
          <w:color w:val="1A1A1A"/>
          <w:sz w:val="21"/>
          <w:szCs w:val="21"/>
        </w:rPr>
        <w:t xml:space="preserve">CARTE 3 — POUR LES ENTREPRISES (TEAM) : Demandez une démonstration → formulaire dédié</w:t>
      </w:r>
    </w:p>
    <w:p>
      <w:pPr>
        <w:shd w:fill="F5F2EC" w:val="clear"/>
        <w:spacing w:after="80" w:before="80" w:line="300"/>
        <w:ind w:left="360" w:right="360"/>
      </w:pPr>
      <w:r>
        <w:rPr>
          <w:rFonts w:ascii="Georgia" w:cs="Georgia" w:eastAsia="Georgia" w:hAnsi="Georgia"/>
          <w:color w:val="1A1A1A"/>
          <w:sz w:val="21"/>
          <w:szCs w:val="21"/>
        </w:rPr>
        <w:t xml:space="preserve">CARTE 4 — POUR LES STRUCTURES JEUNESSE (YOUNG) : Demandez une présentation → formulaire dédié</w:t>
      </w:r>
    </w:p>
    <w:p>
      <w:pPr>
        <w:shd w:fill="F5F2EC" w:val="clear"/>
        <w:spacing w:after="80" w:before="80" w:line="300"/>
        <w:ind w:left="360" w:right="360"/>
      </w:pPr>
      <w:r>
        <w:rPr>
          <w:rFonts w:ascii="Georgia" w:cs="Georgia" w:eastAsia="Georgia" w:hAnsi="Georgia"/>
          <w:color w:val="1A1A1A"/>
          <w:sz w:val="21"/>
          <w:szCs w:val="21"/>
        </w:rPr>
        <w:t xml:space="preserve">CARTE 5 — POUR LA PRESSE : presse@apexer.fr</w:t>
      </w:r>
    </w:p>
    <w:p>
      <w:pPr>
        <w:shd w:fill="F5F2EC" w:val="clear"/>
        <w:spacing w:after="80" w:before="80" w:line="300"/>
        <w:ind w:left="360" w:right="360"/>
      </w:pPr>
      <w:r>
        <w:rPr>
          <w:rFonts w:ascii="Georgia" w:cs="Georgia" w:eastAsia="Georgia" w:hAnsi="Georgia"/>
          <w:color w:val="1A1A1A"/>
          <w:sz w:val="21"/>
          <w:szCs w:val="21"/>
        </w:rPr>
        <w:t xml:space="preserve">CARTE 6 — POUR TOUTE AUTRE QUESTION : contact@apexer.fr (réponse sous 5 jours ouvrés)</w:t>
      </w:r>
    </w:p>
    <w:p>
      <w:pPr>
        <w:pStyle w:val="Heading2"/>
        <w:spacing w:after="200" w:before="360"/>
      </w:pPr>
      <w:r>
        <w:rPr>
          <w:rFonts w:ascii="Georgia" w:cs="Georgia" w:eastAsia="Georgia" w:hAnsi="Georgia"/>
          <w:b/>
          <w:bCs/>
          <w:color w:val="0B1A2A"/>
          <w:sz w:val="30"/>
          <w:szCs w:val="30"/>
        </w:rPr>
        <w:t xml:space="preserve">Page /faq — questions générales</w:t>
      </w:r>
    </w:p>
    <w:p>
      <w:pPr>
        <w:spacing w:after="120" w:line="320"/>
        <w:jc w:val="both"/>
      </w:pPr>
      <w:r>
        <w:rPr>
          <w:rFonts w:ascii="Georgia" w:cs="Georgia" w:eastAsia="Georgia" w:hAnsi="Georgia"/>
          <w:b w:val="false"/>
          <w:bCs w:val="false"/>
          <w:i w:val="false"/>
          <w:iCs w:val="false"/>
          <w:color w:val="1A1A1A"/>
          <w:sz w:val="22"/>
          <w:szCs w:val="22"/>
        </w:rPr>
        <w:t xml:space="preserve">FAQ générale qui couvre les questions transverses ne relevant pas d'un programme spécifique. Format accordéon, recherche en haut, catégories sur le côté.</w:t>
      </w:r>
    </w:p>
    <w:p>
      <w:pPr>
        <w:spacing w:after="80" w:before="160"/>
      </w:pPr>
      <w:r>
        <w:rPr>
          <w:rFonts w:ascii="Arial" w:cs="Arial" w:eastAsia="Arial" w:hAnsi="Arial"/>
          <w:b/>
          <w:bCs/>
          <w:color w:val="0B1A2A"/>
          <w:sz w:val="22"/>
          <w:szCs w:val="22"/>
        </w:rPr>
        <w:t xml:space="preserve">Catégories à couvrir</w:t>
      </w:r>
    </w:p>
    <w:p>
      <w:pPr>
        <w:pStyle w:val="ListParagraph"/>
        <w:numPr>
          <w:ilvl w:val="0"/>
          <w:numId w:val="2"/>
        </w:numPr>
        <w:spacing w:after="80" w:line="300"/>
      </w:pPr>
      <w:r>
        <w:rPr>
          <w:rFonts w:ascii="Georgia" w:cs="Georgia" w:eastAsia="Georgia" w:hAnsi="Georgia"/>
          <w:color w:val="1A1A1A"/>
          <w:sz w:val="22"/>
          <w:szCs w:val="22"/>
        </w:rPr>
        <w:t xml:space="preserve">Sur APEXER en général (10-15 questions)</w:t>
      </w:r>
    </w:p>
    <w:p>
      <w:pPr>
        <w:pStyle w:val="ListParagraph"/>
        <w:numPr>
          <w:ilvl w:val="0"/>
          <w:numId w:val="2"/>
        </w:numPr>
        <w:spacing w:after="80" w:line="300"/>
      </w:pPr>
      <w:r>
        <w:rPr>
          <w:rFonts w:ascii="Georgia" w:cs="Georgia" w:eastAsia="Georgia" w:hAnsi="Georgia"/>
          <w:color w:val="1A1A1A"/>
          <w:sz w:val="22"/>
          <w:szCs w:val="22"/>
        </w:rPr>
        <w:t xml:space="preserve">Sur les programmes (cross-programmes, 8-10 questions)</w:t>
      </w:r>
    </w:p>
    <w:p>
      <w:pPr>
        <w:pStyle w:val="ListParagraph"/>
        <w:numPr>
          <w:ilvl w:val="0"/>
          <w:numId w:val="2"/>
        </w:numPr>
        <w:spacing w:after="80" w:line="300"/>
      </w:pPr>
      <w:r>
        <w:rPr>
          <w:rFonts w:ascii="Georgia" w:cs="Georgia" w:eastAsia="Georgia" w:hAnsi="Georgia"/>
          <w:color w:val="1A1A1A"/>
          <w:sz w:val="22"/>
          <w:szCs w:val="22"/>
        </w:rPr>
        <w:t xml:space="preserve">Sur le réseau de Maîtres-Forgerons (8-10 questions)</w:t>
      </w:r>
    </w:p>
    <w:p>
      <w:pPr>
        <w:pStyle w:val="ListParagraph"/>
        <w:numPr>
          <w:ilvl w:val="0"/>
          <w:numId w:val="2"/>
        </w:numPr>
        <w:spacing w:after="80" w:line="300"/>
      </w:pPr>
      <w:r>
        <w:rPr>
          <w:rFonts w:ascii="Georgia" w:cs="Georgia" w:eastAsia="Georgia" w:hAnsi="Georgia"/>
          <w:color w:val="1A1A1A"/>
          <w:sz w:val="22"/>
          <w:szCs w:val="22"/>
        </w:rPr>
        <w:t xml:space="preserve">Sur la candidature MFF (10-12 questions)</w:t>
      </w:r>
    </w:p>
    <w:p>
      <w:pPr>
        <w:pStyle w:val="ListParagraph"/>
        <w:numPr>
          <w:ilvl w:val="0"/>
          <w:numId w:val="2"/>
        </w:numPr>
        <w:spacing w:after="80" w:line="300"/>
      </w:pPr>
      <w:r>
        <w:rPr>
          <w:rFonts w:ascii="Georgia" w:cs="Georgia" w:eastAsia="Georgia" w:hAnsi="Georgia"/>
          <w:color w:val="1A1A1A"/>
          <w:sz w:val="22"/>
          <w:szCs w:val="22"/>
        </w:rPr>
        <w:t xml:space="preserve">Sur le paiement et la facturation (5-8 questions)</w:t>
      </w:r>
    </w:p>
    <w:p>
      <w:pPr>
        <w:pStyle w:val="ListParagraph"/>
        <w:numPr>
          <w:ilvl w:val="0"/>
          <w:numId w:val="2"/>
        </w:numPr>
        <w:spacing w:after="80" w:line="300"/>
      </w:pPr>
      <w:r>
        <w:rPr>
          <w:rFonts w:ascii="Georgia" w:cs="Georgia" w:eastAsia="Georgia" w:hAnsi="Georgia"/>
          <w:color w:val="1A1A1A"/>
          <w:sz w:val="22"/>
          <w:szCs w:val="22"/>
        </w:rPr>
        <w:t xml:space="preserve">Sur la confidentialité et le RGPD (5-8 questions)</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Composants UI spécifiques au site</w:t>
      </w:r>
    </w:p>
    <w:p>
      <w:pPr>
        <w:spacing w:after="200" w:before="80"/>
      </w:pPr>
      <w:r>
        <w:rPr>
          <w:rFonts w:ascii="Arial" w:cs="Arial" w:eastAsia="Arial" w:hAnsi="Arial"/>
          <w:i/>
          <w:iCs/>
          <w:color w:val="6B6F76"/>
          <w:sz w:val="18"/>
          <w:szCs w:val="18"/>
        </w:rPr>
        <w:t xml:space="preserve">Composants génériques utilisés en dehors de l'application. Référence au Document 1 (Reco Claude Code) pour les design tokens. Ce qui suit est ce que Claude Code doit créer en plus.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Composants Hero</w:t>
      </w:r>
    </w:p>
    <w:p>
      <w:pPr>
        <w:spacing w:after="80" w:before="160"/>
      </w:pPr>
      <w:r>
        <w:rPr>
          <w:rFonts w:ascii="Arial" w:cs="Arial" w:eastAsia="Arial" w:hAnsi="Arial"/>
          <w:b/>
          <w:bCs/>
          <w:color w:val="0B1A2A"/>
          <w:sz w:val="22"/>
          <w:szCs w:val="22"/>
        </w:rPr>
        <w:t xml:space="preserve">HeroPage (utilisé par toutes les pages programmes)</w:t>
      </w:r>
    </w:p>
    <w:p>
      <w:pPr>
        <w:shd w:fill="F6F6F2" w:val="clear"/>
        <w:spacing w:after="160" w:before="100" w:line="280"/>
        <w:ind w:left="240" w:right="240"/>
      </w:pPr>
      <w:r>
        <w:rPr>
          <w:rFonts w:ascii="Courier New" w:cs="Courier New" w:eastAsia="Courier New" w:hAnsi="Courier New"/>
          <w:color w:val="1A1A1A"/>
          <w:sz w:val="18"/>
          <w:szCs w:val="18"/>
        </w:rPr>
        <w:t xml:space="preserve">&lt;HeroPage
  eyebrow="LE PROGRAMME CENTRAL"
  title="Une heure trente par semaine. Pour ne plus jamais devoir compter sur la motivation."
  lead="La Forge est le rendez-vous hebdomadaire qui installe..."
  imageSrc="/images/programs/forge-hero.webp"
  imageAlt="Une Forge en cercle, dix professionnels en écoute attentive"
  primaryCta={{ label: "Postuler à une Forge", href: "#candidater" }}
  secondaryCta={{ label: "Voir le format complet", href: "#format" }}
  microproof="129 €/mois · Engagement 3 mois minimum · Premier mois remboursé si vous arrêtez avant la 3e Forge"
/&gt;</w:t>
      </w:r>
    </w:p>
    <w:p>
      <w:pPr>
        <w:spacing w:after="80" w:before="160"/>
      </w:pPr>
      <w:r>
        <w:rPr>
          <w:rFonts w:ascii="Arial" w:cs="Arial" w:eastAsia="Arial" w:hAnsi="Arial"/>
          <w:b/>
          <w:bCs/>
          <w:color w:val="0B1A2A"/>
          <w:sz w:val="22"/>
          <w:szCs w:val="22"/>
        </w:rPr>
        <w:t xml:space="preserve">HeroHomepage (variante spécifique homepage)</w:t>
      </w:r>
    </w:p>
    <w:p>
      <w:pPr>
        <w:pStyle w:val="ListParagraph"/>
        <w:numPr>
          <w:ilvl w:val="0"/>
          <w:numId w:val="2"/>
        </w:numPr>
        <w:spacing w:after="80" w:line="300"/>
      </w:pPr>
      <w:r>
        <w:rPr>
          <w:rFonts w:ascii="Georgia" w:cs="Georgia" w:eastAsia="Georgia" w:hAnsi="Georgia"/>
          <w:color w:val="1A1A1A"/>
          <w:sz w:val="22"/>
          <w:szCs w:val="22"/>
        </w:rPr>
        <w:t xml:space="preserve">Plus tall (100vh desktop), animation subtile au scroll, double CTA.</w:t>
      </w:r>
    </w:p>
    <w:p>
      <w:pPr>
        <w:pStyle w:val="ListParagraph"/>
        <w:numPr>
          <w:ilvl w:val="0"/>
          <w:numId w:val="2"/>
        </w:numPr>
        <w:spacing w:after="80" w:line="300"/>
      </w:pPr>
      <w:r>
        <w:rPr>
          <w:rFonts w:ascii="Georgia" w:cs="Georgia" w:eastAsia="Georgia" w:hAnsi="Georgia"/>
          <w:color w:val="1A1A1A"/>
          <w:sz w:val="22"/>
          <w:szCs w:val="22"/>
        </w:rPr>
        <w:t xml:space="preserve">Image P01 en split-layout 60/40 (texte gauche, image droite).</w:t>
      </w:r>
    </w:p>
    <w:p>
      <w:pPr>
        <w:pStyle w:val="Heading2"/>
        <w:spacing w:after="200" w:before="360"/>
      </w:pPr>
      <w:r>
        <w:rPr>
          <w:rFonts w:ascii="Georgia" w:cs="Georgia" w:eastAsia="Georgia" w:hAnsi="Georgia"/>
          <w:b/>
          <w:bCs/>
          <w:color w:val="0B1A2A"/>
          <w:sz w:val="30"/>
          <w:szCs w:val="30"/>
        </w:rPr>
        <w:t xml:space="preserve">Composants Sections de page</w:t>
      </w:r>
    </w:p>
    <w:p>
      <w:pPr>
        <w:spacing w:after="80" w:before="160"/>
      </w:pPr>
      <w:r>
        <w:rPr>
          <w:rFonts w:ascii="Arial" w:cs="Arial" w:eastAsia="Arial" w:hAnsi="Arial"/>
          <w:b/>
          <w:bCs/>
          <w:color w:val="0B1A2A"/>
          <w:sz w:val="22"/>
          <w:szCs w:val="22"/>
        </w:rPr>
        <w:t xml:space="preserve">SectionConstats (3-cartes-chiffrées)</w:t>
      </w:r>
    </w:p>
    <w:p>
      <w:pPr>
        <w:pStyle w:val="ListParagraph"/>
        <w:numPr>
          <w:ilvl w:val="0"/>
          <w:numId w:val="2"/>
        </w:numPr>
        <w:spacing w:after="80" w:line="300"/>
      </w:pPr>
      <w:r>
        <w:rPr>
          <w:rFonts w:ascii="Georgia" w:cs="Georgia" w:eastAsia="Georgia" w:hAnsi="Georgia"/>
          <w:color w:val="1A1A1A"/>
          <w:sz w:val="22"/>
          <w:szCs w:val="22"/>
        </w:rPr>
        <w:t xml:space="preserve">Props : eyebrow, title, lead, items (array de 3 cartes : { stat, label, source }).</w:t>
      </w:r>
    </w:p>
    <w:p>
      <w:pPr>
        <w:pStyle w:val="ListParagraph"/>
        <w:numPr>
          <w:ilvl w:val="0"/>
          <w:numId w:val="2"/>
        </w:numPr>
        <w:spacing w:after="80" w:line="300"/>
      </w:pPr>
      <w:r>
        <w:rPr>
          <w:rFonts w:ascii="Georgia" w:cs="Georgia" w:eastAsia="Georgia" w:hAnsi="Georgia"/>
          <w:color w:val="1A1A1A"/>
          <w:sz w:val="22"/>
          <w:szCs w:val="22"/>
        </w:rPr>
        <w:t xml:space="preserve">Layout : 3 colonnes desktop, 1 colonne mobile.</w:t>
      </w:r>
    </w:p>
    <w:p>
      <w:pPr>
        <w:pStyle w:val="ListParagraph"/>
        <w:numPr>
          <w:ilvl w:val="0"/>
          <w:numId w:val="2"/>
        </w:numPr>
        <w:spacing w:after="80" w:line="300"/>
      </w:pPr>
      <w:r>
        <w:rPr>
          <w:rFonts w:ascii="Georgia" w:cs="Georgia" w:eastAsia="Georgia" w:hAnsi="Georgia"/>
          <w:color w:val="1A1A1A"/>
          <w:sz w:val="22"/>
          <w:szCs w:val="22"/>
        </w:rPr>
        <w:t xml:space="preserve">Style : light bg, chiffre en text-5xl gold, label en navy, source en grey italic.</w:t>
      </w:r>
    </w:p>
    <w:p>
      <w:pPr>
        <w:spacing w:after="80" w:before="160"/>
      </w:pPr>
      <w:r>
        <w:rPr>
          <w:rFonts w:ascii="Arial" w:cs="Arial" w:eastAsia="Arial" w:hAnsi="Arial"/>
          <w:b/>
          <w:bCs/>
          <w:color w:val="0B1A2A"/>
          <w:sz w:val="22"/>
          <w:szCs w:val="22"/>
        </w:rPr>
        <w:t xml:space="preserve">SectionPracticesGrid (les 7 pratiques)</w:t>
      </w:r>
    </w:p>
    <w:p>
      <w:pPr>
        <w:pStyle w:val="ListParagraph"/>
        <w:numPr>
          <w:ilvl w:val="0"/>
          <w:numId w:val="2"/>
        </w:numPr>
        <w:spacing w:after="80" w:line="300"/>
      </w:pPr>
      <w:r>
        <w:rPr>
          <w:rFonts w:ascii="Georgia" w:cs="Georgia" w:eastAsia="Georgia" w:hAnsi="Georgia"/>
          <w:color w:val="1A1A1A"/>
          <w:sz w:val="22"/>
          <w:szCs w:val="22"/>
        </w:rPr>
        <w:t xml:space="preserve">Props : items (array de 7 pratiques : { number, title, summary }).</w:t>
      </w:r>
    </w:p>
    <w:p>
      <w:pPr>
        <w:pStyle w:val="ListParagraph"/>
        <w:numPr>
          <w:ilvl w:val="0"/>
          <w:numId w:val="2"/>
        </w:numPr>
        <w:spacing w:after="80" w:line="300"/>
      </w:pPr>
      <w:r>
        <w:rPr>
          <w:rFonts w:ascii="Georgia" w:cs="Georgia" w:eastAsia="Georgia" w:hAnsi="Georgia"/>
          <w:color w:val="1A1A1A"/>
          <w:sz w:val="22"/>
          <w:szCs w:val="22"/>
        </w:rPr>
        <w:t xml:space="preserve">Layout : grille 4-3 desktop (4 cartes top + 3 cartes bottom centrées), 2 colonnes tablet, 1 colonne mobile.</w:t>
      </w:r>
    </w:p>
    <w:p>
      <w:pPr>
        <w:pStyle w:val="ListParagraph"/>
        <w:numPr>
          <w:ilvl w:val="0"/>
          <w:numId w:val="2"/>
        </w:numPr>
        <w:spacing w:after="80" w:line="300"/>
      </w:pPr>
      <w:r>
        <w:rPr>
          <w:rFonts w:ascii="Georgia" w:cs="Georgia" w:eastAsia="Georgia" w:hAnsi="Georgia"/>
          <w:color w:val="1A1A1A"/>
          <w:sz w:val="22"/>
          <w:szCs w:val="22"/>
        </w:rPr>
        <w:t xml:space="preserve">Hover : élévation subtile + accent gold sur le numéro.</w:t>
      </w:r>
    </w:p>
    <w:p>
      <w:pPr>
        <w:spacing w:after="80" w:before="160"/>
      </w:pPr>
      <w:r>
        <w:rPr>
          <w:rFonts w:ascii="Arial" w:cs="Arial" w:eastAsia="Arial" w:hAnsi="Arial"/>
          <w:b/>
          <w:bCs/>
          <w:color w:val="0B1A2A"/>
          <w:sz w:val="22"/>
          <w:szCs w:val="22"/>
        </w:rPr>
        <w:t xml:space="preserve">SectionForgeFormat (les 6 séquences)</w:t>
      </w:r>
    </w:p>
    <w:p>
      <w:pPr>
        <w:pStyle w:val="ListParagraph"/>
        <w:numPr>
          <w:ilvl w:val="0"/>
          <w:numId w:val="2"/>
        </w:numPr>
        <w:spacing w:after="80" w:line="300"/>
      </w:pPr>
      <w:r>
        <w:rPr>
          <w:rFonts w:ascii="Georgia" w:cs="Georgia" w:eastAsia="Georgia" w:hAnsi="Georgia"/>
          <w:color w:val="1A1A1A"/>
          <w:sz w:val="22"/>
          <w:szCs w:val="22"/>
        </w:rPr>
        <w:t xml:space="preserve">Props : sequences (array de 6 séquences : { number, duration, title, content }).</w:t>
      </w:r>
    </w:p>
    <w:p>
      <w:pPr>
        <w:pStyle w:val="ListParagraph"/>
        <w:numPr>
          <w:ilvl w:val="0"/>
          <w:numId w:val="2"/>
        </w:numPr>
        <w:spacing w:after="80" w:line="300"/>
      </w:pPr>
      <w:r>
        <w:rPr>
          <w:rFonts w:ascii="Georgia" w:cs="Georgia" w:eastAsia="Georgia" w:hAnsi="Georgia"/>
          <w:color w:val="1A1A1A"/>
          <w:sz w:val="22"/>
          <w:szCs w:val="22"/>
        </w:rPr>
        <w:t xml:space="preserve">Layout : timeline verticale avec numéro + durée à gauche, contenu à droite.</w:t>
      </w:r>
    </w:p>
    <w:p>
      <w:pPr>
        <w:pStyle w:val="ListParagraph"/>
        <w:numPr>
          <w:ilvl w:val="0"/>
          <w:numId w:val="2"/>
        </w:numPr>
        <w:spacing w:after="80" w:line="300"/>
      </w:pPr>
      <w:r>
        <w:rPr>
          <w:rFonts w:ascii="Georgia" w:cs="Georgia" w:eastAsia="Georgia" w:hAnsi="Georgia"/>
          <w:color w:val="1A1A1A"/>
          <w:sz w:val="22"/>
          <w:szCs w:val="22"/>
        </w:rPr>
        <w:t xml:space="preserve">Style : colonne gauche compact (1/3 de largeur), colonne droite éditoriale (2/3).</w:t>
      </w:r>
    </w:p>
    <w:p>
      <w:pPr>
        <w:spacing w:after="80" w:before="160"/>
      </w:pPr>
      <w:r>
        <w:rPr>
          <w:rFonts w:ascii="Arial" w:cs="Arial" w:eastAsia="Arial" w:hAnsi="Arial"/>
          <w:b/>
          <w:bCs/>
          <w:color w:val="0B1A2A"/>
          <w:sz w:val="22"/>
          <w:szCs w:val="22"/>
        </w:rPr>
        <w:t xml:space="preserve">SectionProgramsGrid (5 cartes programmes homepage)</w:t>
      </w:r>
    </w:p>
    <w:p>
      <w:pPr>
        <w:pStyle w:val="ListParagraph"/>
        <w:numPr>
          <w:ilvl w:val="0"/>
          <w:numId w:val="2"/>
        </w:numPr>
        <w:spacing w:after="80" w:line="300"/>
      </w:pPr>
      <w:r>
        <w:rPr>
          <w:rFonts w:ascii="Georgia" w:cs="Georgia" w:eastAsia="Georgia" w:hAnsi="Georgia"/>
          <w:color w:val="1A1A1A"/>
          <w:sz w:val="22"/>
          <w:szCs w:val="22"/>
        </w:rPr>
        <w:t xml:space="preserve">Props : programs (array de 5 programmes : { type, title, price, description, href }).</w:t>
      </w:r>
    </w:p>
    <w:p>
      <w:pPr>
        <w:pStyle w:val="ListParagraph"/>
        <w:numPr>
          <w:ilvl w:val="0"/>
          <w:numId w:val="2"/>
        </w:numPr>
        <w:spacing w:after="80" w:line="300"/>
      </w:pPr>
      <w:r>
        <w:rPr>
          <w:rFonts w:ascii="Georgia" w:cs="Georgia" w:eastAsia="Georgia" w:hAnsi="Georgia"/>
          <w:color w:val="1A1A1A"/>
          <w:sz w:val="22"/>
          <w:szCs w:val="22"/>
        </w:rPr>
        <w:t xml:space="preserve">Layout : grille 5 colonnes desktop, 2 colonnes tablet, 1 colonne mobile.</w:t>
      </w:r>
    </w:p>
    <w:p>
      <w:pPr>
        <w:pStyle w:val="ListParagraph"/>
        <w:numPr>
          <w:ilvl w:val="0"/>
          <w:numId w:val="2"/>
        </w:numPr>
        <w:spacing w:after="80" w:line="300"/>
      </w:pPr>
      <w:r>
        <w:rPr>
          <w:rFonts w:ascii="Georgia" w:cs="Georgia" w:eastAsia="Georgia" w:hAnsi="Georgia"/>
          <w:color w:val="1A1A1A"/>
          <w:sz w:val="22"/>
          <w:szCs w:val="22"/>
        </w:rPr>
        <w:t xml:space="preserve">Hover : élévation, accent gold sur le bord supérieur.</w:t>
      </w:r>
    </w:p>
    <w:p>
      <w:pPr>
        <w:spacing w:after="80" w:before="160"/>
      </w:pPr>
      <w:r>
        <w:rPr>
          <w:rFonts w:ascii="Arial" w:cs="Arial" w:eastAsia="Arial" w:hAnsi="Arial"/>
          <w:b/>
          <w:bCs/>
          <w:color w:val="0B1A2A"/>
          <w:sz w:val="22"/>
          <w:szCs w:val="22"/>
        </w:rPr>
        <w:t xml:space="preserve">SectionForgesMap (carte territoriale)</w:t>
      </w:r>
    </w:p>
    <w:p>
      <w:pPr>
        <w:pStyle w:val="ListParagraph"/>
        <w:numPr>
          <w:ilvl w:val="0"/>
          <w:numId w:val="2"/>
        </w:numPr>
        <w:spacing w:after="80" w:line="300"/>
      </w:pPr>
      <w:r>
        <w:rPr>
          <w:rFonts w:ascii="Georgia" w:cs="Georgia" w:eastAsia="Georgia" w:hAnsi="Georgia"/>
          <w:color w:val="1A1A1A"/>
          <w:sz w:val="22"/>
          <w:szCs w:val="22"/>
        </w:rPr>
        <w:t xml:space="preserve">Props : forges (array de Forges actives), masterForgerons (array de MFF).</w:t>
      </w:r>
    </w:p>
    <w:p>
      <w:pPr>
        <w:pStyle w:val="ListParagraph"/>
        <w:numPr>
          <w:ilvl w:val="0"/>
          <w:numId w:val="2"/>
        </w:numPr>
        <w:spacing w:after="80" w:line="300"/>
      </w:pPr>
      <w:r>
        <w:rPr>
          <w:rFonts w:ascii="Georgia" w:cs="Georgia" w:eastAsia="Georgia" w:hAnsi="Georgia"/>
          <w:color w:val="1A1A1A"/>
          <w:sz w:val="22"/>
          <w:szCs w:val="22"/>
        </w:rPr>
        <w:t xml:space="preserve">Composant interactif : carte SVG de la France avec dots cliquables.</w:t>
      </w:r>
    </w:p>
    <w:p>
      <w:pPr>
        <w:pStyle w:val="ListParagraph"/>
        <w:numPr>
          <w:ilvl w:val="0"/>
          <w:numId w:val="2"/>
        </w:numPr>
        <w:spacing w:after="80" w:line="300"/>
      </w:pPr>
      <w:r>
        <w:rPr>
          <w:rFonts w:ascii="Georgia" w:cs="Georgia" w:eastAsia="Georgia" w:hAnsi="Georgia"/>
          <w:color w:val="1A1A1A"/>
          <w:sz w:val="22"/>
          <w:szCs w:val="22"/>
        </w:rPr>
        <w:t xml:space="preserve">Au survol d'un dot : tooltip avec nom du MFF, ville, nombre de Forgerons actifs.</w:t>
      </w:r>
    </w:p>
    <w:p>
      <w:pPr>
        <w:pStyle w:val="ListParagraph"/>
        <w:numPr>
          <w:ilvl w:val="0"/>
          <w:numId w:val="2"/>
        </w:numPr>
        <w:spacing w:after="80" w:line="300"/>
      </w:pPr>
      <w:r>
        <w:rPr>
          <w:rFonts w:ascii="Georgia" w:cs="Georgia" w:eastAsia="Georgia" w:hAnsi="Georgia"/>
          <w:color w:val="1A1A1A"/>
          <w:sz w:val="22"/>
          <w:szCs w:val="22"/>
        </w:rPr>
        <w:t xml:space="preserve">Au clic : redirection vers la fiche MFF si publique, ou modal de présentation.</w:t>
      </w:r>
    </w:p>
    <w:p>
      <w:pPr>
        <w:pStyle w:val="ListParagraph"/>
        <w:numPr>
          <w:ilvl w:val="0"/>
          <w:numId w:val="2"/>
        </w:numPr>
        <w:spacing w:after="80" w:line="300"/>
      </w:pPr>
      <w:r>
        <w:rPr>
          <w:rFonts w:ascii="Georgia" w:cs="Georgia" w:eastAsia="Georgia" w:hAnsi="Georgia"/>
          <w:color w:val="1A1A1A"/>
          <w:sz w:val="22"/>
          <w:szCs w:val="22"/>
        </w:rPr>
        <w:t xml:space="preserve">Counter dynamique en bas : Forgerons actifs · MFF certifiés · Forges hebdomadaires.</w:t>
      </w:r>
    </w:p>
    <w:p>
      <w:pPr>
        <w:spacing w:after="80" w:before="160"/>
      </w:pPr>
      <w:r>
        <w:rPr>
          <w:rFonts w:ascii="Arial" w:cs="Arial" w:eastAsia="Arial" w:hAnsi="Arial"/>
          <w:b/>
          <w:bCs/>
          <w:color w:val="0B1A2A"/>
          <w:sz w:val="22"/>
          <w:szCs w:val="22"/>
        </w:rPr>
        <w:t xml:space="preserve">SectionCTAFinal (dernière section avant footer)</w:t>
      </w:r>
    </w:p>
    <w:p>
      <w:pPr>
        <w:pStyle w:val="ListParagraph"/>
        <w:numPr>
          <w:ilvl w:val="0"/>
          <w:numId w:val="2"/>
        </w:numPr>
        <w:spacing w:after="80" w:line="300"/>
      </w:pPr>
      <w:r>
        <w:rPr>
          <w:rFonts w:ascii="Georgia" w:cs="Georgia" w:eastAsia="Georgia" w:hAnsi="Georgia"/>
          <w:color w:val="1A1A1A"/>
          <w:sz w:val="22"/>
          <w:szCs w:val="22"/>
        </w:rPr>
        <w:t xml:space="preserve">Props : title, ctas (array de 1 ou 2 CTAs).</w:t>
      </w:r>
    </w:p>
    <w:p>
      <w:pPr>
        <w:pStyle w:val="ListParagraph"/>
        <w:numPr>
          <w:ilvl w:val="0"/>
          <w:numId w:val="2"/>
        </w:numPr>
        <w:spacing w:after="80" w:line="300"/>
      </w:pPr>
      <w:r>
        <w:rPr>
          <w:rFonts w:ascii="Georgia" w:cs="Georgia" w:eastAsia="Georgia" w:hAnsi="Georgia"/>
          <w:color w:val="1A1A1A"/>
          <w:sz w:val="22"/>
          <w:szCs w:val="22"/>
        </w:rPr>
        <w:t xml:space="preserve">Background navy avec image atmosphérique en arrière-plan désaturée.</w:t>
      </w:r>
    </w:p>
    <w:p>
      <w:pPr>
        <w:pStyle w:val="ListParagraph"/>
        <w:numPr>
          <w:ilvl w:val="0"/>
          <w:numId w:val="2"/>
        </w:numPr>
        <w:spacing w:after="80" w:line="300"/>
      </w:pPr>
      <w:r>
        <w:rPr>
          <w:rFonts w:ascii="Georgia" w:cs="Georgia" w:eastAsia="Georgia" w:hAnsi="Georgia"/>
          <w:color w:val="1A1A1A"/>
          <w:sz w:val="22"/>
          <w:szCs w:val="22"/>
        </w:rPr>
        <w:t xml:space="preserve">Layout : centré, padding généreux verticalement (96px haut et bas).</w:t>
      </w:r>
    </w:p>
    <w:p>
      <w:pPr>
        <w:pStyle w:val="Heading2"/>
        <w:spacing w:after="200" w:before="360"/>
      </w:pPr>
      <w:r>
        <w:rPr>
          <w:rFonts w:ascii="Georgia" w:cs="Georgia" w:eastAsia="Georgia" w:hAnsi="Georgia"/>
          <w:b/>
          <w:bCs/>
          <w:color w:val="0B1A2A"/>
          <w:sz w:val="30"/>
          <w:szCs w:val="30"/>
        </w:rPr>
        <w:t xml:space="preserve">Composants Articles (page /journal)</w:t>
      </w:r>
    </w:p>
    <w:p>
      <w:pPr>
        <w:spacing w:after="80" w:before="160"/>
      </w:pPr>
      <w:r>
        <w:rPr>
          <w:rFonts w:ascii="Arial" w:cs="Arial" w:eastAsia="Arial" w:hAnsi="Arial"/>
          <w:b/>
          <w:bCs/>
          <w:color w:val="0B1A2A"/>
          <w:sz w:val="22"/>
          <w:szCs w:val="22"/>
        </w:rPr>
        <w:t xml:space="preserve">ArticleCard (utilisé sur l'index)</w:t>
      </w:r>
    </w:p>
    <w:p>
      <w:pPr>
        <w:pStyle w:val="ListParagraph"/>
        <w:numPr>
          <w:ilvl w:val="0"/>
          <w:numId w:val="2"/>
        </w:numPr>
        <w:spacing w:after="80" w:line="300"/>
      </w:pPr>
      <w:r>
        <w:rPr>
          <w:rFonts w:ascii="Georgia" w:cs="Georgia" w:eastAsia="Georgia" w:hAnsi="Georgia"/>
          <w:color w:val="1A1A1A"/>
          <w:sz w:val="22"/>
          <w:szCs w:val="22"/>
        </w:rPr>
        <w:t xml:space="preserve">Props : article ({ slug, title, eyebrow, excerpt, image, date, author, readingTime }).</w:t>
      </w:r>
    </w:p>
    <w:p>
      <w:pPr>
        <w:pStyle w:val="ListParagraph"/>
        <w:numPr>
          <w:ilvl w:val="0"/>
          <w:numId w:val="2"/>
        </w:numPr>
        <w:spacing w:after="80" w:line="300"/>
      </w:pPr>
      <w:r>
        <w:rPr>
          <w:rFonts w:ascii="Georgia" w:cs="Georgia" w:eastAsia="Georgia" w:hAnsi="Georgia"/>
          <w:color w:val="1A1A1A"/>
          <w:sz w:val="22"/>
          <w:szCs w:val="22"/>
        </w:rPr>
        <w:t xml:space="preserve">Layout : image full-width en haut (ratio 16:9), métadonnées en gold uppercase, titre en navy, excerpt en grey, date et durée en bas.</w:t>
      </w:r>
    </w:p>
    <w:p>
      <w:pPr>
        <w:spacing w:after="80" w:before="160"/>
      </w:pPr>
      <w:r>
        <w:rPr>
          <w:rFonts w:ascii="Arial" w:cs="Arial" w:eastAsia="Arial" w:hAnsi="Arial"/>
          <w:b/>
          <w:bCs/>
          <w:color w:val="0B1A2A"/>
          <w:sz w:val="22"/>
          <w:szCs w:val="22"/>
        </w:rPr>
        <w:t xml:space="preserve">ArticleHeader (sur la page article)</w:t>
      </w:r>
    </w:p>
    <w:p>
      <w:pPr>
        <w:pStyle w:val="ListParagraph"/>
        <w:numPr>
          <w:ilvl w:val="0"/>
          <w:numId w:val="2"/>
        </w:numPr>
        <w:spacing w:after="80" w:line="300"/>
      </w:pPr>
      <w:r>
        <w:rPr>
          <w:rFonts w:ascii="Georgia" w:cs="Georgia" w:eastAsia="Georgia" w:hAnsi="Georgia"/>
          <w:color w:val="1A1A1A"/>
          <w:sz w:val="22"/>
          <w:szCs w:val="22"/>
        </w:rPr>
        <w:t xml:space="preserve">Props : article complet.</w:t>
      </w:r>
    </w:p>
    <w:p>
      <w:pPr>
        <w:pStyle w:val="ListParagraph"/>
        <w:numPr>
          <w:ilvl w:val="0"/>
          <w:numId w:val="2"/>
        </w:numPr>
        <w:spacing w:after="80" w:line="300"/>
      </w:pPr>
      <w:r>
        <w:rPr>
          <w:rFonts w:ascii="Georgia" w:cs="Georgia" w:eastAsia="Georgia" w:hAnsi="Georgia"/>
          <w:color w:val="1A1A1A"/>
          <w:sz w:val="22"/>
          <w:szCs w:val="22"/>
        </w:rPr>
        <w:t xml:space="preserve">Layout : image full-width 16:9 en haut, titre en H1 navy 5xl, eyebrow gold, métadonnées (date, auteur, durée) en grey.</w:t>
      </w:r>
    </w:p>
    <w:p>
      <w:pPr>
        <w:spacing w:after="80" w:before="160"/>
      </w:pPr>
      <w:r>
        <w:rPr>
          <w:rFonts w:ascii="Arial" w:cs="Arial" w:eastAsia="Arial" w:hAnsi="Arial"/>
          <w:b/>
          <w:bCs/>
          <w:color w:val="0B1A2A"/>
          <w:sz w:val="22"/>
          <w:szCs w:val="22"/>
        </w:rPr>
        <w:t xml:space="preserve">ArticleBody (le corps de l'article)</w:t>
      </w:r>
    </w:p>
    <w:p>
      <w:pPr>
        <w:pStyle w:val="ListParagraph"/>
        <w:numPr>
          <w:ilvl w:val="0"/>
          <w:numId w:val="2"/>
        </w:numPr>
        <w:spacing w:after="80" w:line="300"/>
      </w:pPr>
      <w:r>
        <w:rPr>
          <w:rFonts w:ascii="Georgia" w:cs="Georgia" w:eastAsia="Georgia" w:hAnsi="Georgia"/>
          <w:color w:val="1A1A1A"/>
          <w:sz w:val="22"/>
          <w:szCs w:val="22"/>
        </w:rPr>
        <w:t xml:space="preserve">Props : MDX content.</w:t>
      </w:r>
    </w:p>
    <w:p>
      <w:pPr>
        <w:pStyle w:val="ListParagraph"/>
        <w:numPr>
          <w:ilvl w:val="0"/>
          <w:numId w:val="2"/>
        </w:numPr>
        <w:spacing w:after="80" w:line="300"/>
      </w:pPr>
      <w:r>
        <w:rPr>
          <w:rFonts w:ascii="Georgia" w:cs="Georgia" w:eastAsia="Georgia" w:hAnsi="Georgia"/>
          <w:color w:val="1A1A1A"/>
          <w:sz w:val="22"/>
          <w:szCs w:val="22"/>
        </w:rPr>
        <w:t xml:space="preserve">Layout : Inter 18px line-height 1.7, max-w-prose centré, citations en sérif italic gold, encarts en soft bg avec border gold.</w:t>
      </w:r>
    </w:p>
    <w:p>
      <w:pPr>
        <w:pStyle w:val="ListParagraph"/>
        <w:numPr>
          <w:ilvl w:val="0"/>
          <w:numId w:val="2"/>
        </w:numPr>
        <w:spacing w:after="80" w:line="300"/>
      </w:pPr>
      <w:r>
        <w:rPr>
          <w:rFonts w:ascii="Georgia" w:cs="Georgia" w:eastAsia="Georgia" w:hAnsi="Georgia"/>
          <w:color w:val="1A1A1A"/>
          <w:sz w:val="22"/>
          <w:szCs w:val="22"/>
        </w:rPr>
        <w:t xml:space="preserve">Composants MDX customs : Quote, Note, BookReference, RelatedProgram.</w:t>
      </w:r>
    </w:p>
    <w:p>
      <w:pPr>
        <w:spacing w:after="80" w:before="160"/>
      </w:pPr>
      <w:r>
        <w:rPr>
          <w:rFonts w:ascii="Arial" w:cs="Arial" w:eastAsia="Arial" w:hAnsi="Arial"/>
          <w:b/>
          <w:bCs/>
          <w:color w:val="0B1A2A"/>
          <w:sz w:val="22"/>
          <w:szCs w:val="22"/>
        </w:rPr>
        <w:t xml:space="preserve">ArticleShare (sticky latéral desktop)</w:t>
      </w:r>
    </w:p>
    <w:p>
      <w:pPr>
        <w:pStyle w:val="ListParagraph"/>
        <w:numPr>
          <w:ilvl w:val="0"/>
          <w:numId w:val="2"/>
        </w:numPr>
        <w:spacing w:after="80" w:line="300"/>
      </w:pPr>
      <w:r>
        <w:rPr>
          <w:rFonts w:ascii="Georgia" w:cs="Georgia" w:eastAsia="Georgia" w:hAnsi="Georgia"/>
          <w:color w:val="1A1A1A"/>
          <w:sz w:val="22"/>
          <w:szCs w:val="22"/>
        </w:rPr>
        <w:t xml:space="preserve">Props : article.</w:t>
      </w:r>
    </w:p>
    <w:p>
      <w:pPr>
        <w:pStyle w:val="ListParagraph"/>
        <w:numPr>
          <w:ilvl w:val="0"/>
          <w:numId w:val="2"/>
        </w:numPr>
        <w:spacing w:after="80" w:line="300"/>
      </w:pPr>
      <w:r>
        <w:rPr>
          <w:rFonts w:ascii="Georgia" w:cs="Georgia" w:eastAsia="Georgia" w:hAnsi="Georgia"/>
          <w:color w:val="1A1A1A"/>
          <w:sz w:val="22"/>
          <w:szCs w:val="22"/>
        </w:rPr>
        <w:t xml:space="preserve">Layout : barre verticale sticky avec boutons LinkedIn, X, Email, Copy link.</w:t>
      </w:r>
    </w:p>
    <w:p>
      <w:pPr>
        <w:pStyle w:val="ListParagraph"/>
        <w:numPr>
          <w:ilvl w:val="0"/>
          <w:numId w:val="2"/>
        </w:numPr>
        <w:spacing w:after="80" w:line="300"/>
      </w:pPr>
      <w:r>
        <w:rPr>
          <w:rFonts w:ascii="Georgia" w:cs="Georgia" w:eastAsia="Georgia" w:hAnsi="Georgia"/>
          <w:color w:val="1A1A1A"/>
          <w:sz w:val="22"/>
          <w:szCs w:val="22"/>
        </w:rPr>
        <w:t xml:space="preserve">Mobile : barre horizontale en bas de l'article.</w:t>
      </w:r>
    </w:p>
    <w:p>
      <w:pPr>
        <w:pStyle w:val="Heading2"/>
        <w:spacing w:after="200" w:before="360"/>
      </w:pPr>
      <w:r>
        <w:rPr>
          <w:rFonts w:ascii="Georgia" w:cs="Georgia" w:eastAsia="Georgia" w:hAnsi="Georgia"/>
          <w:b/>
          <w:bCs/>
          <w:color w:val="0B1A2A"/>
          <w:sz w:val="30"/>
          <w:szCs w:val="30"/>
        </w:rPr>
        <w:t xml:space="preserve">Composants Tunnel candidature (cf. Document 2)</w:t>
      </w:r>
    </w:p>
    <w:p>
      <w:pPr>
        <w:pStyle w:val="ListParagraph"/>
        <w:numPr>
          <w:ilvl w:val="0"/>
          <w:numId w:val="2"/>
        </w:numPr>
        <w:spacing w:after="80" w:line="300"/>
      </w:pPr>
      <w:r>
        <w:rPr>
          <w:rFonts w:ascii="Georgia" w:cs="Georgia" w:eastAsia="Georgia" w:hAnsi="Georgia"/>
          <w:color w:val="1A1A1A"/>
          <w:sz w:val="22"/>
          <w:szCs w:val="22"/>
        </w:rPr>
        <w:t xml:space="preserve">CandidatureFunnel — Stepper visuel à 6 étapes.</w:t>
      </w:r>
    </w:p>
    <w:p>
      <w:pPr>
        <w:pStyle w:val="ListParagraph"/>
        <w:numPr>
          <w:ilvl w:val="0"/>
          <w:numId w:val="2"/>
        </w:numPr>
        <w:spacing w:after="80" w:line="300"/>
      </w:pPr>
      <w:r>
        <w:rPr>
          <w:rFonts w:ascii="Georgia" w:cs="Georgia" w:eastAsia="Georgia" w:hAnsi="Georgia"/>
          <w:color w:val="1A1A1A"/>
          <w:sz w:val="22"/>
          <w:szCs w:val="22"/>
        </w:rPr>
        <w:t xml:space="preserve">CandidatureFormStep — Formulaire d'étape n.</w:t>
      </w:r>
    </w:p>
    <w:p>
      <w:pPr>
        <w:pStyle w:val="ListParagraph"/>
        <w:numPr>
          <w:ilvl w:val="0"/>
          <w:numId w:val="2"/>
        </w:numPr>
        <w:spacing w:after="80" w:line="300"/>
      </w:pPr>
      <w:r>
        <w:rPr>
          <w:rFonts w:ascii="Georgia" w:cs="Georgia" w:eastAsia="Georgia" w:hAnsi="Georgia"/>
          <w:color w:val="1A1A1A"/>
          <w:sz w:val="22"/>
          <w:szCs w:val="22"/>
        </w:rPr>
        <w:t xml:space="preserve">PsychometricTest — Test de recrutement (cf. Document Test Vague 2.5).</w:t>
      </w:r>
    </w:p>
    <w:p>
      <w:pPr>
        <w:pStyle w:val="ListParagraph"/>
        <w:numPr>
          <w:ilvl w:val="0"/>
          <w:numId w:val="2"/>
        </w:numPr>
        <w:spacing w:after="80" w:line="300"/>
      </w:pPr>
      <w:r>
        <w:rPr>
          <w:rFonts w:ascii="Georgia" w:cs="Georgia" w:eastAsia="Georgia" w:hAnsi="Georgia"/>
          <w:color w:val="1A1A1A"/>
          <w:sz w:val="22"/>
          <w:szCs w:val="22"/>
        </w:rPr>
        <w:t xml:space="preserve">CalendlyEmbed — Réservation entretien.</w:t>
      </w:r>
    </w:p>
    <w:p>
      <w:pPr>
        <w:pStyle w:val="ListParagraph"/>
        <w:numPr>
          <w:ilvl w:val="0"/>
          <w:numId w:val="2"/>
        </w:numPr>
        <w:spacing w:after="80" w:line="300"/>
      </w:pPr>
      <w:r>
        <w:rPr>
          <w:rFonts w:ascii="Georgia" w:cs="Georgia" w:eastAsia="Georgia" w:hAnsi="Georgia"/>
          <w:color w:val="1A1A1A"/>
          <w:sz w:val="22"/>
          <w:szCs w:val="22"/>
        </w:rPr>
        <w:t xml:space="preserve">ContractSignature — Signature électronique du contrat de licence.</w:t>
      </w:r>
    </w:p>
    <w:p>
      <w:pPr>
        <w:pStyle w:val="ListParagraph"/>
        <w:numPr>
          <w:ilvl w:val="0"/>
          <w:numId w:val="2"/>
        </w:numPr>
        <w:spacing w:after="80" w:line="300"/>
      </w:pPr>
      <w:r>
        <w:rPr>
          <w:rFonts w:ascii="Georgia" w:cs="Georgia" w:eastAsia="Georgia" w:hAnsi="Georgia"/>
          <w:color w:val="1A1A1A"/>
          <w:sz w:val="22"/>
          <w:szCs w:val="22"/>
        </w:rPr>
        <w:t xml:space="preserve">PaymentSuccess — Confirmation après Stripe.</w:t>
      </w:r>
    </w:p>
    <w:p>
      <w:pPr>
        <w:pStyle w:val="ListParagraph"/>
        <w:numPr>
          <w:ilvl w:val="0"/>
          <w:numId w:val="2"/>
        </w:numPr>
        <w:spacing w:after="80" w:line="300"/>
      </w:pPr>
      <w:r>
        <w:rPr>
          <w:rFonts w:ascii="Georgia" w:cs="Georgia" w:eastAsia="Georgia" w:hAnsi="Georgia"/>
          <w:color w:val="1A1A1A"/>
          <w:sz w:val="22"/>
          <w:szCs w:val="22"/>
        </w:rPr>
        <w:t xml:space="preserve">Tous ces composants sont détaillés dans le Document 2 de cette paire.</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SEO et performance</w:t>
      </w:r>
    </w:p>
    <w:p>
      <w:pPr>
        <w:spacing w:after="200" w:before="80"/>
      </w:pPr>
      <w:r>
        <w:rPr>
          <w:rFonts w:ascii="Arial" w:cs="Arial" w:eastAsia="Arial" w:hAnsi="Arial"/>
          <w:i/>
          <w:iCs/>
          <w:color w:val="6B6F76"/>
          <w:sz w:val="18"/>
          <w:szCs w:val="18"/>
        </w:rPr>
        <w:t xml:space="preserve">Stratégie SEO APEXER : autorité éditoriale et longue traîne, pas de mass linkbuilding. Performance : Core Web Vitals au vert, lighthouse &gt; 95 sur toutes les pages.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Stratégie SEO APEXER</w:t>
      </w:r>
    </w:p>
    <w:p>
      <w:pPr>
        <w:spacing w:after="120" w:line="320"/>
        <w:jc w:val="both"/>
      </w:pPr>
      <w:r>
        <w:rPr>
          <w:rFonts w:ascii="Georgia" w:cs="Georgia" w:eastAsia="Georgia" w:hAnsi="Georgia"/>
          <w:b w:val="false"/>
          <w:bCs w:val="false"/>
          <w:i w:val="false"/>
          <w:iCs w:val="false"/>
          <w:color w:val="1A1A1A"/>
          <w:sz w:val="22"/>
          <w:szCs w:val="22"/>
        </w:rPr>
        <w:t xml:space="preserve">APEXER ne cherche pas le trafic massif. APEXER cherche le trafic qualifié de personnes qui pourraient devenir Forgerons ou Maîtres-Forgerons. Cela oriente toute la stratégie SEO.</w:t>
      </w:r>
    </w:p>
    <w:p>
      <w:pPr>
        <w:spacing w:after="80" w:before="160"/>
      </w:pPr>
      <w:r>
        <w:rPr>
          <w:rFonts w:ascii="Arial" w:cs="Arial" w:eastAsia="Arial" w:hAnsi="Arial"/>
          <w:b/>
          <w:bCs/>
          <w:color w:val="0B1A2A"/>
          <w:sz w:val="22"/>
          <w:szCs w:val="22"/>
        </w:rPr>
        <w:t xml:space="preserve">Mots-clés prioritaires</w:t>
      </w:r>
    </w:p>
    <w:p>
      <w:pPr>
        <w:pStyle w:val="ListParagraph"/>
        <w:numPr>
          <w:ilvl w:val="0"/>
          <w:numId w:val="2"/>
        </w:numPr>
        <w:spacing w:after="80" w:line="300"/>
      </w:pPr>
      <w:r>
        <w:rPr>
          <w:rFonts w:ascii="Georgia" w:cs="Georgia" w:eastAsia="Georgia" w:hAnsi="Georgia"/>
          <w:color w:val="1A1A1A"/>
          <w:sz w:val="22"/>
          <w:szCs w:val="22"/>
        </w:rPr>
        <w:t xml:space="preserve">Mots-clés de marque : APEXER, Maître-Forgeron Fondateur, Forge APEXER, Henri-Pierre Ouhibi APEXER. Position 1 obligatoire dans les 90 jours après lancement.</w:t>
      </w:r>
    </w:p>
    <w:p>
      <w:pPr>
        <w:pStyle w:val="ListParagraph"/>
        <w:numPr>
          <w:ilvl w:val="0"/>
          <w:numId w:val="2"/>
        </w:numPr>
        <w:spacing w:after="80" w:line="300"/>
      </w:pPr>
      <w:r>
        <w:rPr>
          <w:rFonts w:ascii="Georgia" w:cs="Georgia" w:eastAsia="Georgia" w:hAnsi="Georgia"/>
          <w:color w:val="1A1A1A"/>
          <w:sz w:val="22"/>
          <w:szCs w:val="22"/>
        </w:rPr>
        <w:t xml:space="preserve">Mots-clés de catégorie longue traîne : « formation commerciale qui tient dans la durée », « performance commerciale durable », « routine commerciale top performers », « club commercial alternative BNI ». Position top 5 sous 12 mois.</w:t>
      </w:r>
    </w:p>
    <w:p>
      <w:pPr>
        <w:pStyle w:val="ListParagraph"/>
        <w:numPr>
          <w:ilvl w:val="0"/>
          <w:numId w:val="2"/>
        </w:numPr>
        <w:spacing w:after="80" w:line="300"/>
      </w:pPr>
      <w:r>
        <w:rPr>
          <w:rFonts w:ascii="Georgia" w:cs="Georgia" w:eastAsia="Georgia" w:hAnsi="Georgia"/>
          <w:color w:val="1A1A1A"/>
          <w:sz w:val="22"/>
          <w:szCs w:val="22"/>
        </w:rPr>
        <w:t xml:space="preserve">Mots-clés concurrentiels (BNI, BNI alternative, club d'affaires, club business, formation commerciale) : non prioritaires en v1, à reprendre en v2 quand l'autorité APEXER sera installée.</w:t>
      </w:r>
    </w:p>
    <w:p>
      <w:pPr>
        <w:spacing w:after="80" w:before="160"/>
      </w:pPr>
      <w:r>
        <w:rPr>
          <w:rFonts w:ascii="Arial" w:cs="Arial" w:eastAsia="Arial" w:hAnsi="Arial"/>
          <w:b/>
          <w:bCs/>
          <w:color w:val="0B1A2A"/>
          <w:sz w:val="22"/>
          <w:szCs w:val="22"/>
        </w:rPr>
        <w:t xml:space="preserve">Architecture des URLs</w:t>
      </w:r>
    </w:p>
    <w:p>
      <w:pPr>
        <w:pStyle w:val="ListParagraph"/>
        <w:numPr>
          <w:ilvl w:val="0"/>
          <w:numId w:val="2"/>
        </w:numPr>
        <w:spacing w:after="80" w:line="300"/>
      </w:pPr>
      <w:r>
        <w:rPr>
          <w:rFonts w:ascii="Georgia" w:cs="Georgia" w:eastAsia="Georgia" w:hAnsi="Georgia"/>
          <w:color w:val="1A1A1A"/>
          <w:sz w:val="22"/>
          <w:szCs w:val="22"/>
        </w:rPr>
        <w:t xml:space="preserve">URLs courtes et lisibles : /forge plutôt que /programme-forge-129-euros-par-mois.</w:t>
      </w:r>
    </w:p>
    <w:p>
      <w:pPr>
        <w:pStyle w:val="ListParagraph"/>
        <w:numPr>
          <w:ilvl w:val="0"/>
          <w:numId w:val="2"/>
        </w:numPr>
        <w:spacing w:after="80" w:line="300"/>
      </w:pPr>
      <w:r>
        <w:rPr>
          <w:rFonts w:ascii="Georgia" w:cs="Georgia" w:eastAsia="Georgia" w:hAnsi="Georgia"/>
          <w:color w:val="1A1A1A"/>
          <w:sz w:val="22"/>
          <w:szCs w:val="22"/>
        </w:rPr>
        <w:t xml:space="preserve">Pas d'extension .html. Pas de query string sauf cas spécifiques (filtres, A/B test).</w:t>
      </w:r>
    </w:p>
    <w:p>
      <w:pPr>
        <w:pStyle w:val="ListParagraph"/>
        <w:numPr>
          <w:ilvl w:val="0"/>
          <w:numId w:val="2"/>
        </w:numPr>
        <w:spacing w:after="80" w:line="300"/>
      </w:pPr>
      <w:r>
        <w:rPr>
          <w:rFonts w:ascii="Georgia" w:cs="Georgia" w:eastAsia="Georgia" w:hAnsi="Georgia"/>
          <w:color w:val="1A1A1A"/>
          <w:sz w:val="22"/>
          <w:szCs w:val="22"/>
        </w:rPr>
        <w:t xml:space="preserve">Slug articles : /journal/[année]-[mois]-[slug-court] pour permettre archivage propre.</w:t>
      </w:r>
    </w:p>
    <w:p>
      <w:pPr>
        <w:spacing w:after="80" w:before="160"/>
      </w:pPr>
      <w:r>
        <w:rPr>
          <w:rFonts w:ascii="Arial" w:cs="Arial" w:eastAsia="Arial" w:hAnsi="Arial"/>
          <w:b/>
          <w:bCs/>
          <w:color w:val="0B1A2A"/>
          <w:sz w:val="22"/>
          <w:szCs w:val="22"/>
        </w:rPr>
        <w:t xml:space="preserve">Métadonnées par page</w:t>
      </w:r>
    </w:p>
    <w:p>
      <w:pPr>
        <w:pStyle w:val="ListParagraph"/>
        <w:numPr>
          <w:ilvl w:val="0"/>
          <w:numId w:val="2"/>
        </w:numPr>
        <w:spacing w:after="80" w:line="300"/>
      </w:pPr>
      <w:r>
        <w:rPr>
          <w:rFonts w:ascii="Georgia" w:cs="Georgia" w:eastAsia="Georgia" w:hAnsi="Georgia"/>
          <w:color w:val="1A1A1A"/>
          <w:sz w:val="22"/>
          <w:szCs w:val="22"/>
        </w:rPr>
        <w:t xml:space="preserve">Title : 50-60 caractères, format "[Titre de page] · APEXER".</w:t>
      </w:r>
    </w:p>
    <w:p>
      <w:pPr>
        <w:pStyle w:val="ListParagraph"/>
        <w:numPr>
          <w:ilvl w:val="0"/>
          <w:numId w:val="2"/>
        </w:numPr>
        <w:spacing w:after="80" w:line="300"/>
      </w:pPr>
      <w:r>
        <w:rPr>
          <w:rFonts w:ascii="Georgia" w:cs="Georgia" w:eastAsia="Georgia" w:hAnsi="Georgia"/>
          <w:color w:val="1A1A1A"/>
          <w:sz w:val="22"/>
          <w:szCs w:val="22"/>
        </w:rPr>
        <w:t xml:space="preserve">Description : 140-160 caractères, factuelle, inclut le bénéfice principal.</w:t>
      </w:r>
    </w:p>
    <w:p>
      <w:pPr>
        <w:pStyle w:val="ListParagraph"/>
        <w:numPr>
          <w:ilvl w:val="0"/>
          <w:numId w:val="2"/>
        </w:numPr>
        <w:spacing w:after="80" w:line="300"/>
      </w:pPr>
      <w:r>
        <w:rPr>
          <w:rFonts w:ascii="Georgia" w:cs="Georgia" w:eastAsia="Georgia" w:hAnsi="Georgia"/>
          <w:color w:val="1A1A1A"/>
          <w:sz w:val="22"/>
          <w:szCs w:val="22"/>
        </w:rPr>
        <w:t xml:space="preserve">Open Graph : image dédiée par page (1200x630), titre court, description complète.</w:t>
      </w:r>
    </w:p>
    <w:p>
      <w:pPr>
        <w:pStyle w:val="ListParagraph"/>
        <w:numPr>
          <w:ilvl w:val="0"/>
          <w:numId w:val="2"/>
        </w:numPr>
        <w:spacing w:after="80" w:line="300"/>
      </w:pPr>
      <w:r>
        <w:rPr>
          <w:rFonts w:ascii="Georgia" w:cs="Georgia" w:eastAsia="Georgia" w:hAnsi="Georgia"/>
          <w:color w:val="1A1A1A"/>
          <w:sz w:val="22"/>
          <w:szCs w:val="22"/>
        </w:rPr>
        <w:t xml:space="preserve">Twitter Card : summary_large_image avec image identique à OG.</w:t>
      </w:r>
    </w:p>
    <w:p>
      <w:pPr>
        <w:pStyle w:val="ListParagraph"/>
        <w:numPr>
          <w:ilvl w:val="0"/>
          <w:numId w:val="2"/>
        </w:numPr>
        <w:spacing w:after="80" w:line="300"/>
      </w:pPr>
      <w:r>
        <w:rPr>
          <w:rFonts w:ascii="Georgia" w:cs="Georgia" w:eastAsia="Georgia" w:hAnsi="Georgia"/>
          <w:color w:val="1A1A1A"/>
          <w:sz w:val="22"/>
          <w:szCs w:val="22"/>
        </w:rPr>
        <w:t xml:space="preserve">Canonical : auto-généré par Next.js, jamais cross-domain.</w:t>
      </w:r>
    </w:p>
    <w:p>
      <w:pPr>
        <w:spacing w:after="80" w:before="160"/>
      </w:pPr>
      <w:r>
        <w:rPr>
          <w:rFonts w:ascii="Arial" w:cs="Arial" w:eastAsia="Arial" w:hAnsi="Arial"/>
          <w:b/>
          <w:bCs/>
          <w:color w:val="0B1A2A"/>
          <w:sz w:val="22"/>
          <w:szCs w:val="22"/>
        </w:rPr>
        <w:t xml:space="preserve">Schema.org structured data</w:t>
      </w:r>
    </w:p>
    <w:p>
      <w:pPr>
        <w:pStyle w:val="ListParagraph"/>
        <w:numPr>
          <w:ilvl w:val="0"/>
          <w:numId w:val="2"/>
        </w:numPr>
        <w:spacing w:after="80" w:line="300"/>
      </w:pPr>
      <w:r>
        <w:rPr>
          <w:rFonts w:ascii="Georgia" w:cs="Georgia" w:eastAsia="Georgia" w:hAnsi="Georgia"/>
          <w:color w:val="1A1A1A"/>
          <w:sz w:val="22"/>
          <w:szCs w:val="22"/>
        </w:rPr>
        <w:t xml:space="preserve">Page d'accueil : Organization (KAHP SAS) + WebSite + SearchAction.</w:t>
      </w:r>
    </w:p>
    <w:p>
      <w:pPr>
        <w:pStyle w:val="ListParagraph"/>
        <w:numPr>
          <w:ilvl w:val="0"/>
          <w:numId w:val="2"/>
        </w:numPr>
        <w:spacing w:after="80" w:line="300"/>
      </w:pPr>
      <w:r>
        <w:rPr>
          <w:rFonts w:ascii="Georgia" w:cs="Georgia" w:eastAsia="Georgia" w:hAnsi="Georgia"/>
          <w:color w:val="1A1A1A"/>
          <w:sz w:val="22"/>
          <w:szCs w:val="22"/>
        </w:rPr>
        <w:t xml:space="preserve">Pages programmes : Course (avec prix, durée, instructor).</w:t>
      </w:r>
    </w:p>
    <w:p>
      <w:pPr>
        <w:pStyle w:val="ListParagraph"/>
        <w:numPr>
          <w:ilvl w:val="0"/>
          <w:numId w:val="2"/>
        </w:numPr>
        <w:spacing w:after="80" w:line="300"/>
      </w:pPr>
      <w:r>
        <w:rPr>
          <w:rFonts w:ascii="Georgia" w:cs="Georgia" w:eastAsia="Georgia" w:hAnsi="Georgia"/>
          <w:color w:val="1A1A1A"/>
          <w:sz w:val="22"/>
          <w:szCs w:val="22"/>
        </w:rPr>
        <w:t xml:space="preserve">Pages articles : Article (avec author, datePublished, image, articleBody).</w:t>
      </w:r>
    </w:p>
    <w:p>
      <w:pPr>
        <w:pStyle w:val="ListParagraph"/>
        <w:numPr>
          <w:ilvl w:val="0"/>
          <w:numId w:val="2"/>
        </w:numPr>
        <w:spacing w:after="80" w:line="300"/>
      </w:pPr>
      <w:r>
        <w:rPr>
          <w:rFonts w:ascii="Georgia" w:cs="Georgia" w:eastAsia="Georgia" w:hAnsi="Georgia"/>
          <w:color w:val="1A1A1A"/>
          <w:sz w:val="22"/>
          <w:szCs w:val="22"/>
        </w:rPr>
        <w:t xml:space="preserve">Pages MFF (réseau) : Person (avec jobTitle, address, alumniOf).</w:t>
      </w:r>
    </w:p>
    <w:p>
      <w:pPr>
        <w:pStyle w:val="ListParagraph"/>
        <w:numPr>
          <w:ilvl w:val="0"/>
          <w:numId w:val="2"/>
        </w:numPr>
        <w:spacing w:after="80" w:line="300"/>
      </w:pPr>
      <w:r>
        <w:rPr>
          <w:rFonts w:ascii="Georgia" w:cs="Georgia" w:eastAsia="Georgia" w:hAnsi="Georgia"/>
          <w:color w:val="1A1A1A"/>
          <w:sz w:val="22"/>
          <w:szCs w:val="22"/>
        </w:rPr>
        <w:t xml:space="preserve">FAQ : FAQPage avec mainEntity.</w:t>
      </w:r>
    </w:p>
    <w:p>
      <w:pPr>
        <w:pStyle w:val="Heading2"/>
        <w:spacing w:after="200" w:before="360"/>
      </w:pPr>
      <w:r>
        <w:rPr>
          <w:rFonts w:ascii="Georgia" w:cs="Georgia" w:eastAsia="Georgia" w:hAnsi="Georgia"/>
          <w:b/>
          <w:bCs/>
          <w:color w:val="0B1A2A"/>
          <w:sz w:val="30"/>
          <w:szCs w:val="30"/>
        </w:rPr>
        <w:t xml:space="preserve">Performance et Core Web Vitals</w:t>
      </w:r>
    </w:p>
    <w:p>
      <w:pPr>
        <w:spacing w:after="80" w:before="160"/>
      </w:pPr>
      <w:r>
        <w:rPr>
          <w:rFonts w:ascii="Arial" w:cs="Arial" w:eastAsia="Arial" w:hAnsi="Arial"/>
          <w:b/>
          <w:bCs/>
          <w:color w:val="0B1A2A"/>
          <w:sz w:val="22"/>
          <w:szCs w:val="22"/>
        </w:rPr>
        <w:t xml:space="preserve">Cibles de performance</w:t>
      </w:r>
    </w:p>
    <w:p>
      <w:pPr>
        <w:pStyle w:val="ListParagraph"/>
        <w:numPr>
          <w:ilvl w:val="0"/>
          <w:numId w:val="2"/>
        </w:numPr>
        <w:spacing w:after="80" w:line="300"/>
      </w:pPr>
      <w:r>
        <w:rPr>
          <w:rFonts w:ascii="Georgia" w:cs="Georgia" w:eastAsia="Georgia" w:hAnsi="Georgia"/>
          <w:color w:val="1A1A1A"/>
          <w:sz w:val="22"/>
          <w:szCs w:val="22"/>
        </w:rPr>
        <w:t xml:space="preserve">LCP (Largest Contentful Paint) &lt; 2.5s sur toutes les pages.</w:t>
      </w:r>
    </w:p>
    <w:p>
      <w:pPr>
        <w:pStyle w:val="ListParagraph"/>
        <w:numPr>
          <w:ilvl w:val="0"/>
          <w:numId w:val="2"/>
        </w:numPr>
        <w:spacing w:after="80" w:line="300"/>
      </w:pPr>
      <w:r>
        <w:rPr>
          <w:rFonts w:ascii="Georgia" w:cs="Georgia" w:eastAsia="Georgia" w:hAnsi="Georgia"/>
          <w:color w:val="1A1A1A"/>
          <w:sz w:val="22"/>
          <w:szCs w:val="22"/>
        </w:rPr>
        <w:t xml:space="preserve">FID/INP (First Input Delay / Interaction to Next Paint) &lt; 100ms / &lt; 200ms.</w:t>
      </w:r>
    </w:p>
    <w:p>
      <w:pPr>
        <w:pStyle w:val="ListParagraph"/>
        <w:numPr>
          <w:ilvl w:val="0"/>
          <w:numId w:val="2"/>
        </w:numPr>
        <w:spacing w:after="80" w:line="300"/>
      </w:pPr>
      <w:r>
        <w:rPr>
          <w:rFonts w:ascii="Georgia" w:cs="Georgia" w:eastAsia="Georgia" w:hAnsi="Georgia"/>
          <w:color w:val="1A1A1A"/>
          <w:sz w:val="22"/>
          <w:szCs w:val="22"/>
        </w:rPr>
        <w:t xml:space="preserve">CLS (Cumulative Layout Shift) &lt; 0.1.</w:t>
      </w:r>
    </w:p>
    <w:p>
      <w:pPr>
        <w:pStyle w:val="ListParagraph"/>
        <w:numPr>
          <w:ilvl w:val="0"/>
          <w:numId w:val="2"/>
        </w:numPr>
        <w:spacing w:after="80" w:line="300"/>
      </w:pPr>
      <w:r>
        <w:rPr>
          <w:rFonts w:ascii="Georgia" w:cs="Georgia" w:eastAsia="Georgia" w:hAnsi="Georgia"/>
          <w:color w:val="1A1A1A"/>
          <w:sz w:val="22"/>
          <w:szCs w:val="22"/>
        </w:rPr>
        <w:t xml:space="preserve">Lighthouse Performance &gt; 95 sur desktop, &gt; 90 sur mobile.</w:t>
      </w:r>
    </w:p>
    <w:p>
      <w:pPr>
        <w:pStyle w:val="ListParagraph"/>
        <w:numPr>
          <w:ilvl w:val="0"/>
          <w:numId w:val="2"/>
        </w:numPr>
        <w:spacing w:after="80" w:line="300"/>
      </w:pPr>
      <w:r>
        <w:rPr>
          <w:rFonts w:ascii="Georgia" w:cs="Georgia" w:eastAsia="Georgia" w:hAnsi="Georgia"/>
          <w:color w:val="1A1A1A"/>
          <w:sz w:val="22"/>
          <w:szCs w:val="22"/>
        </w:rPr>
        <w:t xml:space="preserve">Bundle size : &lt; 150 Ko gzipped pour le JS initial homepage.</w:t>
      </w:r>
    </w:p>
    <w:p>
      <w:pPr>
        <w:spacing w:after="80" w:before="160"/>
      </w:pPr>
      <w:r>
        <w:rPr>
          <w:rFonts w:ascii="Arial" w:cs="Arial" w:eastAsia="Arial" w:hAnsi="Arial"/>
          <w:b/>
          <w:bCs/>
          <w:color w:val="0B1A2A"/>
          <w:sz w:val="22"/>
          <w:szCs w:val="22"/>
        </w:rPr>
        <w:t xml:space="preserve">Optimisations à appliquer</w:t>
      </w:r>
    </w:p>
    <w:p>
      <w:pPr>
        <w:pStyle w:val="ListParagraph"/>
        <w:numPr>
          <w:ilvl w:val="0"/>
          <w:numId w:val="2"/>
        </w:numPr>
        <w:spacing w:after="80" w:line="300"/>
      </w:pPr>
      <w:r>
        <w:rPr>
          <w:rFonts w:ascii="Georgia" w:cs="Georgia" w:eastAsia="Georgia" w:hAnsi="Georgia"/>
          <w:color w:val="1A1A1A"/>
          <w:sz w:val="22"/>
          <w:szCs w:val="22"/>
        </w:rPr>
        <w:t xml:space="preserve">Images : utilisation systématique de next/image avec lazy loading, formats AVIF + WebP + JPG fallback, srcset adapté.</w:t>
      </w:r>
    </w:p>
    <w:p>
      <w:pPr>
        <w:pStyle w:val="ListParagraph"/>
        <w:numPr>
          <w:ilvl w:val="0"/>
          <w:numId w:val="2"/>
        </w:numPr>
        <w:spacing w:after="80" w:line="300"/>
      </w:pPr>
      <w:r>
        <w:rPr>
          <w:rFonts w:ascii="Georgia" w:cs="Georgia" w:eastAsia="Georgia" w:hAnsi="Georgia"/>
          <w:color w:val="1A1A1A"/>
          <w:sz w:val="22"/>
          <w:szCs w:val="22"/>
        </w:rPr>
        <w:t xml:space="preserve">Fonts : DM Sans et Inter en self-hosted via next/font, preload des poids critiques (400, 600), display swap pour éviter FOIT.</w:t>
      </w:r>
    </w:p>
    <w:p>
      <w:pPr>
        <w:pStyle w:val="ListParagraph"/>
        <w:numPr>
          <w:ilvl w:val="0"/>
          <w:numId w:val="2"/>
        </w:numPr>
        <w:spacing w:after="80" w:line="300"/>
      </w:pPr>
      <w:r>
        <w:rPr>
          <w:rFonts w:ascii="Georgia" w:cs="Georgia" w:eastAsia="Georgia" w:hAnsi="Georgia"/>
          <w:color w:val="1A1A1A"/>
          <w:sz w:val="22"/>
          <w:szCs w:val="22"/>
        </w:rPr>
        <w:t xml:space="preserve">Code splitting : automatique par Next.js App Router, vérifier que les composants lourds (ForgesMap, CandidatureFunnel, ArticleBody) sont en dynamic import.</w:t>
      </w:r>
    </w:p>
    <w:p>
      <w:pPr>
        <w:pStyle w:val="ListParagraph"/>
        <w:numPr>
          <w:ilvl w:val="0"/>
          <w:numId w:val="2"/>
        </w:numPr>
        <w:spacing w:after="80" w:line="300"/>
      </w:pPr>
      <w:r>
        <w:rPr>
          <w:rFonts w:ascii="Georgia" w:cs="Georgia" w:eastAsia="Georgia" w:hAnsi="Georgia"/>
          <w:color w:val="1A1A1A"/>
          <w:sz w:val="22"/>
          <w:szCs w:val="22"/>
        </w:rPr>
        <w:t xml:space="preserve">Pas de bibliothèque CSS-in-JS runtime. Tailwind compile à la build.</w:t>
      </w:r>
    </w:p>
    <w:p>
      <w:pPr>
        <w:pStyle w:val="ListParagraph"/>
        <w:numPr>
          <w:ilvl w:val="0"/>
          <w:numId w:val="2"/>
        </w:numPr>
        <w:spacing w:after="80" w:line="300"/>
      </w:pPr>
      <w:r>
        <w:rPr>
          <w:rFonts w:ascii="Georgia" w:cs="Georgia" w:eastAsia="Georgia" w:hAnsi="Georgia"/>
          <w:color w:val="1A1A1A"/>
          <w:sz w:val="22"/>
          <w:szCs w:val="22"/>
        </w:rPr>
        <w:t xml:space="preserve">Cache : middleware Vercel Edge avec stale-while-revalidate sur les pages statiques, revalidation incrémentale sur les pages dynamiques (journal, ressources).</w:t>
      </w:r>
    </w:p>
    <w:p>
      <w:pPr>
        <w:pStyle w:val="ListParagraph"/>
        <w:numPr>
          <w:ilvl w:val="0"/>
          <w:numId w:val="2"/>
        </w:numPr>
        <w:spacing w:after="80" w:line="300"/>
      </w:pPr>
      <w:r>
        <w:rPr>
          <w:rFonts w:ascii="Georgia" w:cs="Georgia" w:eastAsia="Georgia" w:hAnsi="Georgia"/>
          <w:color w:val="1A1A1A"/>
          <w:sz w:val="22"/>
          <w:szCs w:val="22"/>
        </w:rPr>
        <w:t xml:space="preserve">Images Open Graph : générées statiquement à la build via @vercel/og, pas régénérées à chaque requête.</w:t>
      </w:r>
    </w:p>
    <w:p>
      <w:pPr>
        <w:spacing w:after="80" w:before="160"/>
      </w:pPr>
      <w:r>
        <w:rPr>
          <w:rFonts w:ascii="Arial" w:cs="Arial" w:eastAsia="Arial" w:hAnsi="Arial"/>
          <w:b/>
          <w:bCs/>
          <w:color w:val="0B1A2A"/>
          <w:sz w:val="22"/>
          <w:szCs w:val="22"/>
        </w:rPr>
        <w:t xml:space="preserve">Accessibilité (WCAG 2.1 AA)</w:t>
      </w:r>
    </w:p>
    <w:p>
      <w:pPr>
        <w:pStyle w:val="ListParagraph"/>
        <w:numPr>
          <w:ilvl w:val="0"/>
          <w:numId w:val="2"/>
        </w:numPr>
        <w:spacing w:after="80" w:line="300"/>
      </w:pPr>
      <w:r>
        <w:rPr>
          <w:rFonts w:ascii="Georgia" w:cs="Georgia" w:eastAsia="Georgia" w:hAnsi="Georgia"/>
          <w:color w:val="1A1A1A"/>
          <w:sz w:val="22"/>
          <w:szCs w:val="22"/>
        </w:rPr>
        <w:t xml:space="preserve">Contraste : texte navy sur fond blanc = ratio 16:1 (AAA), texte navy sur fond light = ratio 14:1 (AAA).</w:t>
      </w:r>
    </w:p>
    <w:p>
      <w:pPr>
        <w:pStyle w:val="ListParagraph"/>
        <w:numPr>
          <w:ilvl w:val="0"/>
          <w:numId w:val="2"/>
        </w:numPr>
        <w:spacing w:after="80" w:line="300"/>
      </w:pPr>
      <w:r>
        <w:rPr>
          <w:rFonts w:ascii="Georgia" w:cs="Georgia" w:eastAsia="Georgia" w:hAnsi="Georgia"/>
          <w:color w:val="1A1A1A"/>
          <w:sz w:val="22"/>
          <w:szCs w:val="22"/>
        </w:rPr>
        <w:t xml:space="preserve">Navigation au clavier : tous les CTAs et liens accessibles via Tab, focus visible avec outline gold.</w:t>
      </w:r>
    </w:p>
    <w:p>
      <w:pPr>
        <w:pStyle w:val="ListParagraph"/>
        <w:numPr>
          <w:ilvl w:val="0"/>
          <w:numId w:val="2"/>
        </w:numPr>
        <w:spacing w:after="80" w:line="300"/>
      </w:pPr>
      <w:r>
        <w:rPr>
          <w:rFonts w:ascii="Georgia" w:cs="Georgia" w:eastAsia="Georgia" w:hAnsi="Georgia"/>
          <w:color w:val="1A1A1A"/>
          <w:sz w:val="22"/>
          <w:szCs w:val="22"/>
        </w:rPr>
        <w:t xml:space="preserve">Textes alternatifs : tous les images avec alt précis (pas de "image décorative" en abus).</w:t>
      </w:r>
    </w:p>
    <w:p>
      <w:pPr>
        <w:pStyle w:val="ListParagraph"/>
        <w:numPr>
          <w:ilvl w:val="0"/>
          <w:numId w:val="2"/>
        </w:numPr>
        <w:spacing w:after="80" w:line="300"/>
      </w:pPr>
      <w:r>
        <w:rPr>
          <w:rFonts w:ascii="Georgia" w:cs="Georgia" w:eastAsia="Georgia" w:hAnsi="Georgia"/>
          <w:color w:val="1A1A1A"/>
          <w:sz w:val="22"/>
          <w:szCs w:val="22"/>
        </w:rPr>
        <w:t xml:space="preserve">Sémantique HTML : utilisation correcte de header/main/nav/article/section/aside.</w:t>
      </w:r>
    </w:p>
    <w:p>
      <w:pPr>
        <w:pStyle w:val="ListParagraph"/>
        <w:numPr>
          <w:ilvl w:val="0"/>
          <w:numId w:val="2"/>
        </w:numPr>
        <w:spacing w:after="80" w:line="300"/>
      </w:pPr>
      <w:r>
        <w:rPr>
          <w:rFonts w:ascii="Georgia" w:cs="Georgia" w:eastAsia="Georgia" w:hAnsi="Georgia"/>
          <w:color w:val="1A1A1A"/>
          <w:sz w:val="22"/>
          <w:szCs w:val="22"/>
        </w:rPr>
        <w:t xml:space="preserve">ARIA : minimal, uniquement quand nécessaire. Préférer la sémantique native.</w:t>
      </w:r>
    </w:p>
    <w:p>
      <w:pPr>
        <w:pStyle w:val="Heading2"/>
        <w:spacing w:after="200" w:before="360"/>
      </w:pPr>
      <w:r>
        <w:rPr>
          <w:rFonts w:ascii="Georgia" w:cs="Georgia" w:eastAsia="Georgia" w:hAnsi="Georgia"/>
          <w:b/>
          <w:bCs/>
          <w:color w:val="0B1A2A"/>
          <w:sz w:val="30"/>
          <w:szCs w:val="30"/>
        </w:rPr>
        <w:t xml:space="preserve">Analytics et tracking</w:t>
      </w:r>
    </w:p>
    <w:p>
      <w:pPr>
        <w:pStyle w:val="ListParagraph"/>
        <w:numPr>
          <w:ilvl w:val="0"/>
          <w:numId w:val="2"/>
        </w:numPr>
        <w:spacing w:after="80" w:line="300"/>
      </w:pPr>
      <w:r>
        <w:rPr>
          <w:rFonts w:ascii="Georgia" w:cs="Georgia" w:eastAsia="Georgia" w:hAnsi="Georgia"/>
          <w:color w:val="1A1A1A"/>
          <w:sz w:val="22"/>
          <w:szCs w:val="22"/>
        </w:rPr>
        <w:t xml:space="preserve">Vercel Analytics (gratuit) : Core Web Vitals temps réel + trafic basique.</w:t>
      </w:r>
    </w:p>
    <w:p>
      <w:pPr>
        <w:pStyle w:val="ListParagraph"/>
        <w:numPr>
          <w:ilvl w:val="0"/>
          <w:numId w:val="2"/>
        </w:numPr>
        <w:spacing w:after="80" w:line="300"/>
      </w:pPr>
      <w:r>
        <w:rPr>
          <w:rFonts w:ascii="Georgia" w:cs="Georgia" w:eastAsia="Georgia" w:hAnsi="Georgia"/>
          <w:color w:val="1A1A1A"/>
          <w:sz w:val="22"/>
          <w:szCs w:val="22"/>
        </w:rPr>
        <w:t xml:space="preserve">PostHog (cf. Document 1) : événements custom (page_view, candidature_started, programme_card_clicked, faq_opened, article_read), funnels (homepage → page programme → tunnel → conversion), session replay sur les 100 premières sessions de chaque nouvelle page.</w:t>
      </w:r>
    </w:p>
    <w:p>
      <w:pPr>
        <w:pStyle w:val="ListParagraph"/>
        <w:numPr>
          <w:ilvl w:val="0"/>
          <w:numId w:val="2"/>
        </w:numPr>
        <w:spacing w:after="80" w:line="300"/>
      </w:pPr>
      <w:r>
        <w:rPr>
          <w:rFonts w:ascii="Georgia" w:cs="Georgia" w:eastAsia="Georgia" w:hAnsi="Georgia"/>
          <w:color w:val="1A1A1A"/>
          <w:sz w:val="22"/>
          <w:szCs w:val="22"/>
        </w:rPr>
        <w:t xml:space="preserve">Sentry : monitoring d'erreurs (cf. Document 1).</w:t>
      </w:r>
    </w:p>
    <w:p>
      <w:pPr>
        <w:pStyle w:val="ListParagraph"/>
        <w:numPr>
          <w:ilvl w:val="0"/>
          <w:numId w:val="2"/>
        </w:numPr>
        <w:spacing w:after="80" w:line="300"/>
      </w:pPr>
      <w:r>
        <w:rPr>
          <w:rFonts w:ascii="Georgia" w:cs="Georgia" w:eastAsia="Georgia" w:hAnsi="Georgia"/>
          <w:color w:val="1A1A1A"/>
          <w:sz w:val="22"/>
          <w:szCs w:val="22"/>
        </w:rPr>
        <w:t xml:space="preserve">Pas de Google Analytics. Trop intrusif RGPD, redondant avec PostHog.</w:t>
      </w:r>
    </w:p>
    <w:p>
      <w:pPr>
        <w:pStyle w:val="Heading2"/>
        <w:spacing w:after="200" w:before="360"/>
      </w:pPr>
      <w:r>
        <w:rPr>
          <w:rFonts w:ascii="Georgia" w:cs="Georgia" w:eastAsia="Georgia" w:hAnsi="Georgia"/>
          <w:b/>
          <w:bCs/>
          <w:color w:val="0B1A2A"/>
          <w:sz w:val="30"/>
          <w:szCs w:val="30"/>
        </w:rPr>
        <w:t xml:space="preserve">Cookies et consentement RGPD</w:t>
      </w:r>
    </w:p>
    <w:p>
      <w:pPr>
        <w:pStyle w:val="ListParagraph"/>
        <w:numPr>
          <w:ilvl w:val="0"/>
          <w:numId w:val="2"/>
        </w:numPr>
        <w:spacing w:after="80" w:line="300"/>
      </w:pPr>
      <w:r>
        <w:rPr>
          <w:rFonts w:ascii="Georgia" w:cs="Georgia" w:eastAsia="Georgia" w:hAnsi="Georgia"/>
          <w:color w:val="1A1A1A"/>
          <w:sz w:val="22"/>
          <w:szCs w:val="22"/>
        </w:rPr>
        <w:t xml:space="preserve">Bannière cookies au premier visit, conforme RGPD : refus aussi simple que l'acceptation, pas de précoché, libellés clairs.</w:t>
      </w:r>
    </w:p>
    <w:p>
      <w:pPr>
        <w:pStyle w:val="ListParagraph"/>
        <w:numPr>
          <w:ilvl w:val="0"/>
          <w:numId w:val="2"/>
        </w:numPr>
        <w:spacing w:after="80" w:line="300"/>
      </w:pPr>
      <w:r>
        <w:rPr>
          <w:rFonts w:ascii="Georgia" w:cs="Georgia" w:eastAsia="Georgia" w:hAnsi="Georgia"/>
          <w:color w:val="1A1A1A"/>
          <w:sz w:val="22"/>
          <w:szCs w:val="22"/>
        </w:rPr>
        <w:t xml:space="preserve">Cookies essentiels (session, panier) : sans consentement requis.</w:t>
      </w:r>
    </w:p>
    <w:p>
      <w:pPr>
        <w:pStyle w:val="ListParagraph"/>
        <w:numPr>
          <w:ilvl w:val="0"/>
          <w:numId w:val="2"/>
        </w:numPr>
        <w:spacing w:after="80" w:line="300"/>
      </w:pPr>
      <w:r>
        <w:rPr>
          <w:rFonts w:ascii="Georgia" w:cs="Georgia" w:eastAsia="Georgia" w:hAnsi="Georgia"/>
          <w:color w:val="1A1A1A"/>
          <w:sz w:val="22"/>
          <w:szCs w:val="22"/>
        </w:rPr>
        <w:t xml:space="preserve">Cookies analytics (PostHog) : consentement explicite requis. PostHog en mode anonymisé sans consentement, identifié avec consentement.</w:t>
      </w:r>
    </w:p>
    <w:p>
      <w:pPr>
        <w:pStyle w:val="ListParagraph"/>
        <w:numPr>
          <w:ilvl w:val="0"/>
          <w:numId w:val="2"/>
        </w:numPr>
        <w:spacing w:after="80" w:line="300"/>
      </w:pPr>
      <w:r>
        <w:rPr>
          <w:rFonts w:ascii="Georgia" w:cs="Georgia" w:eastAsia="Georgia" w:hAnsi="Georgia"/>
          <w:color w:val="1A1A1A"/>
          <w:sz w:val="22"/>
          <w:szCs w:val="22"/>
        </w:rPr>
        <w:t xml:space="preserve">Cookies marketing : aucun en v1. À reconsidérer en v2 si remarketing.</w:t>
      </w:r>
    </w:p>
    <w:p>
      <w:pPr>
        <w:pStyle w:val="ListParagraph"/>
        <w:numPr>
          <w:ilvl w:val="0"/>
          <w:numId w:val="2"/>
        </w:numPr>
        <w:spacing w:after="80" w:line="300"/>
      </w:pPr>
      <w:r>
        <w:rPr>
          <w:rFonts w:ascii="Georgia" w:cs="Georgia" w:eastAsia="Georgia" w:hAnsi="Georgia"/>
          <w:color w:val="1A1A1A"/>
          <w:sz w:val="22"/>
          <w:szCs w:val="22"/>
        </w:rPr>
        <w:t xml:space="preserve">Page /legal/cookies : liste exhaustive des cookies, finalités, durées de conservation, possibilité de modifier ses préférences.</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Responsive design et compatibilité</w:t>
      </w:r>
    </w:p>
    <w:p>
      <w:pPr>
        <w:spacing w:after="200" w:before="80"/>
      </w:pPr>
      <w:r>
        <w:rPr>
          <w:rFonts w:ascii="Arial" w:cs="Arial" w:eastAsia="Arial" w:hAnsi="Arial"/>
          <w:i/>
          <w:iCs/>
          <w:color w:val="6B6F76"/>
          <w:sz w:val="18"/>
          <w:szCs w:val="18"/>
        </w:rPr>
        <w:t xml:space="preserve">Mobile-first par défaut. Le site doit être impeccable sur mobile, parce que la majorité du trafic premier touch sera mobile (LinkedIn, presse, partage social).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Breakpoints APEXER</w:t>
      </w:r>
    </w:p>
    <w:p>
      <w:pPr>
        <w:spacing w:after="120" w:line="320"/>
        <w:jc w:val="both"/>
      </w:pPr>
      <w:r>
        <w:rPr>
          <w:rFonts w:ascii="Georgia" w:cs="Georgia" w:eastAsia="Georgia" w:hAnsi="Georgia"/>
          <w:b w:val="false"/>
          <w:bCs w:val="false"/>
          <w:i w:val="false"/>
          <w:iCs w:val="false"/>
          <w:color w:val="1A1A1A"/>
          <w:sz w:val="22"/>
          <w:szCs w:val="22"/>
        </w:rPr>
        <w:t xml:space="preserve">Système Tailwind standard, défini dans le Document 1. Rappel des seuils.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BREAKPOINT</w:t>
            </w:r>
          </w:p>
        </w:tc>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SEUIL</w:t>
            </w:r>
          </w:p>
        </w:tc>
        <w:tc>
          <w:tcPr>
            <w:tcW w:type="dxa" w:w="47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USAGE TYPE</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default (mobile)</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0 - 639px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Smartphones. Layout 1 colonne, navigation burger, CTAs full-width.</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sm:</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640px+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Grands smartphones, petites tablettes portrait. Layout 1-2 colonnes.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md:</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768px+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Tablettes. Layout 2 colonnes possible, navigation desktop si peu d'items.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lg:</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1024px+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Petits desktops, tablettes paysage. Layout 3 colonnes, navigation desktop systématique.</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xl:</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1280px+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Desktops standards. Layout optimal, max-w-wide actif.</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2xl:</w:t>
            </w:r>
          </w:p>
        </w:tc>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1536px+</w:t>
            </w:r>
          </w:p>
        </w:tc>
        <w:tc>
          <w:tcPr>
            <w:tcW w:type="dxa" w:w="4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Grands écrans. Layout 4 colonnes possible, padding latéral généreux.</w:t>
            </w:r>
          </w:p>
        </w:tc>
      </w:tr>
    </w:tbl>
    <w:p>
      <w:pPr>
        <w:pStyle w:val="Heading2"/>
        <w:spacing w:after="200" w:before="360"/>
      </w:pPr>
      <w:r>
        <w:rPr>
          <w:rFonts w:ascii="Georgia" w:cs="Georgia" w:eastAsia="Georgia" w:hAnsi="Georgia"/>
          <w:b/>
          <w:bCs/>
          <w:color w:val="0B1A2A"/>
          <w:sz w:val="30"/>
          <w:szCs w:val="30"/>
        </w:rPr>
        <w:t xml:space="preserve">Adaptations spécifiques par breakpoint</w:t>
      </w:r>
    </w:p>
    <w:p>
      <w:pPr>
        <w:spacing w:after="80" w:before="160"/>
      </w:pPr>
      <w:r>
        <w:rPr>
          <w:rFonts w:ascii="Arial" w:cs="Arial" w:eastAsia="Arial" w:hAnsi="Arial"/>
          <w:b/>
          <w:bCs/>
          <w:color w:val="0B1A2A"/>
          <w:sz w:val="22"/>
          <w:szCs w:val="22"/>
        </w:rPr>
        <w:t xml:space="preserve">Mobile (default)</w:t>
      </w:r>
    </w:p>
    <w:p>
      <w:pPr>
        <w:pStyle w:val="ListParagraph"/>
        <w:numPr>
          <w:ilvl w:val="0"/>
          <w:numId w:val="2"/>
        </w:numPr>
        <w:spacing w:after="80" w:line="300"/>
      </w:pPr>
      <w:r>
        <w:rPr>
          <w:rFonts w:ascii="Georgia" w:cs="Georgia" w:eastAsia="Georgia" w:hAnsi="Georgia"/>
          <w:color w:val="1A1A1A"/>
          <w:sz w:val="22"/>
          <w:szCs w:val="22"/>
        </w:rPr>
        <w:t xml:space="preserve">Hero : padding vertical réduit (top-16 bottom-12 au lieu de top-24 bottom-20).</w:t>
      </w:r>
    </w:p>
    <w:p>
      <w:pPr>
        <w:pStyle w:val="ListParagraph"/>
        <w:numPr>
          <w:ilvl w:val="0"/>
          <w:numId w:val="2"/>
        </w:numPr>
        <w:spacing w:after="80" w:line="300"/>
      </w:pPr>
      <w:r>
        <w:rPr>
          <w:rFonts w:ascii="Georgia" w:cs="Georgia" w:eastAsia="Georgia" w:hAnsi="Georgia"/>
          <w:color w:val="1A1A1A"/>
          <w:sz w:val="22"/>
          <w:szCs w:val="22"/>
        </w:rPr>
        <w:t xml:space="preserve">H1 : text-4xl au lieu de text-6xl pour préserver la lisibilité.</w:t>
      </w:r>
    </w:p>
    <w:p>
      <w:pPr>
        <w:pStyle w:val="ListParagraph"/>
        <w:numPr>
          <w:ilvl w:val="0"/>
          <w:numId w:val="2"/>
        </w:numPr>
        <w:spacing w:after="80" w:line="300"/>
      </w:pPr>
      <w:r>
        <w:rPr>
          <w:rFonts w:ascii="Georgia" w:cs="Georgia" w:eastAsia="Georgia" w:hAnsi="Georgia"/>
          <w:color w:val="1A1A1A"/>
          <w:sz w:val="22"/>
          <w:szCs w:val="22"/>
        </w:rPr>
        <w:t xml:space="preserve">Images Hero : ratio 4:5 ou 1:1 plutôt que 16:9 pour exploiter le format vertical.</w:t>
      </w:r>
    </w:p>
    <w:p>
      <w:pPr>
        <w:pStyle w:val="ListParagraph"/>
        <w:numPr>
          <w:ilvl w:val="0"/>
          <w:numId w:val="2"/>
        </w:numPr>
        <w:spacing w:after="80" w:line="300"/>
      </w:pPr>
      <w:r>
        <w:rPr>
          <w:rFonts w:ascii="Georgia" w:cs="Georgia" w:eastAsia="Georgia" w:hAnsi="Georgia"/>
          <w:color w:val="1A1A1A"/>
          <w:sz w:val="22"/>
          <w:szCs w:val="22"/>
        </w:rPr>
        <w:t xml:space="preserve">Navigation : burger menu avec drawer plein écran (pas latéral).</w:t>
      </w:r>
    </w:p>
    <w:p>
      <w:pPr>
        <w:pStyle w:val="ListParagraph"/>
        <w:numPr>
          <w:ilvl w:val="0"/>
          <w:numId w:val="2"/>
        </w:numPr>
        <w:spacing w:after="80" w:line="300"/>
      </w:pPr>
      <w:r>
        <w:rPr>
          <w:rFonts w:ascii="Georgia" w:cs="Georgia" w:eastAsia="Georgia" w:hAnsi="Georgia"/>
          <w:color w:val="1A1A1A"/>
          <w:sz w:val="22"/>
          <w:szCs w:val="22"/>
        </w:rPr>
        <w:t xml:space="preserve">CTAs : full-width avec margin verticale, jamais côte à côte sur mobile.</w:t>
      </w:r>
    </w:p>
    <w:p>
      <w:pPr>
        <w:pStyle w:val="ListParagraph"/>
        <w:numPr>
          <w:ilvl w:val="0"/>
          <w:numId w:val="2"/>
        </w:numPr>
        <w:spacing w:after="80" w:line="300"/>
      </w:pPr>
      <w:r>
        <w:rPr>
          <w:rFonts w:ascii="Georgia" w:cs="Georgia" w:eastAsia="Georgia" w:hAnsi="Georgia"/>
          <w:color w:val="1A1A1A"/>
          <w:sz w:val="22"/>
          <w:szCs w:val="22"/>
        </w:rPr>
        <w:t xml:space="preserve">Tableaux : transformés en cartes empilées (pas de scroll horizontal).</w:t>
      </w:r>
    </w:p>
    <w:p>
      <w:pPr>
        <w:pStyle w:val="ListParagraph"/>
        <w:numPr>
          <w:ilvl w:val="0"/>
          <w:numId w:val="2"/>
        </w:numPr>
        <w:spacing w:after="80" w:line="300"/>
      </w:pPr>
      <w:r>
        <w:rPr>
          <w:rFonts w:ascii="Georgia" w:cs="Georgia" w:eastAsia="Georgia" w:hAnsi="Georgia"/>
          <w:color w:val="1A1A1A"/>
          <w:sz w:val="22"/>
          <w:szCs w:val="22"/>
        </w:rPr>
        <w:t xml:space="preserve">ForgesMap : version simplifiée (liste des bassins par région), pas de carte interactive.</w:t>
      </w:r>
    </w:p>
    <w:p>
      <w:pPr>
        <w:spacing w:after="80" w:before="160"/>
      </w:pPr>
      <w:r>
        <w:rPr>
          <w:rFonts w:ascii="Arial" w:cs="Arial" w:eastAsia="Arial" w:hAnsi="Arial"/>
          <w:b/>
          <w:bCs/>
          <w:color w:val="0B1A2A"/>
          <w:sz w:val="22"/>
          <w:szCs w:val="22"/>
        </w:rPr>
        <w:t xml:space="preserve">Tablette (md / lg)</w:t>
      </w:r>
    </w:p>
    <w:p>
      <w:pPr>
        <w:pStyle w:val="ListParagraph"/>
        <w:numPr>
          <w:ilvl w:val="0"/>
          <w:numId w:val="2"/>
        </w:numPr>
        <w:spacing w:after="80" w:line="300"/>
      </w:pPr>
      <w:r>
        <w:rPr>
          <w:rFonts w:ascii="Georgia" w:cs="Georgia" w:eastAsia="Georgia" w:hAnsi="Georgia"/>
          <w:color w:val="1A1A1A"/>
          <w:sz w:val="22"/>
          <w:szCs w:val="22"/>
        </w:rPr>
        <w:t xml:space="preserve">Hero : split layout 60/40 actif (texte gauche, image droite).</w:t>
      </w:r>
    </w:p>
    <w:p>
      <w:pPr>
        <w:pStyle w:val="ListParagraph"/>
        <w:numPr>
          <w:ilvl w:val="0"/>
          <w:numId w:val="2"/>
        </w:numPr>
        <w:spacing w:after="80" w:line="300"/>
      </w:pPr>
      <w:r>
        <w:rPr>
          <w:rFonts w:ascii="Georgia" w:cs="Georgia" w:eastAsia="Georgia" w:hAnsi="Georgia"/>
          <w:color w:val="1A1A1A"/>
          <w:sz w:val="22"/>
          <w:szCs w:val="22"/>
        </w:rPr>
        <w:t xml:space="preserve">H1 : text-5xl.</w:t>
      </w:r>
    </w:p>
    <w:p>
      <w:pPr>
        <w:pStyle w:val="ListParagraph"/>
        <w:numPr>
          <w:ilvl w:val="0"/>
          <w:numId w:val="2"/>
        </w:numPr>
        <w:spacing w:after="80" w:line="300"/>
      </w:pPr>
      <w:r>
        <w:rPr>
          <w:rFonts w:ascii="Georgia" w:cs="Georgia" w:eastAsia="Georgia" w:hAnsi="Georgia"/>
          <w:color w:val="1A1A1A"/>
          <w:sz w:val="22"/>
          <w:szCs w:val="22"/>
        </w:rPr>
        <w:t xml:space="preserve">Sections en 2 colonnes (cards programmes, équipe, etc.).</w:t>
      </w:r>
    </w:p>
    <w:p>
      <w:pPr>
        <w:pStyle w:val="ListParagraph"/>
        <w:numPr>
          <w:ilvl w:val="0"/>
          <w:numId w:val="2"/>
        </w:numPr>
        <w:spacing w:after="80" w:line="300"/>
      </w:pPr>
      <w:r>
        <w:rPr>
          <w:rFonts w:ascii="Georgia" w:cs="Georgia" w:eastAsia="Georgia" w:hAnsi="Georgia"/>
          <w:color w:val="1A1A1A"/>
          <w:sz w:val="22"/>
          <w:szCs w:val="22"/>
        </w:rPr>
        <w:t xml:space="preserve">Navigation desktop si la liste tient (5 items max).</w:t>
      </w:r>
    </w:p>
    <w:p>
      <w:pPr>
        <w:pStyle w:val="ListParagraph"/>
        <w:numPr>
          <w:ilvl w:val="0"/>
          <w:numId w:val="2"/>
        </w:numPr>
        <w:spacing w:after="80" w:line="300"/>
      </w:pPr>
      <w:r>
        <w:rPr>
          <w:rFonts w:ascii="Georgia" w:cs="Georgia" w:eastAsia="Georgia" w:hAnsi="Georgia"/>
          <w:color w:val="1A1A1A"/>
          <w:sz w:val="22"/>
          <w:szCs w:val="22"/>
        </w:rPr>
        <w:t xml:space="preserve">ForgesMap : version interactive avec dots.</w:t>
      </w:r>
    </w:p>
    <w:p>
      <w:pPr>
        <w:spacing w:after="80" w:before="160"/>
      </w:pPr>
      <w:r>
        <w:rPr>
          <w:rFonts w:ascii="Arial" w:cs="Arial" w:eastAsia="Arial" w:hAnsi="Arial"/>
          <w:b/>
          <w:bCs/>
          <w:color w:val="0B1A2A"/>
          <w:sz w:val="22"/>
          <w:szCs w:val="22"/>
        </w:rPr>
        <w:t xml:space="preserve">Desktop (xl / 2xl)</w:t>
      </w:r>
    </w:p>
    <w:p>
      <w:pPr>
        <w:pStyle w:val="ListParagraph"/>
        <w:numPr>
          <w:ilvl w:val="0"/>
          <w:numId w:val="2"/>
        </w:numPr>
        <w:spacing w:after="80" w:line="300"/>
      </w:pPr>
      <w:r>
        <w:rPr>
          <w:rFonts w:ascii="Georgia" w:cs="Georgia" w:eastAsia="Georgia" w:hAnsi="Georgia"/>
          <w:color w:val="1A1A1A"/>
          <w:sz w:val="22"/>
          <w:szCs w:val="22"/>
        </w:rPr>
        <w:t xml:space="preserve">Layout optimal sur tous les composants.</w:t>
      </w:r>
    </w:p>
    <w:p>
      <w:pPr>
        <w:pStyle w:val="ListParagraph"/>
        <w:numPr>
          <w:ilvl w:val="0"/>
          <w:numId w:val="2"/>
        </w:numPr>
        <w:spacing w:after="80" w:line="300"/>
      </w:pPr>
      <w:r>
        <w:rPr>
          <w:rFonts w:ascii="Georgia" w:cs="Georgia" w:eastAsia="Georgia" w:hAnsi="Georgia"/>
          <w:color w:val="1A1A1A"/>
          <w:sz w:val="22"/>
          <w:szCs w:val="22"/>
        </w:rPr>
        <w:t xml:space="preserve">Max-width container : 1200px (max-w-wide).</w:t>
      </w:r>
    </w:p>
    <w:p>
      <w:pPr>
        <w:pStyle w:val="ListParagraph"/>
        <w:numPr>
          <w:ilvl w:val="0"/>
          <w:numId w:val="2"/>
        </w:numPr>
        <w:spacing w:after="80" w:line="300"/>
      </w:pPr>
      <w:r>
        <w:rPr>
          <w:rFonts w:ascii="Georgia" w:cs="Georgia" w:eastAsia="Georgia" w:hAnsi="Georgia"/>
          <w:color w:val="1A1A1A"/>
          <w:sz w:val="22"/>
          <w:szCs w:val="22"/>
        </w:rPr>
        <w:t xml:space="preserve">Padding latéral : px-8 (32px) sur container.</w:t>
      </w:r>
    </w:p>
    <w:p>
      <w:pPr>
        <w:pStyle w:val="ListParagraph"/>
        <w:numPr>
          <w:ilvl w:val="0"/>
          <w:numId w:val="2"/>
        </w:numPr>
        <w:spacing w:after="80" w:line="300"/>
      </w:pPr>
      <w:r>
        <w:rPr>
          <w:rFonts w:ascii="Georgia" w:cs="Georgia" w:eastAsia="Georgia" w:hAnsi="Georgia"/>
          <w:color w:val="1A1A1A"/>
          <w:sz w:val="22"/>
          <w:szCs w:val="22"/>
        </w:rPr>
        <w:t xml:space="preserve">Sticky elements actifs (header, table des matières latérale).</w:t>
      </w:r>
    </w:p>
    <w:p>
      <w:pPr>
        <w:pStyle w:val="Heading2"/>
        <w:spacing w:after="200" w:before="360"/>
      </w:pPr>
      <w:r>
        <w:rPr>
          <w:rFonts w:ascii="Georgia" w:cs="Georgia" w:eastAsia="Georgia" w:hAnsi="Georgia"/>
          <w:b/>
          <w:bCs/>
          <w:color w:val="0B1A2A"/>
          <w:sz w:val="30"/>
          <w:szCs w:val="30"/>
        </w:rPr>
        <w:t xml:space="preserve">Compatibilité navigateurs</w:t>
      </w:r>
    </w:p>
    <w:p>
      <w:pPr>
        <w:pStyle w:val="ListParagraph"/>
        <w:numPr>
          <w:ilvl w:val="0"/>
          <w:numId w:val="2"/>
        </w:numPr>
        <w:spacing w:after="80" w:line="300"/>
      </w:pPr>
      <w:r>
        <w:rPr>
          <w:rFonts w:ascii="Georgia" w:cs="Georgia" w:eastAsia="Georgia" w:hAnsi="Georgia"/>
          <w:color w:val="1A1A1A"/>
          <w:sz w:val="22"/>
          <w:szCs w:val="22"/>
        </w:rPr>
        <w:t xml:space="preserve">Chrome / Edge / Safari : 2 dernières versions majeures (couvre 95% du trafic).</w:t>
      </w:r>
    </w:p>
    <w:p>
      <w:pPr>
        <w:pStyle w:val="ListParagraph"/>
        <w:numPr>
          <w:ilvl w:val="0"/>
          <w:numId w:val="2"/>
        </w:numPr>
        <w:spacing w:after="80" w:line="300"/>
      </w:pPr>
      <w:r>
        <w:rPr>
          <w:rFonts w:ascii="Georgia" w:cs="Georgia" w:eastAsia="Georgia" w:hAnsi="Georgia"/>
          <w:color w:val="1A1A1A"/>
          <w:sz w:val="22"/>
          <w:szCs w:val="22"/>
        </w:rPr>
        <w:t xml:space="preserve">Firefox : 2 dernières versions ESR.</w:t>
      </w:r>
    </w:p>
    <w:p>
      <w:pPr>
        <w:pStyle w:val="ListParagraph"/>
        <w:numPr>
          <w:ilvl w:val="0"/>
          <w:numId w:val="2"/>
        </w:numPr>
        <w:spacing w:after="80" w:line="300"/>
      </w:pPr>
      <w:r>
        <w:rPr>
          <w:rFonts w:ascii="Georgia" w:cs="Georgia" w:eastAsia="Georgia" w:hAnsi="Georgia"/>
          <w:color w:val="1A1A1A"/>
          <w:sz w:val="22"/>
          <w:szCs w:val="22"/>
        </w:rPr>
        <w:t xml:space="preserve">Safari iOS : 16+ (compatible PWA notifications, important pour Document 6).</w:t>
      </w:r>
    </w:p>
    <w:p>
      <w:pPr>
        <w:pStyle w:val="ListParagraph"/>
        <w:numPr>
          <w:ilvl w:val="0"/>
          <w:numId w:val="2"/>
        </w:numPr>
        <w:spacing w:after="80" w:line="300"/>
      </w:pPr>
      <w:r>
        <w:rPr>
          <w:rFonts w:ascii="Georgia" w:cs="Georgia" w:eastAsia="Georgia" w:hAnsi="Georgia"/>
          <w:color w:val="1A1A1A"/>
          <w:sz w:val="22"/>
          <w:szCs w:val="22"/>
        </w:rPr>
        <w:t xml:space="preserve">Pas de support IE 11 ni anciens Edge legacy. Ces navigateurs sont obsolètes en 2026 et redirigés vers une page de mise à jour navigateur.</w:t>
      </w:r>
    </w:p>
    <w:p>
      <w:pPr>
        <w:pStyle w:val="ListParagraph"/>
        <w:numPr>
          <w:ilvl w:val="0"/>
          <w:numId w:val="2"/>
        </w:numPr>
        <w:spacing w:after="80" w:line="300"/>
      </w:pPr>
      <w:r>
        <w:rPr>
          <w:rFonts w:ascii="Georgia" w:cs="Georgia" w:eastAsia="Georgia" w:hAnsi="Georgia"/>
          <w:color w:val="1A1A1A"/>
          <w:sz w:val="22"/>
          <w:szCs w:val="22"/>
        </w:rPr>
        <w:t xml:space="preserve">Tests visuels automatisés via Chromatic ou Percy sur Chrome desktop, Safari iOS, Chrome Android (3 environnements suffisants pour 95% des cas).</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États et interactions</w:t>
      </w:r>
    </w:p>
    <w:p>
      <w:pPr>
        <w:spacing w:after="200" w:before="80"/>
      </w:pPr>
      <w:r>
        <w:rPr>
          <w:rFonts w:ascii="Arial" w:cs="Arial" w:eastAsia="Arial" w:hAnsi="Arial"/>
          <w:i/>
          <w:iCs/>
          <w:color w:val="6B6F76"/>
          <w:sz w:val="18"/>
          <w:szCs w:val="18"/>
        </w:rPr>
        <w:t xml:space="preserve">Tous les états par défaut, hover, focus, active, disabled, error, loading. Microcopies d'états transactionnels (formulaire envoyé, paiement réussi, erreur réseau).</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États visuels des composants</w:t>
      </w:r>
    </w:p>
    <w:p>
      <w:pPr>
        <w:spacing w:after="80" w:before="160"/>
      </w:pPr>
      <w:r>
        <w:rPr>
          <w:rFonts w:ascii="Arial" w:cs="Arial" w:eastAsia="Arial" w:hAnsi="Arial"/>
          <w:b/>
          <w:bCs/>
          <w:color w:val="0B1A2A"/>
          <w:sz w:val="22"/>
          <w:szCs w:val="22"/>
        </w:rPr>
        <w:t xml:space="preserve">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ÉTAT</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BUTTON PRIMARY</w:t>
            </w:r>
          </w:p>
        </w:tc>
        <w:tc>
          <w:tcPr>
            <w:tcW w:type="dxa" w:w="57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BUTTON SECONDARY</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Default</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bg-gold, text-navy</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border-2 border-navy, text-navy, transparent bg</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Hover</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bg-gold-deep, text-navy, élévation +2px</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bg-navy, text-white, élévation +2px</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Focus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ring-2 ring-gold ring-offset-2</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ring-2 ring-navy ring-offset-2</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Active</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scale-98, bg-gold-deep</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scale-98, bg-navy/90</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Disabled</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opacity-40, cursor-not-allowed</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opacity-40, cursor-not-allowed</w:t>
            </w:r>
          </w:p>
        </w:tc>
      </w:tr>
      <w:tr>
        <w:tc>
          <w:tcPr>
            <w:tcW w:type="dxa" w:w="18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Loading</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Spinner navy + texte « Chargement... »</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val="false"/>
                <w:bCs w:val="false"/>
                <w:color w:val="1A1A1A"/>
                <w:sz w:val="18"/>
                <w:szCs w:val="18"/>
              </w:rPr>
              <w:t xml:space="preserve">Spinner navy + texte « Chargement... »</w:t>
            </w:r>
          </w:p>
        </w:tc>
      </w:tr>
    </w:tbl>
    <w:p>
      <w:pPr>
        <w:spacing w:after="80" w:before="160"/>
      </w:pPr>
      <w:r>
        <w:rPr>
          <w:rFonts w:ascii="Arial" w:cs="Arial" w:eastAsia="Arial" w:hAnsi="Arial"/>
          <w:b/>
          <w:bCs/>
          <w:color w:val="0B1A2A"/>
          <w:sz w:val="22"/>
          <w:szCs w:val="22"/>
        </w:rPr>
        <w:t xml:space="preserve">Inputs (formulaires)</w:t>
      </w:r>
    </w:p>
    <w:p>
      <w:pPr>
        <w:pStyle w:val="ListParagraph"/>
        <w:numPr>
          <w:ilvl w:val="0"/>
          <w:numId w:val="2"/>
        </w:numPr>
        <w:spacing w:after="80" w:line="300"/>
      </w:pPr>
      <w:r>
        <w:rPr>
          <w:rFonts w:ascii="Georgia" w:cs="Georgia" w:eastAsia="Georgia" w:hAnsi="Georgia"/>
          <w:color w:val="1A1A1A"/>
          <w:sz w:val="22"/>
          <w:szCs w:val="22"/>
        </w:rPr>
        <w:t xml:space="preserve">Default : border 1px grey-soft, bg white, text navy, padding y-3 x-4.</w:t>
      </w:r>
    </w:p>
    <w:p>
      <w:pPr>
        <w:pStyle w:val="ListParagraph"/>
        <w:numPr>
          <w:ilvl w:val="0"/>
          <w:numId w:val="2"/>
        </w:numPr>
        <w:spacing w:after="80" w:line="300"/>
      </w:pPr>
      <w:r>
        <w:rPr>
          <w:rFonts w:ascii="Georgia" w:cs="Georgia" w:eastAsia="Georgia" w:hAnsi="Georgia"/>
          <w:color w:val="1A1A1A"/>
          <w:sz w:val="22"/>
          <w:szCs w:val="22"/>
        </w:rPr>
        <w:t xml:space="preserve">Focus : border 2px navy, ring-1 ring-gold/20.</w:t>
      </w:r>
    </w:p>
    <w:p>
      <w:pPr>
        <w:pStyle w:val="ListParagraph"/>
        <w:numPr>
          <w:ilvl w:val="0"/>
          <w:numId w:val="2"/>
        </w:numPr>
        <w:spacing w:after="80" w:line="300"/>
      </w:pPr>
      <w:r>
        <w:rPr>
          <w:rFonts w:ascii="Georgia" w:cs="Georgia" w:eastAsia="Georgia" w:hAnsi="Georgia"/>
          <w:color w:val="1A1A1A"/>
          <w:sz w:val="22"/>
          <w:szCs w:val="22"/>
        </w:rPr>
        <w:t xml:space="preserve">Filled : border 1px grey, bg white.</w:t>
      </w:r>
    </w:p>
    <w:p>
      <w:pPr>
        <w:pStyle w:val="ListParagraph"/>
        <w:numPr>
          <w:ilvl w:val="0"/>
          <w:numId w:val="2"/>
        </w:numPr>
        <w:spacing w:after="80" w:line="300"/>
      </w:pPr>
      <w:r>
        <w:rPr>
          <w:rFonts w:ascii="Georgia" w:cs="Georgia" w:eastAsia="Georgia" w:hAnsi="Georgia"/>
          <w:color w:val="1A1A1A"/>
          <w:sz w:val="22"/>
          <w:szCs w:val="22"/>
        </w:rPr>
        <w:t xml:space="preserve">Error : border 2px red, helper text red en dessous.</w:t>
      </w:r>
    </w:p>
    <w:p>
      <w:pPr>
        <w:pStyle w:val="ListParagraph"/>
        <w:numPr>
          <w:ilvl w:val="0"/>
          <w:numId w:val="2"/>
        </w:numPr>
        <w:spacing w:after="80" w:line="300"/>
      </w:pPr>
      <w:r>
        <w:rPr>
          <w:rFonts w:ascii="Georgia" w:cs="Georgia" w:eastAsia="Georgia" w:hAnsi="Georgia"/>
          <w:color w:val="1A1A1A"/>
          <w:sz w:val="22"/>
          <w:szCs w:val="22"/>
        </w:rPr>
        <w:t xml:space="preserve">Success : border 2px success, icon check vert dans l'input.</w:t>
      </w:r>
    </w:p>
    <w:p>
      <w:pPr>
        <w:pStyle w:val="ListParagraph"/>
        <w:numPr>
          <w:ilvl w:val="0"/>
          <w:numId w:val="2"/>
        </w:numPr>
        <w:spacing w:after="80" w:line="300"/>
      </w:pPr>
      <w:r>
        <w:rPr>
          <w:rFonts w:ascii="Georgia" w:cs="Georgia" w:eastAsia="Georgia" w:hAnsi="Georgia"/>
          <w:color w:val="1A1A1A"/>
          <w:sz w:val="22"/>
          <w:szCs w:val="22"/>
        </w:rPr>
        <w:t xml:space="preserve">Disabled : bg light, text grey, cursor-not-allowed.</w:t>
      </w:r>
    </w:p>
    <w:p>
      <w:pPr>
        <w:spacing w:after="80" w:before="160"/>
      </w:pPr>
      <w:r>
        <w:rPr>
          <w:rFonts w:ascii="Arial" w:cs="Arial" w:eastAsia="Arial" w:hAnsi="Arial"/>
          <w:b/>
          <w:bCs/>
          <w:color w:val="0B1A2A"/>
          <w:sz w:val="22"/>
          <w:szCs w:val="22"/>
        </w:rPr>
        <w:t xml:space="preserve">Cards</w:t>
      </w:r>
    </w:p>
    <w:p>
      <w:pPr>
        <w:pStyle w:val="ListParagraph"/>
        <w:numPr>
          <w:ilvl w:val="0"/>
          <w:numId w:val="2"/>
        </w:numPr>
        <w:spacing w:after="80" w:line="300"/>
      </w:pPr>
      <w:r>
        <w:rPr>
          <w:rFonts w:ascii="Georgia" w:cs="Georgia" w:eastAsia="Georgia" w:hAnsi="Georgia"/>
          <w:color w:val="1A1A1A"/>
          <w:sz w:val="22"/>
          <w:szCs w:val="22"/>
        </w:rPr>
        <w:t xml:space="preserve">Default : bg white, border 1px border, rounded-md, shadow-soft, padding 6 (24px).</w:t>
      </w:r>
    </w:p>
    <w:p>
      <w:pPr>
        <w:pStyle w:val="ListParagraph"/>
        <w:numPr>
          <w:ilvl w:val="0"/>
          <w:numId w:val="2"/>
        </w:numPr>
        <w:spacing w:after="80" w:line="300"/>
      </w:pPr>
      <w:r>
        <w:rPr>
          <w:rFonts w:ascii="Georgia" w:cs="Georgia" w:eastAsia="Georgia" w:hAnsi="Georgia"/>
          <w:color w:val="1A1A1A"/>
          <w:sz w:val="22"/>
          <w:szCs w:val="22"/>
        </w:rPr>
        <w:t xml:space="preserve">Hover : élévation shadow-medium, transform translate-y-[-2px], transition 200ms.</w:t>
      </w:r>
    </w:p>
    <w:p>
      <w:pPr>
        <w:pStyle w:val="ListParagraph"/>
        <w:numPr>
          <w:ilvl w:val="0"/>
          <w:numId w:val="2"/>
        </w:numPr>
        <w:spacing w:after="80" w:line="300"/>
      </w:pPr>
      <w:r>
        <w:rPr>
          <w:rFonts w:ascii="Georgia" w:cs="Georgia" w:eastAsia="Georgia" w:hAnsi="Georgia"/>
          <w:color w:val="1A1A1A"/>
          <w:sz w:val="22"/>
          <w:szCs w:val="22"/>
        </w:rPr>
        <w:t xml:space="preserve">Active (cliquée si interactive) : scale-98, shadow-soft.</w:t>
      </w:r>
    </w:p>
    <w:p>
      <w:pPr>
        <w:pStyle w:val="ListParagraph"/>
        <w:numPr>
          <w:ilvl w:val="0"/>
          <w:numId w:val="2"/>
        </w:numPr>
        <w:spacing w:after="80" w:line="300"/>
      </w:pPr>
      <w:r>
        <w:rPr>
          <w:rFonts w:ascii="Georgia" w:cs="Georgia" w:eastAsia="Georgia" w:hAnsi="Georgia"/>
          <w:color w:val="1A1A1A"/>
          <w:sz w:val="22"/>
          <w:szCs w:val="22"/>
        </w:rPr>
        <w:t xml:space="preserve">Featured : border-2 gold, shadow-medium par défaut.</w:t>
      </w:r>
    </w:p>
    <w:p>
      <w:pPr>
        <w:pStyle w:val="Heading2"/>
        <w:spacing w:after="200" w:before="360"/>
      </w:pPr>
      <w:r>
        <w:rPr>
          <w:rFonts w:ascii="Georgia" w:cs="Georgia" w:eastAsia="Georgia" w:hAnsi="Georgia"/>
          <w:b/>
          <w:bCs/>
          <w:color w:val="0B1A2A"/>
          <w:sz w:val="30"/>
          <w:szCs w:val="30"/>
        </w:rPr>
        <w:t xml:space="preserve">Microcopies d'états transactionnels</w:t>
      </w:r>
    </w:p>
    <w:p>
      <w:pPr>
        <w:spacing w:after="80" w:before="160"/>
      </w:pPr>
      <w:r>
        <w:rPr>
          <w:rFonts w:ascii="Arial" w:cs="Arial" w:eastAsia="Arial" w:hAnsi="Arial"/>
          <w:b/>
          <w:bCs/>
          <w:color w:val="0B1A2A"/>
          <w:sz w:val="22"/>
          <w:szCs w:val="22"/>
        </w:rPr>
        <w:t xml:space="preserve">Formulaire de contact / candidature</w:t>
      </w:r>
    </w:p>
    <w:p>
      <w:pPr>
        <w:shd w:fill="F5F2EC" w:val="clear"/>
        <w:spacing w:after="80" w:before="80" w:line="300"/>
        <w:ind w:left="360" w:right="360"/>
      </w:pPr>
      <w:r>
        <w:rPr>
          <w:rFonts w:ascii="Georgia" w:cs="Georgia" w:eastAsia="Georgia" w:hAnsi="Georgia"/>
          <w:color w:val="1A1A1A"/>
          <w:sz w:val="21"/>
          <w:szCs w:val="21"/>
        </w:rPr>
        <w:t xml:space="preserve">LOADING : « Envoi en cours... »</w:t>
      </w:r>
    </w:p>
    <w:p>
      <w:pPr>
        <w:shd w:fill="F5F2EC" w:val="clear"/>
        <w:spacing w:after="80" w:before="80" w:line="300"/>
        <w:ind w:left="360" w:right="360"/>
      </w:pPr>
      <w:r>
        <w:rPr>
          <w:rFonts w:ascii="Georgia" w:cs="Georgia" w:eastAsia="Georgia" w:hAnsi="Georgia"/>
          <w:color w:val="1A1A1A"/>
          <w:sz w:val="21"/>
          <w:szCs w:val="21"/>
        </w:rPr>
        <w:t xml:space="preserve">SUCCESS : « Votre message est arrivé. Nous vous répondons sous 5 jours ouvrés. »</w:t>
      </w:r>
    </w:p>
    <w:p>
      <w:pPr>
        <w:shd w:fill="F5F2EC" w:val="clear"/>
        <w:spacing w:after="80" w:before="80" w:line="300"/>
        <w:ind w:left="360" w:right="360"/>
      </w:pPr>
      <w:r>
        <w:rPr>
          <w:rFonts w:ascii="Georgia" w:cs="Georgia" w:eastAsia="Georgia" w:hAnsi="Georgia"/>
          <w:color w:val="1A1A1A"/>
          <w:sz w:val="21"/>
          <w:szCs w:val="21"/>
        </w:rPr>
        <w:t xml:space="preserve">ERROR (validation) : « Un champ n'est pas valide. Vérifiez les informations marquées en rouge. »</w:t>
      </w:r>
    </w:p>
    <w:p>
      <w:pPr>
        <w:shd w:fill="F5F2EC" w:val="clear"/>
        <w:spacing w:after="80" w:before="80" w:line="300"/>
        <w:ind w:left="360" w:right="360"/>
      </w:pPr>
      <w:r>
        <w:rPr>
          <w:rFonts w:ascii="Georgia" w:cs="Georgia" w:eastAsia="Georgia" w:hAnsi="Georgia"/>
          <w:color w:val="1A1A1A"/>
          <w:sz w:val="21"/>
          <w:szCs w:val="21"/>
        </w:rPr>
        <w:t xml:space="preserve">ERROR (réseau) : « L'envoi n'a pas pu aboutir. Réessayez dans un instant ou écrivez directement à contact@apexer.fr. »</w:t>
      </w:r>
    </w:p>
    <w:p>
      <w:pPr>
        <w:spacing w:after="80" w:before="160"/>
      </w:pPr>
      <w:r>
        <w:rPr>
          <w:rFonts w:ascii="Arial" w:cs="Arial" w:eastAsia="Arial" w:hAnsi="Arial"/>
          <w:b/>
          <w:bCs/>
          <w:color w:val="0B1A2A"/>
          <w:sz w:val="22"/>
          <w:szCs w:val="22"/>
        </w:rPr>
        <w:t xml:space="preserve">Inscription newsletter</w:t>
      </w:r>
    </w:p>
    <w:p>
      <w:pPr>
        <w:shd w:fill="F5F2EC" w:val="clear"/>
        <w:spacing w:after="80" w:before="80" w:line="300"/>
        <w:ind w:left="360" w:right="360"/>
      </w:pPr>
      <w:r>
        <w:rPr>
          <w:rFonts w:ascii="Georgia" w:cs="Georgia" w:eastAsia="Georgia" w:hAnsi="Georgia"/>
          <w:color w:val="1A1A1A"/>
          <w:sz w:val="21"/>
          <w:szCs w:val="21"/>
        </w:rPr>
        <w:t xml:space="preserve">LABEL : Recevoir le journal APEXER</w:t>
      </w:r>
    </w:p>
    <w:p>
      <w:pPr>
        <w:shd w:fill="F5F2EC" w:val="clear"/>
        <w:spacing w:after="80" w:before="80" w:line="300"/>
        <w:ind w:left="360" w:right="360"/>
      </w:pPr>
      <w:r>
        <w:rPr>
          <w:rFonts w:ascii="Georgia" w:cs="Georgia" w:eastAsia="Georgia" w:hAnsi="Georgia"/>
          <w:color w:val="1A1A1A"/>
          <w:sz w:val="21"/>
          <w:szCs w:val="21"/>
        </w:rPr>
        <w:t xml:space="preserve">HELPER : Une analyse longue tous les 15 jours, des nouvelles courtes hebdomadairement. Vous pouvez vous désinscrire à tout moment.</w:t>
      </w:r>
    </w:p>
    <w:p>
      <w:pPr>
        <w:shd w:fill="F5F2EC" w:val="clear"/>
        <w:spacing w:after="80" w:before="80" w:line="300"/>
        <w:ind w:left="360" w:right="360"/>
      </w:pPr>
      <w:r>
        <w:rPr>
          <w:rFonts w:ascii="Georgia" w:cs="Georgia" w:eastAsia="Georgia" w:hAnsi="Georgia"/>
          <w:color w:val="1A1A1A"/>
          <w:sz w:val="21"/>
          <w:szCs w:val="21"/>
        </w:rPr>
        <w:t xml:space="preserve">PLACEHOLDER : votre@email.fr</w:t>
      </w:r>
    </w:p>
    <w:p>
      <w:pPr>
        <w:shd w:fill="F5F2EC" w:val="clear"/>
        <w:spacing w:after="80" w:before="80" w:line="300"/>
        <w:ind w:left="360" w:right="360"/>
      </w:pPr>
      <w:r>
        <w:rPr>
          <w:rFonts w:ascii="Georgia" w:cs="Georgia" w:eastAsia="Georgia" w:hAnsi="Georgia"/>
          <w:color w:val="1A1A1A"/>
          <w:sz w:val="21"/>
          <w:szCs w:val="21"/>
        </w:rPr>
        <w:t xml:space="preserve">LOADING : « Inscription... »</w:t>
      </w:r>
    </w:p>
    <w:p>
      <w:pPr>
        <w:shd w:fill="F5F2EC" w:val="clear"/>
        <w:spacing w:after="80" w:before="80" w:line="300"/>
        <w:ind w:left="360" w:right="360"/>
      </w:pPr>
      <w:r>
        <w:rPr>
          <w:rFonts w:ascii="Georgia" w:cs="Georgia" w:eastAsia="Georgia" w:hAnsi="Georgia"/>
          <w:color w:val="1A1A1A"/>
          <w:sz w:val="21"/>
          <w:szCs w:val="21"/>
        </w:rPr>
        <w:t xml:space="preserve">SUCCESS : « C'est fait. Le prochain numéro vous arrivera. »</w:t>
      </w:r>
    </w:p>
    <w:p>
      <w:pPr>
        <w:shd w:fill="F5F2EC" w:val="clear"/>
        <w:spacing w:after="80" w:before="80" w:line="300"/>
        <w:ind w:left="360" w:right="360"/>
      </w:pPr>
      <w:r>
        <w:rPr>
          <w:rFonts w:ascii="Georgia" w:cs="Georgia" w:eastAsia="Georgia" w:hAnsi="Georgia"/>
          <w:color w:val="1A1A1A"/>
          <w:sz w:val="21"/>
          <w:szCs w:val="21"/>
        </w:rPr>
        <w:t xml:space="preserve">ERROR : « Cet email n'a pas pu être ajouté. Vérifiez l'orthographe ou réessayez plus tard. »</w:t>
      </w:r>
    </w:p>
    <w:p>
      <w:pPr>
        <w:spacing w:after="80" w:before="160"/>
      </w:pPr>
      <w:r>
        <w:rPr>
          <w:rFonts w:ascii="Arial" w:cs="Arial" w:eastAsia="Arial" w:hAnsi="Arial"/>
          <w:b/>
          <w:bCs/>
          <w:color w:val="0B1A2A"/>
          <w:sz w:val="22"/>
          <w:szCs w:val="22"/>
        </w:rPr>
        <w:t xml:space="preserve">Téléchargement de ressource (avec capture email)</w:t>
      </w:r>
    </w:p>
    <w:p>
      <w:pPr>
        <w:shd w:fill="F5F2EC" w:val="clear"/>
        <w:spacing w:after="80" w:before="80" w:line="300"/>
        <w:ind w:left="360" w:right="360"/>
      </w:pPr>
      <w:r>
        <w:rPr>
          <w:rFonts w:ascii="Georgia" w:cs="Georgia" w:eastAsia="Georgia" w:hAnsi="Georgia"/>
          <w:color w:val="1A1A1A"/>
          <w:sz w:val="21"/>
          <w:szCs w:val="21"/>
        </w:rPr>
        <w:t xml:space="preserve">FORMULAIRE TITLE : Recevoir l'enquête fondatrice (PDF)</w:t>
      </w:r>
    </w:p>
    <w:p>
      <w:pPr>
        <w:shd w:fill="F5F2EC" w:val="clear"/>
        <w:spacing w:after="80" w:before="80" w:line="300"/>
        <w:ind w:left="360" w:right="360"/>
      </w:pPr>
      <w:r>
        <w:rPr>
          <w:rFonts w:ascii="Georgia" w:cs="Georgia" w:eastAsia="Georgia" w:hAnsi="Georgia"/>
          <w:color w:val="1A1A1A"/>
          <w:sz w:val="21"/>
          <w:szCs w:val="21"/>
        </w:rPr>
        <w:t xml:space="preserve">FORMULAIRE DESCRIPTION : 30 pages sur les 16 top performers étudiés et les 7 pratiques convergentes. Téléchargement immédiat après validation de votre email.</w:t>
      </w:r>
    </w:p>
    <w:p>
      <w:pPr>
        <w:shd w:fill="F5F2EC" w:val="clear"/>
        <w:spacing w:after="80" w:before="80" w:line="300"/>
        <w:ind w:left="360" w:right="360"/>
      </w:pPr>
      <w:r>
        <w:rPr>
          <w:rFonts w:ascii="Georgia" w:cs="Georgia" w:eastAsia="Georgia" w:hAnsi="Georgia"/>
          <w:color w:val="1A1A1A"/>
          <w:sz w:val="21"/>
          <w:szCs w:val="21"/>
        </w:rPr>
        <w:t xml:space="preserve">LOADING : « Préparation de votre exemplaire... »</w:t>
      </w:r>
    </w:p>
    <w:p>
      <w:pPr>
        <w:shd w:fill="F5F2EC" w:val="clear"/>
        <w:spacing w:after="80" w:before="80" w:line="300"/>
        <w:ind w:left="360" w:right="360"/>
      </w:pPr>
      <w:r>
        <w:rPr>
          <w:rFonts w:ascii="Georgia" w:cs="Georgia" w:eastAsia="Georgia" w:hAnsi="Georgia"/>
          <w:color w:val="1A1A1A"/>
          <w:sz w:val="21"/>
          <w:szCs w:val="21"/>
        </w:rPr>
        <w:t xml:space="preserve">SUCCESS : « Le PDF est en route vers votre boîte. Surveillez votre dossier promotion si vous ne le voyez pas dans 2 minutes. »</w:t>
      </w:r>
    </w:p>
    <w:p>
      <w:pPr>
        <w:spacing w:after="80" w:before="160"/>
      </w:pPr>
      <w:r>
        <w:rPr>
          <w:rFonts w:ascii="Arial" w:cs="Arial" w:eastAsia="Arial" w:hAnsi="Arial"/>
          <w:b/>
          <w:bCs/>
          <w:color w:val="0B1A2A"/>
          <w:sz w:val="22"/>
          <w:szCs w:val="22"/>
        </w:rPr>
        <w:t xml:space="preserve">État 404</w:t>
      </w:r>
    </w:p>
    <w:p>
      <w:pPr>
        <w:shd w:fill="F5F2EC" w:val="clear"/>
        <w:spacing w:after="80" w:before="80" w:line="300"/>
        <w:ind w:left="360" w:right="360"/>
      </w:pPr>
      <w:r>
        <w:rPr>
          <w:rFonts w:ascii="Georgia" w:cs="Georgia" w:eastAsia="Georgia" w:hAnsi="Georgia"/>
          <w:color w:val="1A1A1A"/>
          <w:sz w:val="21"/>
          <w:szCs w:val="21"/>
        </w:rPr>
        <w:t xml:space="preserve">H1 : Cette page n'existe pas.</w:t>
      </w:r>
    </w:p>
    <w:p>
      <w:pPr>
        <w:shd w:fill="F5F2EC" w:val="clear"/>
        <w:spacing w:after="80" w:before="80" w:line="300"/>
        <w:ind w:left="360" w:right="360"/>
      </w:pPr>
      <w:r>
        <w:rPr>
          <w:rFonts w:ascii="Georgia" w:cs="Georgia" w:eastAsia="Georgia" w:hAnsi="Georgia"/>
          <w:color w:val="1A1A1A"/>
          <w:sz w:val="21"/>
          <w:szCs w:val="21"/>
        </w:rPr>
        <w:t xml:space="preserve">LEAD : Vous avez peut-être suivi un lien périmé, ou tapé une URL légèrement différente. Voici les pages les plus fréquentées d'APEXER pour vous remettre dans le flux.</w:t>
      </w:r>
    </w:p>
    <w:p>
      <w:pPr>
        <w:shd w:fill="F5F2EC" w:val="clear"/>
        <w:spacing w:after="80" w:before="80" w:line="300"/>
        <w:ind w:left="360" w:right="360"/>
      </w:pPr>
      <w:r>
        <w:rPr>
          <w:rFonts w:ascii="Georgia" w:cs="Georgia" w:eastAsia="Georgia" w:hAnsi="Georgia"/>
          <w:color w:val="1A1A1A"/>
          <w:sz w:val="21"/>
          <w:szCs w:val="21"/>
        </w:rPr>
        <w:t xml:space="preserve">LISTE : · La méthode → /methode · Les programmes → / · Postuler à une Forge → /forge · Devenir Maître-Forgeron → /candidater · Le journal → /journal</w:t>
      </w:r>
    </w:p>
    <w:p>
      <w:pPr>
        <w:shd w:fill="F5F2EC" w:val="clear"/>
        <w:spacing w:after="80" w:before="80" w:line="300"/>
        <w:ind w:left="360" w:right="360"/>
      </w:pPr>
      <w:r>
        <w:rPr>
          <w:rFonts w:ascii="Georgia" w:cs="Georgia" w:eastAsia="Georgia" w:hAnsi="Georgia"/>
          <w:color w:val="1A1A1A"/>
          <w:sz w:val="21"/>
          <w:szCs w:val="21"/>
        </w:rPr>
        <w:t xml:space="preserve">IMAGE : P39 (page 404 sobre)</w:t>
      </w:r>
    </w:p>
    <w:p>
      <w:pPr>
        <w:spacing w:after="80" w:before="160"/>
      </w:pPr>
      <w:r>
        <w:rPr>
          <w:rFonts w:ascii="Arial" w:cs="Arial" w:eastAsia="Arial" w:hAnsi="Arial"/>
          <w:b/>
          <w:bCs/>
          <w:color w:val="0B1A2A"/>
          <w:sz w:val="22"/>
          <w:szCs w:val="22"/>
        </w:rPr>
        <w:t xml:space="preserve">État 500 (erreur serveur)</w:t>
      </w:r>
    </w:p>
    <w:p>
      <w:pPr>
        <w:shd w:fill="F5F2EC" w:val="clear"/>
        <w:spacing w:after="80" w:before="80" w:line="300"/>
        <w:ind w:left="360" w:right="360"/>
      </w:pPr>
      <w:r>
        <w:rPr>
          <w:rFonts w:ascii="Georgia" w:cs="Georgia" w:eastAsia="Georgia" w:hAnsi="Georgia"/>
          <w:color w:val="1A1A1A"/>
          <w:sz w:val="21"/>
          <w:szCs w:val="21"/>
        </w:rPr>
        <w:t xml:space="preserve">H1 : Quelque chose ne va pas de notre côté.</w:t>
      </w:r>
    </w:p>
    <w:p>
      <w:pPr>
        <w:shd w:fill="F5F2EC" w:val="clear"/>
        <w:spacing w:after="80" w:before="80" w:line="300"/>
        <w:ind w:left="360" w:right="360"/>
      </w:pPr>
      <w:r>
        <w:rPr>
          <w:rFonts w:ascii="Georgia" w:cs="Georgia" w:eastAsia="Georgia" w:hAnsi="Georgia"/>
          <w:color w:val="1A1A1A"/>
          <w:sz w:val="21"/>
          <w:szCs w:val="21"/>
        </w:rPr>
        <w:t xml:space="preserve">LEAD : Notre serveur n'a pas répondu correctement. L'incident a été automatiquement signalé à notre équipe technique. Vous pouvez réessayer dans quelques minutes, ou nous écrire directement à contact@apexer.fr si le problème persiste.</w:t>
      </w:r>
    </w:p>
    <w:p>
      <w:pPr>
        <w:shd w:fill="F5F2EC" w:val="clear"/>
        <w:spacing w:after="80" w:before="80" w:line="300"/>
        <w:ind w:left="360" w:right="360"/>
      </w:pPr>
      <w:r>
        <w:rPr>
          <w:rFonts w:ascii="Georgia" w:cs="Georgia" w:eastAsia="Georgia" w:hAnsi="Georgia"/>
          <w:color w:val="1A1A1A"/>
          <w:sz w:val="21"/>
          <w:szCs w:val="21"/>
        </w:rPr>
        <w:t xml:space="preserve">CTA : Retour à l'accueil → /</w:t>
      </w:r>
    </w:p>
    <w:p>
      <w:pPr>
        <w:spacing w:after="80" w:before="160"/>
      </w:pPr>
      <w:r>
        <w:rPr>
          <w:rFonts w:ascii="Arial" w:cs="Arial" w:eastAsia="Arial" w:hAnsi="Arial"/>
          <w:b/>
          <w:bCs/>
          <w:color w:val="0B1A2A"/>
          <w:sz w:val="22"/>
          <w:szCs w:val="22"/>
        </w:rPr>
        <w:t xml:space="preserve">Maintenance planifiée</w:t>
      </w:r>
    </w:p>
    <w:p>
      <w:pPr>
        <w:shd w:fill="F5F2EC" w:val="clear"/>
        <w:spacing w:after="80" w:before="80" w:line="300"/>
        <w:ind w:left="360" w:right="360"/>
      </w:pPr>
      <w:r>
        <w:rPr>
          <w:rFonts w:ascii="Georgia" w:cs="Georgia" w:eastAsia="Georgia" w:hAnsi="Georgia"/>
          <w:color w:val="1A1A1A"/>
          <w:sz w:val="21"/>
          <w:szCs w:val="21"/>
        </w:rPr>
        <w:t xml:space="preserve">H1 : APEXER est en maintenance technique.</w:t>
      </w:r>
    </w:p>
    <w:p>
      <w:pPr>
        <w:shd w:fill="F5F2EC" w:val="clear"/>
        <w:spacing w:after="80" w:before="80" w:line="300"/>
        <w:ind w:left="360" w:right="360"/>
      </w:pPr>
      <w:r>
        <w:rPr>
          <w:rFonts w:ascii="Georgia" w:cs="Georgia" w:eastAsia="Georgia" w:hAnsi="Georgia"/>
          <w:color w:val="1A1A1A"/>
          <w:sz w:val="21"/>
          <w:szCs w:val="21"/>
        </w:rPr>
        <w:t xml:space="preserve">LEAD : Le site est temporairement indisponible le temps d'une mise à jour. Retour prévu : [date et heure]. Pour toute urgence : contact@apexer.fr.</w:t>
      </w:r>
    </w:p>
    <w:p>
      <w:pPr>
        <w:pStyle w:val="Heading2"/>
        <w:spacing w:after="200" w:before="360"/>
      </w:pPr>
      <w:r>
        <w:rPr>
          <w:rFonts w:ascii="Georgia" w:cs="Georgia" w:eastAsia="Georgia" w:hAnsi="Georgia"/>
          <w:b/>
          <w:bCs/>
          <w:color w:val="0B1A2A"/>
          <w:sz w:val="30"/>
          <w:szCs w:val="30"/>
        </w:rPr>
        <w:t xml:space="preserve">Comportements aux interactions</w:t>
      </w:r>
    </w:p>
    <w:p>
      <w:pPr>
        <w:pStyle w:val="ListParagraph"/>
        <w:numPr>
          <w:ilvl w:val="0"/>
          <w:numId w:val="2"/>
        </w:numPr>
        <w:spacing w:after="80" w:line="300"/>
      </w:pPr>
      <w:r>
        <w:rPr>
          <w:rFonts w:ascii="Georgia" w:cs="Georgia" w:eastAsia="Georgia" w:hAnsi="Georgia"/>
          <w:color w:val="1A1A1A"/>
          <w:sz w:val="22"/>
          <w:szCs w:val="22"/>
        </w:rPr>
        <w:t xml:space="preserve">Click sur ancre interne : scroll smooth (CSS scroll-behavior: smooth) avec offset header.</w:t>
      </w:r>
    </w:p>
    <w:p>
      <w:pPr>
        <w:pStyle w:val="ListParagraph"/>
        <w:numPr>
          <w:ilvl w:val="0"/>
          <w:numId w:val="2"/>
        </w:numPr>
        <w:spacing w:after="80" w:line="300"/>
      </w:pPr>
      <w:r>
        <w:rPr>
          <w:rFonts w:ascii="Georgia" w:cs="Georgia" w:eastAsia="Georgia" w:hAnsi="Georgia"/>
          <w:color w:val="1A1A1A"/>
          <w:sz w:val="22"/>
          <w:szCs w:val="22"/>
        </w:rPr>
        <w:t xml:space="preserve">Submit formulaire : disable des champs + spinner sur le CTA + désactivation du bouton submit pendant la requête.</w:t>
      </w:r>
    </w:p>
    <w:p>
      <w:pPr>
        <w:pStyle w:val="ListParagraph"/>
        <w:numPr>
          <w:ilvl w:val="0"/>
          <w:numId w:val="2"/>
        </w:numPr>
        <w:spacing w:after="80" w:line="300"/>
      </w:pPr>
      <w:r>
        <w:rPr>
          <w:rFonts w:ascii="Georgia" w:cs="Georgia" w:eastAsia="Georgia" w:hAnsi="Georgia"/>
          <w:color w:val="1A1A1A"/>
          <w:sz w:val="22"/>
          <w:szCs w:val="22"/>
        </w:rPr>
        <w:t xml:space="preserve">Hover sur image programme : zoom subtil (scale-105) sur l'image avec transition 300ms.</w:t>
      </w:r>
    </w:p>
    <w:p>
      <w:pPr>
        <w:pStyle w:val="ListParagraph"/>
        <w:numPr>
          <w:ilvl w:val="0"/>
          <w:numId w:val="2"/>
        </w:numPr>
        <w:spacing w:after="80" w:line="300"/>
      </w:pPr>
      <w:r>
        <w:rPr>
          <w:rFonts w:ascii="Georgia" w:cs="Georgia" w:eastAsia="Georgia" w:hAnsi="Georgia"/>
          <w:color w:val="1A1A1A"/>
          <w:sz w:val="22"/>
          <w:szCs w:val="22"/>
        </w:rPr>
        <w:t xml:space="preserve">Hover sur card programme : élévation shadow + bord supérieur gold qui apparaît.</w:t>
      </w:r>
    </w:p>
    <w:p>
      <w:pPr>
        <w:pStyle w:val="ListParagraph"/>
        <w:numPr>
          <w:ilvl w:val="0"/>
          <w:numId w:val="2"/>
        </w:numPr>
        <w:spacing w:after="80" w:line="300"/>
      </w:pPr>
      <w:r>
        <w:rPr>
          <w:rFonts w:ascii="Georgia" w:cs="Georgia" w:eastAsia="Georgia" w:hAnsi="Georgia"/>
          <w:color w:val="1A1A1A"/>
          <w:sz w:val="22"/>
          <w:szCs w:val="22"/>
        </w:rPr>
        <w:t xml:space="preserve">Click sur FAQ : accordion open avec animation 200ms ease-out, item ouvert avec icon rotated.</w:t>
      </w:r>
    </w:p>
    <w:p>
      <w:pPr>
        <w:pStyle w:val="ListParagraph"/>
        <w:numPr>
          <w:ilvl w:val="0"/>
          <w:numId w:val="2"/>
        </w:numPr>
        <w:spacing w:after="80" w:line="300"/>
      </w:pPr>
      <w:r>
        <w:rPr>
          <w:rFonts w:ascii="Georgia" w:cs="Georgia" w:eastAsia="Georgia" w:hAnsi="Georgia"/>
          <w:color w:val="1A1A1A"/>
          <w:sz w:val="22"/>
          <w:szCs w:val="22"/>
        </w:rPr>
        <w:t xml:space="preserve">Toast notifications : apparition en haut à droite (desktop) ou en haut centré (mobile), durée 4 secondes, fermeture manuelle possible.</w:t>
      </w:r>
    </w:p>
    <w:p>
      <w:r>
        <w:br w:type="page"/>
      </w:r>
    </w:p>
    <w:p>
      <w:pPr>
        <w:spacing w:after="80" w:before="240"/>
      </w:pPr>
      <w:r>
        <w:rPr>
          <w:rFonts w:ascii="Arial" w:cs="Arial" w:eastAsia="Arial" w:hAnsi="Arial"/>
          <w:b/>
          <w:bCs/>
          <w:color w:val="B08A3E"/>
          <w:spacing w:val="30"/>
          <w:sz w:val="18"/>
          <w:szCs w:val="18"/>
        </w:rPr>
        <w:t xml:space="preserve">PARTIE 9</w:t>
      </w:r>
    </w:p>
    <w:p>
      <w:pPr>
        <w:pStyle w:val="Heading1"/>
        <w:spacing w:after="200" w:before="360"/>
      </w:pPr>
      <w:r>
        <w:rPr>
          <w:rFonts w:ascii="Georgia" w:cs="Georgia" w:eastAsia="Georgia" w:hAnsi="Georgia"/>
          <w:b/>
          <w:bCs/>
          <w:color w:val="0B1A2A"/>
          <w:sz w:val="40"/>
          <w:szCs w:val="40"/>
        </w:rPr>
        <w:t xml:space="preserve">Parcours utilisateur clés</w:t>
      </w:r>
    </w:p>
    <w:p>
      <w:pPr>
        <w:spacing w:after="200" w:before="80"/>
      </w:pPr>
      <w:r>
        <w:rPr>
          <w:rFonts w:ascii="Arial" w:cs="Arial" w:eastAsia="Arial" w:hAnsi="Arial"/>
          <w:i/>
          <w:iCs/>
          <w:color w:val="6B6F76"/>
          <w:sz w:val="18"/>
          <w:szCs w:val="18"/>
        </w:rPr>
        <w:t xml:space="preserve">Les 4 parcours principaux à valider en QA. Chaque parcours est tracé dans PostHog comme funnel. Le parcours candidature MFF est traité dans le Document 2.</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Parcours 1 — Visiteur curieux qui devient prospect Forgeron</w:t>
      </w:r>
    </w:p>
    <w:p>
      <w:pPr>
        <w:shd w:fill="F6F6F2" w:val="clear"/>
        <w:spacing w:after="160" w:before="100" w:line="280"/>
        <w:ind w:left="240" w:right="240"/>
      </w:pPr>
      <w:r>
        <w:rPr>
          <w:rFonts w:ascii="Courier New" w:cs="Courier New" w:eastAsia="Courier New" w:hAnsi="Courier New"/>
          <w:color w:val="1A1A1A"/>
          <w:sz w:val="18"/>
          <w:szCs w:val="18"/>
        </w:rPr>
        <w:t xml:space="preserve">1. Atterrissage homepage / via SEO ou social
   → Hero, parcourt les 9 sections, ressent l'autorité
2. Click sur "Découvrir la méthode"
   → /methode, lit l'article long sur les 7 pratiques
3. Click sur "Voir le programme central"
   → /forge, parcourt la page programme
4. Click sur "Postuler à une Forge"
   → /forge#candidater (ancre vers le formulaire en bas de page)
5. Remplit le formulaire de candidature Forge (5 champs)
   → Soumission, page de confirmation
6. Email automatique : "Votre candidature est arrivée"
   → Calendrier Cal.com pour entretien découverte (60 min, MFF)
7. Entretien découverte avec MFF
   → Validation, signature contrat, paiement Stripe
8. Onboarding application
   → Cf. Document Architecture App (Paire 3)</w:t>
      </w:r>
    </w:p>
    <w:p>
      <w:pPr>
        <w:spacing w:after="120" w:line="320"/>
        <w:jc w:val="both"/>
      </w:pPr>
      <w:r>
        <w:rPr>
          <w:rFonts w:ascii="Georgia" w:cs="Georgia" w:eastAsia="Georgia" w:hAnsi="Georgia"/>
          <w:b w:val="false"/>
          <w:bCs w:val="false"/>
          <w:i w:val="false"/>
          <w:iCs w:val="false"/>
          <w:color w:val="1A1A1A"/>
          <w:sz w:val="22"/>
          <w:szCs w:val="22"/>
        </w:rPr>
        <w:t xml:space="preserve">Étapes 1-4 sont du parcours pure site. À tracer dans PostHog : page_view sur chaque page, programme_card_clicked, methode_completed (lecture &gt; 60% du long article).</w:t>
      </w:r>
    </w:p>
    <w:p>
      <w:pPr>
        <w:pStyle w:val="Heading2"/>
        <w:spacing w:after="200" w:before="360"/>
      </w:pPr>
      <w:r>
        <w:rPr>
          <w:rFonts w:ascii="Georgia" w:cs="Georgia" w:eastAsia="Georgia" w:hAnsi="Georgia"/>
          <w:b/>
          <w:bCs/>
          <w:color w:val="0B1A2A"/>
          <w:sz w:val="30"/>
          <w:szCs w:val="30"/>
        </w:rPr>
        <w:t xml:space="preserve">Parcours 2 — Décideur d'entreprise qui demande une démo TEAM</w:t>
      </w:r>
    </w:p>
    <w:p>
      <w:pPr>
        <w:shd w:fill="F6F6F2" w:val="clear"/>
        <w:spacing w:after="160" w:before="100" w:line="280"/>
        <w:ind w:left="240" w:right="240"/>
      </w:pPr>
      <w:r>
        <w:rPr>
          <w:rFonts w:ascii="Courier New" w:cs="Courier New" w:eastAsia="Courier New" w:hAnsi="Courier New"/>
          <w:color w:val="1A1A1A"/>
          <w:sz w:val="18"/>
          <w:szCs w:val="18"/>
        </w:rPr>
        <w:t xml:space="preserve">1. Atterrissage homepage / via LinkedIn ou recommandation
   → Click sur "Pour les entreprises" dans la navigation
2. /team, parcourt la page produit B2B
   → Lit les 4 profils-types, les exemples de budget
3. Click sur "Demander une démonstration"
   → Formulaire de qualification (10 champs : entreprise, taille équipe,
     industrie, contexte, budget envisagé)
4. Soumission
   → Email automatique de confirmation à l'entreprise
   → Notification interne à HP + responsable TEAM
   → Calendrier Cal.com pour démo (90 min, HP)
5. Démo en visio (90 min)
   → Présentation méthode + mini-Forge sur cas réel + Q&amp;R
6. Suivi commercial cycle 3-6 mois
   → Pas géré sur le site, en CRM externe (Pipedrive ou Hubspot)
7. Signature contrat TEAM
   → Onboarding spécifique TEAM (cf. Word TEAM v1)</w:t>
      </w:r>
    </w:p>
    <w:p>
      <w:pPr>
        <w:pStyle w:val="Heading2"/>
        <w:spacing w:after="200" w:before="360"/>
      </w:pPr>
      <w:r>
        <w:rPr>
          <w:rFonts w:ascii="Georgia" w:cs="Georgia" w:eastAsia="Georgia" w:hAnsi="Georgia"/>
          <w:b/>
          <w:bCs/>
          <w:color w:val="0B1A2A"/>
          <w:sz w:val="30"/>
          <w:szCs w:val="30"/>
        </w:rPr>
        <w:t xml:space="preserve">Parcours 3 — Lecteur du journal qui devient prospect</w:t>
      </w:r>
    </w:p>
    <w:p>
      <w:pPr>
        <w:shd w:fill="F6F6F2" w:val="clear"/>
        <w:spacing w:after="160" w:before="100" w:line="280"/>
        <w:ind w:left="240" w:right="240"/>
      </w:pPr>
      <w:r>
        <w:rPr>
          <w:rFonts w:ascii="Courier New" w:cs="Courier New" w:eastAsia="Courier New" w:hAnsi="Courier New"/>
          <w:color w:val="1A1A1A"/>
          <w:sz w:val="18"/>
          <w:szCs w:val="18"/>
        </w:rPr>
        <w:t xml:space="preserve">1. Atterrissage /journal/[slug] via search ou social
   → Lit l'article (12-20 minutes pour les longs)
2. Au pied de l'article : encart Programme APEXER lié
   → Click vers la page programme correspondante
3. Continue le parcours 1 (devient prospect Forgeron)
   OU s'inscrit à la newsletter pour rester en contact</w:t>
      </w:r>
    </w:p>
    <w:p>
      <w:pPr>
        <w:pStyle w:val="Heading2"/>
        <w:spacing w:after="200" w:before="360"/>
      </w:pPr>
      <w:r>
        <w:rPr>
          <w:rFonts w:ascii="Georgia" w:cs="Georgia" w:eastAsia="Georgia" w:hAnsi="Georgia"/>
          <w:b/>
          <w:bCs/>
          <w:color w:val="0B1A2A"/>
          <w:sz w:val="30"/>
          <w:szCs w:val="30"/>
        </w:rPr>
        <w:t xml:space="preserve">Parcours 4 — Candidat MFF (résumé, détaillé en Doc 2)</w:t>
      </w:r>
    </w:p>
    <w:p>
      <w:pPr>
        <w:shd w:fill="F6F6F2" w:val="clear"/>
        <w:spacing w:after="160" w:before="100" w:line="280"/>
        <w:ind w:left="240" w:right="240"/>
      </w:pPr>
      <w:r>
        <w:rPr>
          <w:rFonts w:ascii="Courier New" w:cs="Courier New" w:eastAsia="Courier New" w:hAnsi="Courier New"/>
          <w:color w:val="1A1A1A"/>
          <w:sz w:val="18"/>
          <w:szCs w:val="18"/>
        </w:rPr>
        <w:t xml:space="preserve">1. Atterrissage /candidater via plusieurs canaux possibles
   → Page candidature MFF avec présentation longue
2. Click "Engager ma candidature"
   → Étape 1 : Formulaire (15 champs, 15 min)
3. Étape 2 : Test de Recrutement (45-60 min, cf. Vague 2.5)
4. Étape 3 : Étude dossier (5 jours côté APEXER)
5. Étape 4 : Entretien (90 min visio, HP ou Pionnier)
6. Étape 5 : Signature contrat de licence + paiement Stripe
7. Étape 6 : Bascule vers formation initiale FORGERON
Détail complet des 6 étapes : Document 2 (Tunnel commercial).</w:t>
      </w:r>
    </w:p>
    <w:p>
      <w:pPr>
        <w:pStyle w:val="Heading2"/>
        <w:spacing w:after="200" w:before="360"/>
      </w:pPr>
      <w:r>
        <w:rPr>
          <w:rFonts w:ascii="Georgia" w:cs="Georgia" w:eastAsia="Georgia" w:hAnsi="Georgia"/>
          <w:b/>
          <w:bCs/>
          <w:color w:val="0B1A2A"/>
          <w:sz w:val="30"/>
          <w:szCs w:val="30"/>
        </w:rPr>
        <w:t xml:space="preserve">Funnels PostHog à configurer</w:t>
      </w:r>
    </w:p>
    <w:p>
      <w:pPr>
        <w:spacing w:after="120" w:line="320"/>
        <w:jc w:val="both"/>
      </w:pPr>
      <w:r>
        <w:rPr>
          <w:rFonts w:ascii="Georgia" w:cs="Georgia" w:eastAsia="Georgia" w:hAnsi="Georgia"/>
          <w:b w:val="false"/>
          <w:bCs w:val="false"/>
          <w:i w:val="false"/>
          <w:iCs w:val="false"/>
          <w:color w:val="1A1A1A"/>
          <w:sz w:val="22"/>
          <w:szCs w:val="22"/>
        </w:rPr>
        <w:t xml:space="preserve">Quatre funnels prioritaires, à mesurer dès la mise en ligne.</w:t>
      </w:r>
    </w:p>
    <w:p>
      <w:pPr>
        <w:pStyle w:val="ListParagraph"/>
        <w:numPr>
          <w:ilvl w:val="0"/>
          <w:numId w:val="2"/>
        </w:numPr>
        <w:spacing w:after="80" w:line="300"/>
      </w:pPr>
      <w:r>
        <w:rPr>
          <w:rFonts w:ascii="Georgia" w:cs="Georgia" w:eastAsia="Georgia" w:hAnsi="Georgia"/>
          <w:color w:val="1A1A1A"/>
          <w:sz w:val="22"/>
          <w:szCs w:val="22"/>
        </w:rPr>
        <w:t xml:space="preserve">Funnel Forgeron : page_view homepage → page_view /forge → forge_application_started → forge_application_submitted → forge_meeting_booked → forge_payment_succeeded. Cible v1 : 0,5% à 1% taux de conversion homepage → payment.</w:t>
      </w:r>
    </w:p>
    <w:p>
      <w:pPr>
        <w:pStyle w:val="ListParagraph"/>
        <w:numPr>
          <w:ilvl w:val="0"/>
          <w:numId w:val="2"/>
        </w:numPr>
        <w:spacing w:after="80" w:line="300"/>
      </w:pPr>
      <w:r>
        <w:rPr>
          <w:rFonts w:ascii="Georgia" w:cs="Georgia" w:eastAsia="Georgia" w:hAnsi="Georgia"/>
          <w:color w:val="1A1A1A"/>
          <w:sz w:val="22"/>
          <w:szCs w:val="22"/>
        </w:rPr>
        <w:t xml:space="preserve">Funnel MFF : page_view homepage → page_view /candidater → mff_application_started → test_started → test_completed → mff_meeting_booked → contract_signed → contract_paid. Cible v1 : 0,1% à 0,3% taux de conversion homepage → contrat signé.</w:t>
      </w:r>
    </w:p>
    <w:p>
      <w:pPr>
        <w:pStyle w:val="ListParagraph"/>
        <w:numPr>
          <w:ilvl w:val="0"/>
          <w:numId w:val="2"/>
        </w:numPr>
        <w:spacing w:after="80" w:line="300"/>
      </w:pPr>
      <w:r>
        <w:rPr>
          <w:rFonts w:ascii="Georgia" w:cs="Georgia" w:eastAsia="Georgia" w:hAnsi="Georgia"/>
          <w:color w:val="1A1A1A"/>
          <w:sz w:val="22"/>
          <w:szCs w:val="22"/>
        </w:rPr>
        <w:t xml:space="preserve">Funnel TEAM : page_view homepage → page_view /team → team_demo_requested. Pas de mesure de conversion finale dans le site (cycle long off-site). Cible : 1 à 2% taux de conversion page programme → demande de démo.</w:t>
      </w:r>
    </w:p>
    <w:p>
      <w:pPr>
        <w:pStyle w:val="ListParagraph"/>
        <w:numPr>
          <w:ilvl w:val="0"/>
          <w:numId w:val="2"/>
        </w:numPr>
        <w:spacing w:after="80" w:line="300"/>
      </w:pPr>
      <w:r>
        <w:rPr>
          <w:rFonts w:ascii="Georgia" w:cs="Georgia" w:eastAsia="Georgia" w:hAnsi="Georgia"/>
          <w:color w:val="1A1A1A"/>
          <w:sz w:val="22"/>
          <w:szCs w:val="22"/>
        </w:rPr>
        <w:t xml:space="preserve">Funnel YOUNG : page_view homepage → page_view /young → young_demo_requested. Mesures similaires à TEAM, volume plus faible attendu en v1.</w:t>
      </w:r>
    </w:p>
    <w:p>
      <w:r>
        <w:br w:type="page"/>
      </w:r>
    </w:p>
    <w:p>
      <w:pPr>
        <w:spacing w:after="80" w:before="240"/>
      </w:pPr>
      <w:r>
        <w:rPr>
          <w:rFonts w:ascii="Arial" w:cs="Arial" w:eastAsia="Arial" w:hAnsi="Arial"/>
          <w:b/>
          <w:bCs/>
          <w:color w:val="B08A3E"/>
          <w:spacing w:val="30"/>
          <w:sz w:val="18"/>
          <w:szCs w:val="18"/>
        </w:rPr>
        <w:t xml:space="preserve">PARTIE 10</w:t>
      </w:r>
    </w:p>
    <w:p>
      <w:pPr>
        <w:pStyle w:val="Heading1"/>
        <w:spacing w:after="200" w:before="360"/>
      </w:pPr>
      <w:r>
        <w:rPr>
          <w:rFonts w:ascii="Georgia" w:cs="Georgia" w:eastAsia="Georgia" w:hAnsi="Georgia"/>
          <w:b/>
          <w:bCs/>
          <w:color w:val="0B1A2A"/>
          <w:sz w:val="40"/>
          <w:szCs w:val="40"/>
        </w:rPr>
        <w:t xml:space="preserve">Validation et passerelle vers Document 2</w:t>
      </w:r>
    </w:p>
    <w:p>
      <w:pPr>
        <w:spacing w:after="200" w:before="80"/>
      </w:pPr>
      <w:r>
        <w:rPr>
          <w:rFonts w:ascii="Arial" w:cs="Arial" w:eastAsia="Arial" w:hAnsi="Arial"/>
          <w:i/>
          <w:iCs/>
          <w:color w:val="6B6F76"/>
          <w:sz w:val="18"/>
          <w:szCs w:val="18"/>
        </w:rPr>
        <w:t xml:space="preserve">Récapitulatif et orientation vers le Tunnel commercial.</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La carte du site : 25+ pages réparties en 6 zones (homepage, programmes, candidature, institutionnelles, journal, légales).</w:t>
      </w:r>
    </w:p>
    <w:p>
      <w:pPr>
        <w:pStyle w:val="ListParagraph"/>
        <w:numPr>
          <w:ilvl w:val="0"/>
          <w:numId w:val="2"/>
        </w:numPr>
        <w:spacing w:after="80" w:line="300"/>
      </w:pPr>
      <w:r>
        <w:rPr>
          <w:rFonts w:ascii="Georgia" w:cs="Georgia" w:eastAsia="Georgia" w:hAnsi="Georgia"/>
          <w:color w:val="1A1A1A"/>
          <w:sz w:val="22"/>
          <w:szCs w:val="22"/>
        </w:rPr>
        <w:t xml:space="preserve">La hiérarchie de navigation : header sticky avec 5 entrées + 2 CTAs, footer 4 colonnes, navigation contextuelle sur certaines pages.</w:t>
      </w:r>
    </w:p>
    <w:p>
      <w:pPr>
        <w:pStyle w:val="ListParagraph"/>
        <w:numPr>
          <w:ilvl w:val="0"/>
          <w:numId w:val="2"/>
        </w:numPr>
        <w:spacing w:after="80" w:line="300"/>
      </w:pPr>
      <w:r>
        <w:rPr>
          <w:rFonts w:ascii="Georgia" w:cs="Georgia" w:eastAsia="Georgia" w:hAnsi="Georgia"/>
          <w:color w:val="1A1A1A"/>
          <w:sz w:val="22"/>
          <w:szCs w:val="22"/>
        </w:rPr>
        <w:t xml:space="preserve">La structure de la homepage en 9 sections (Hero, Constat, Enquête, 7 pratiques, Forge, Programmes, Maillage, MFF, CTA final).</w:t>
      </w:r>
    </w:p>
    <w:p>
      <w:pPr>
        <w:pStyle w:val="ListParagraph"/>
        <w:numPr>
          <w:ilvl w:val="0"/>
          <w:numId w:val="2"/>
        </w:numPr>
        <w:spacing w:after="80" w:line="300"/>
      </w:pPr>
      <w:r>
        <w:rPr>
          <w:rFonts w:ascii="Georgia" w:cs="Georgia" w:eastAsia="Georgia" w:hAnsi="Georgia"/>
          <w:color w:val="1A1A1A"/>
          <w:sz w:val="22"/>
          <w:szCs w:val="22"/>
        </w:rPr>
        <w:t xml:space="preserve">La structure standardisée des 8 pages programmes (9 sections par page) et leurs adaptations pour TEAM/YOUNG.</w:t>
      </w:r>
    </w:p>
    <w:p>
      <w:pPr>
        <w:pStyle w:val="ListParagraph"/>
        <w:numPr>
          <w:ilvl w:val="0"/>
          <w:numId w:val="2"/>
        </w:numPr>
        <w:spacing w:after="80" w:line="300"/>
      </w:pPr>
      <w:r>
        <w:rPr>
          <w:rFonts w:ascii="Georgia" w:cs="Georgia" w:eastAsia="Georgia" w:hAnsi="Georgia"/>
          <w:color w:val="1A1A1A"/>
          <w:sz w:val="22"/>
          <w:szCs w:val="22"/>
        </w:rPr>
        <w:t xml:space="preserve">Les pages institutionnelles (/manifeste, /methode, /a-propos, /pourquoi, /journal, /ressources, /contact, /partenaires, /faq).</w:t>
      </w:r>
    </w:p>
    <w:p>
      <w:pPr>
        <w:pStyle w:val="ListParagraph"/>
        <w:numPr>
          <w:ilvl w:val="0"/>
          <w:numId w:val="2"/>
        </w:numPr>
        <w:spacing w:after="80" w:line="300"/>
      </w:pPr>
      <w:r>
        <w:rPr>
          <w:rFonts w:ascii="Georgia" w:cs="Georgia" w:eastAsia="Georgia" w:hAnsi="Georgia"/>
          <w:color w:val="1A1A1A"/>
          <w:sz w:val="22"/>
          <w:szCs w:val="22"/>
        </w:rPr>
        <w:t xml:space="preserve">Les composants UI spécifiques au site : HeroPage, SectionConstats, SectionPracticesGrid, SectionForgeFormat, SectionProgramsGrid, SectionForgesMap, ArticleCard, ArticleHeader, ArticleBody, ArticleShare.</w:t>
      </w:r>
    </w:p>
    <w:p>
      <w:pPr>
        <w:pStyle w:val="ListParagraph"/>
        <w:numPr>
          <w:ilvl w:val="0"/>
          <w:numId w:val="2"/>
        </w:numPr>
        <w:spacing w:after="80" w:line="300"/>
      </w:pPr>
      <w:r>
        <w:rPr>
          <w:rFonts w:ascii="Georgia" w:cs="Georgia" w:eastAsia="Georgia" w:hAnsi="Georgia"/>
          <w:color w:val="1A1A1A"/>
          <w:sz w:val="22"/>
          <w:szCs w:val="22"/>
        </w:rPr>
        <w:t xml:space="preserve">La stratégie SEO : mots-clés de marque + longue traîne, architecture URLs, métadonnées, schema.org.</w:t>
      </w:r>
    </w:p>
    <w:p>
      <w:pPr>
        <w:pStyle w:val="ListParagraph"/>
        <w:numPr>
          <w:ilvl w:val="0"/>
          <w:numId w:val="2"/>
        </w:numPr>
        <w:spacing w:after="80" w:line="300"/>
      </w:pPr>
      <w:r>
        <w:rPr>
          <w:rFonts w:ascii="Georgia" w:cs="Georgia" w:eastAsia="Georgia" w:hAnsi="Georgia"/>
          <w:color w:val="1A1A1A"/>
          <w:sz w:val="22"/>
          <w:szCs w:val="22"/>
        </w:rPr>
        <w:t xml:space="preserve">Les cibles de performance : LCP &lt; 2.5s, Lighthouse &gt; 95, bundle JS &lt; 150 Ko.</w:t>
      </w:r>
    </w:p>
    <w:p>
      <w:pPr>
        <w:pStyle w:val="ListParagraph"/>
        <w:numPr>
          <w:ilvl w:val="0"/>
          <w:numId w:val="2"/>
        </w:numPr>
        <w:spacing w:after="80" w:line="300"/>
      </w:pPr>
      <w:r>
        <w:rPr>
          <w:rFonts w:ascii="Georgia" w:cs="Georgia" w:eastAsia="Georgia" w:hAnsi="Georgia"/>
          <w:color w:val="1A1A1A"/>
          <w:sz w:val="22"/>
          <w:szCs w:val="22"/>
        </w:rPr>
        <w:t xml:space="preserve">Les breakpoints responsive (default → 2xl) et les adaptations spécifiques mobile/tablette/desktop.</w:t>
      </w:r>
    </w:p>
    <w:p>
      <w:pPr>
        <w:pStyle w:val="ListParagraph"/>
        <w:numPr>
          <w:ilvl w:val="0"/>
          <w:numId w:val="2"/>
        </w:numPr>
        <w:spacing w:after="80" w:line="300"/>
      </w:pPr>
      <w:r>
        <w:rPr>
          <w:rFonts w:ascii="Georgia" w:cs="Georgia" w:eastAsia="Georgia" w:hAnsi="Georgia"/>
          <w:color w:val="1A1A1A"/>
          <w:sz w:val="22"/>
          <w:szCs w:val="22"/>
        </w:rPr>
        <w:t xml:space="preserve">Les états visuels (default, hover, focus, active, disabled, loading, error) et microcopies d'états transactionnels.</w:t>
      </w:r>
    </w:p>
    <w:p>
      <w:pPr>
        <w:pStyle w:val="ListParagraph"/>
        <w:numPr>
          <w:ilvl w:val="0"/>
          <w:numId w:val="2"/>
        </w:numPr>
        <w:spacing w:after="80" w:line="300"/>
      </w:pPr>
      <w:r>
        <w:rPr>
          <w:rFonts w:ascii="Georgia" w:cs="Georgia" w:eastAsia="Georgia" w:hAnsi="Georgia"/>
          <w:color w:val="1A1A1A"/>
          <w:sz w:val="22"/>
          <w:szCs w:val="22"/>
        </w:rPr>
        <w:t xml:space="preserve">Les 4 parcours utilisateur clés et les funnels PostHog à configurer.</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l'architecture site, lance le Tunnel commercial.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w:t>
      </w:r>
    </w:p>
    <w:p>
      <w:pPr>
        <w:pStyle w:val="Heading2"/>
        <w:spacing w:after="200" w:before="360"/>
      </w:pPr>
      <w:r>
        <w:rPr>
          <w:rFonts w:ascii="Georgia" w:cs="Georgia" w:eastAsia="Georgia" w:hAnsi="Georgia"/>
          <w:b/>
          <w:bCs/>
          <w:color w:val="0B1A2A"/>
          <w:sz w:val="30"/>
          <w:szCs w:val="30"/>
        </w:rPr>
        <w:t xml:space="preserve">Document 2 de la Paire 2 — Tunnel commercial</w:t>
      </w:r>
    </w:p>
    <w:p>
      <w:pPr>
        <w:spacing w:after="120" w:line="320"/>
        <w:jc w:val="both"/>
      </w:pPr>
      <w:r>
        <w:rPr>
          <w:rFonts w:ascii="Georgia" w:cs="Georgia" w:eastAsia="Georgia" w:hAnsi="Georgia"/>
          <w:b w:val="false"/>
          <w:bCs w:val="false"/>
          <w:i w:val="false"/>
          <w:iCs w:val="false"/>
          <w:color w:val="1A1A1A"/>
          <w:sz w:val="22"/>
          <w:szCs w:val="22"/>
        </w:rPr>
        <w:t xml:space="preserve">Le Document 2 traite spécifiquement les tunnels commerciaux du site, séparé du document Architecture parce qu'il est suffisamment dense et stratégique pour mériter son propre document. Il couvrira.</w:t>
      </w:r>
    </w:p>
    <w:p>
      <w:pPr>
        <w:pStyle w:val="ListParagraph"/>
        <w:numPr>
          <w:ilvl w:val="0"/>
          <w:numId w:val="2"/>
        </w:numPr>
        <w:spacing w:after="80" w:line="300"/>
      </w:pPr>
      <w:r>
        <w:rPr>
          <w:rFonts w:ascii="Georgia" w:cs="Georgia" w:eastAsia="Georgia" w:hAnsi="Georgia"/>
          <w:color w:val="1A1A1A"/>
          <w:sz w:val="22"/>
          <w:szCs w:val="22"/>
        </w:rPr>
        <w:t xml:space="preserve">Le tunnel candidature Forgeron : 5 étapes (formulaire court, confirmation, prise de RDV, entretien découverte avec MFF, signature et paiement).</w:t>
      </w:r>
    </w:p>
    <w:p>
      <w:pPr>
        <w:pStyle w:val="ListParagraph"/>
        <w:numPr>
          <w:ilvl w:val="0"/>
          <w:numId w:val="2"/>
        </w:numPr>
        <w:spacing w:after="80" w:line="300"/>
      </w:pPr>
      <w:r>
        <w:rPr>
          <w:rFonts w:ascii="Georgia" w:cs="Georgia" w:eastAsia="Georgia" w:hAnsi="Georgia"/>
          <w:color w:val="1A1A1A"/>
          <w:sz w:val="22"/>
          <w:szCs w:val="22"/>
        </w:rPr>
        <w:t xml:space="preserve">Le tunnel candidature Maître-Forgeron Fondateur : 6 étapes (formulaire long, test de recrutement, étude dossier, entretien, signature contrat licence, début formation FORGERON).</w:t>
      </w:r>
    </w:p>
    <w:p>
      <w:pPr>
        <w:pStyle w:val="ListParagraph"/>
        <w:numPr>
          <w:ilvl w:val="0"/>
          <w:numId w:val="2"/>
        </w:numPr>
        <w:spacing w:after="80" w:line="300"/>
      </w:pPr>
      <w:r>
        <w:rPr>
          <w:rFonts w:ascii="Georgia" w:cs="Georgia" w:eastAsia="Georgia" w:hAnsi="Georgia"/>
          <w:color w:val="1A1A1A"/>
          <w:sz w:val="22"/>
          <w:szCs w:val="22"/>
        </w:rPr>
        <w:t xml:space="preserve">La page /pourquoi avec les 3 angles narratifs : Pourquoi votre vie va changer · Pourquoi celle des autres va changer · Pourquoi maintenant.</w:t>
      </w:r>
    </w:p>
    <w:p>
      <w:pPr>
        <w:pStyle w:val="ListParagraph"/>
        <w:numPr>
          <w:ilvl w:val="0"/>
          <w:numId w:val="2"/>
        </w:numPr>
        <w:spacing w:after="80" w:line="300"/>
      </w:pPr>
      <w:r>
        <w:rPr>
          <w:rFonts w:ascii="Georgia" w:cs="Georgia" w:eastAsia="Georgia" w:hAnsi="Georgia"/>
          <w:color w:val="1A1A1A"/>
          <w:sz w:val="22"/>
          <w:szCs w:val="22"/>
        </w:rPr>
        <w:t xml:space="preserve">Les pages de demande de démo TEAM et YOUNG (formulaires de qualification, scripts d'entretien, traitement des leads).</w:t>
      </w:r>
    </w:p>
    <w:p>
      <w:pPr>
        <w:pStyle w:val="ListParagraph"/>
        <w:numPr>
          <w:ilvl w:val="0"/>
          <w:numId w:val="2"/>
        </w:numPr>
        <w:spacing w:after="80" w:line="300"/>
      </w:pPr>
      <w:r>
        <w:rPr>
          <w:rFonts w:ascii="Georgia" w:cs="Georgia" w:eastAsia="Georgia" w:hAnsi="Georgia"/>
          <w:color w:val="1A1A1A"/>
          <w:sz w:val="22"/>
          <w:szCs w:val="22"/>
        </w:rPr>
        <w:t xml:space="preserve">Les scripts de relance email (J+1, J+3, J+7) pour candidatures incomplètes ou abandons en milieu de tunnel.</w:t>
      </w:r>
    </w:p>
    <w:p>
      <w:pPr>
        <w:pStyle w:val="ListParagraph"/>
        <w:numPr>
          <w:ilvl w:val="0"/>
          <w:numId w:val="2"/>
        </w:numPr>
        <w:spacing w:after="80" w:line="300"/>
      </w:pPr>
      <w:r>
        <w:rPr>
          <w:rFonts w:ascii="Georgia" w:cs="Georgia" w:eastAsia="Georgia" w:hAnsi="Georgia"/>
          <w:color w:val="1A1A1A"/>
          <w:sz w:val="22"/>
          <w:szCs w:val="22"/>
        </w:rPr>
        <w:t xml:space="preserve">Les microcopies de conversion à chaque étape (titres, ledes, CTAs, helpers).</w:t>
      </w:r>
    </w:p>
    <w:p>
      <w:pPr>
        <w:pStyle w:val="ListParagraph"/>
        <w:numPr>
          <w:ilvl w:val="0"/>
          <w:numId w:val="2"/>
        </w:numPr>
        <w:spacing w:after="80" w:line="300"/>
      </w:pPr>
      <w:r>
        <w:rPr>
          <w:rFonts w:ascii="Georgia" w:cs="Georgia" w:eastAsia="Georgia" w:hAnsi="Georgia"/>
          <w:color w:val="1A1A1A"/>
          <w:sz w:val="22"/>
          <w:szCs w:val="22"/>
        </w:rPr>
        <w:t xml:space="preserve">Les A/B tests recommandés en v1 (CTAs Hero, page /pourquoi en variantes, ordre des cartes programmes homepage).</w:t>
      </w:r>
    </w:p>
    <w:p>
      <w:pPr>
        <w:pStyle w:val="ListParagraph"/>
        <w:numPr>
          <w:ilvl w:val="0"/>
          <w:numId w:val="2"/>
        </w:numPr>
        <w:spacing w:after="80" w:line="300"/>
      </w:pPr>
      <w:r>
        <w:rPr>
          <w:rFonts w:ascii="Georgia" w:cs="Georgia" w:eastAsia="Georgia" w:hAnsi="Georgia"/>
          <w:color w:val="1A1A1A"/>
          <w:sz w:val="22"/>
          <w:szCs w:val="22"/>
        </w:rPr>
        <w:t xml:space="preserve">Le tracking PostHog détaillé par étape de tunnel.</w:t>
      </w:r>
    </w:p>
    <w:p>
      <w:pPr>
        <w:pStyle w:val="Heading2"/>
        <w:spacing w:after="200" w:before="360"/>
      </w:pPr>
      <w:r>
        <w:rPr>
          <w:rFonts w:ascii="Georgia" w:cs="Georgia" w:eastAsia="Georgia" w:hAnsi="Georgia"/>
          <w:b/>
          <w:bCs/>
          <w:color w:val="0B1A2A"/>
          <w:sz w:val="30"/>
          <w:szCs w:val="30"/>
        </w:rPr>
        <w:t xml:space="preserve">État global du dossier APEXER</w:t>
      </w:r>
    </w:p>
    <w:p>
      <w:pPr>
        <w:spacing w:after="120" w:line="320"/>
        <w:jc w:val="both"/>
      </w:pPr>
      <w:r>
        <w:rPr>
          <w:rFonts w:ascii="Georgia" w:cs="Georgia" w:eastAsia="Georgia" w:hAnsi="Georgia"/>
          <w:b w:val="false"/>
          <w:bCs w:val="false"/>
          <w:i w:val="false"/>
          <w:iCs w:val="false"/>
          <w:color w:val="1A1A1A"/>
          <w:sz w:val="22"/>
          <w:szCs w:val="22"/>
        </w:rPr>
        <w:t xml:space="preserve">Avec ce document, le dossier APEXER complet se compose désormais de 15 documents Word.</w:t>
      </w:r>
    </w:p>
    <w:p>
      <w:pPr>
        <w:pStyle w:val="ListParagraph"/>
        <w:numPr>
          <w:ilvl w:val="0"/>
          <w:numId w:val="2"/>
        </w:numPr>
        <w:spacing w:after="80" w:line="300"/>
      </w:pPr>
      <w:r>
        <w:rPr>
          <w:rFonts w:ascii="Georgia" w:cs="Georgia" w:eastAsia="Georgia" w:hAnsi="Georgia"/>
          <w:color w:val="1A1A1A"/>
          <w:sz w:val="22"/>
          <w:szCs w:val="22"/>
        </w:rPr>
        <w:t xml:space="preserve">Vagues 1 et 2 (cadre fondateur) — 2 documents.</w:t>
      </w:r>
    </w:p>
    <w:p>
      <w:pPr>
        <w:pStyle w:val="ListParagraph"/>
        <w:numPr>
          <w:ilvl w:val="0"/>
          <w:numId w:val="2"/>
        </w:numPr>
        <w:spacing w:after="80" w:line="300"/>
      </w:pPr>
      <w:r>
        <w:rPr>
          <w:rFonts w:ascii="Georgia" w:cs="Georgia" w:eastAsia="Georgia" w:hAnsi="Georgia"/>
          <w:color w:val="1A1A1A"/>
          <w:sz w:val="22"/>
          <w:szCs w:val="22"/>
        </w:rPr>
        <w:t xml:space="preserve">Vague 2.5 (Test de Recrutement MFF) — 1 document.</w:t>
      </w:r>
    </w:p>
    <w:p>
      <w:pPr>
        <w:pStyle w:val="ListParagraph"/>
        <w:numPr>
          <w:ilvl w:val="0"/>
          <w:numId w:val="2"/>
        </w:numPr>
        <w:spacing w:after="80" w:line="300"/>
      </w:pPr>
      <w:r>
        <w:rPr>
          <w:rFonts w:ascii="Georgia" w:cs="Georgia" w:eastAsia="Georgia" w:hAnsi="Georgia"/>
          <w:color w:val="1A1A1A"/>
          <w:sz w:val="22"/>
          <w:szCs w:val="22"/>
        </w:rPr>
        <w:t xml:space="preserve">Vague 3 (8 programmes pédagogiques) — 8 documents.</w:t>
      </w:r>
    </w:p>
    <w:p>
      <w:pPr>
        <w:pStyle w:val="ListParagraph"/>
        <w:numPr>
          <w:ilvl w:val="0"/>
          <w:numId w:val="2"/>
        </w:numPr>
        <w:spacing w:after="80" w:line="300"/>
      </w:pPr>
      <w:r>
        <w:rPr>
          <w:rFonts w:ascii="Georgia" w:cs="Georgia" w:eastAsia="Georgia" w:hAnsi="Georgia"/>
          <w:color w:val="1A1A1A"/>
          <w:sz w:val="22"/>
          <w:szCs w:val="22"/>
        </w:rPr>
        <w:t xml:space="preserve">Paire 1 (Reco Claude Code + Prompts image) — 2 documents.</w:t>
      </w:r>
    </w:p>
    <w:p>
      <w:pPr>
        <w:pStyle w:val="ListParagraph"/>
        <w:numPr>
          <w:ilvl w:val="0"/>
          <w:numId w:val="2"/>
        </w:numPr>
        <w:spacing w:after="80" w:line="300"/>
      </w:pPr>
      <w:r>
        <w:rPr>
          <w:rFonts w:ascii="Georgia" w:cs="Georgia" w:eastAsia="Georgia" w:hAnsi="Georgia"/>
          <w:color w:val="1A1A1A"/>
          <w:sz w:val="22"/>
          <w:szCs w:val="22"/>
        </w:rPr>
        <w:t xml:space="preserve">Paire 2 — Document 1 (Architecture site, présent document) — 1 document.</w:t>
      </w:r>
    </w:p>
    <w:p>
      <w:pPr>
        <w:pStyle w:val="ListParagraph"/>
        <w:numPr>
          <w:ilvl w:val="0"/>
          <w:numId w:val="2"/>
        </w:numPr>
        <w:spacing w:after="80" w:line="300"/>
      </w:pPr>
      <w:r>
        <w:rPr>
          <w:rFonts w:ascii="Georgia" w:cs="Georgia" w:eastAsia="Georgia" w:hAnsi="Georgia"/>
          <w:color w:val="1A1A1A"/>
          <w:sz w:val="22"/>
          <w:szCs w:val="22"/>
        </w:rPr>
        <w:t xml:space="preserve">À venir : Paire 2 Document 2 (Tunnel commercial), Paire 3 Documents 1 et 2 (Architecture app + Notifications push).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Architecture du site</dc:title>
  <dc:creator>APEXER · KAHP SAS</dc:creator>
  <dc:description>Paire 2 · Document 1 sur 2</dc:description>
  <cp:lastModifiedBy>Un-named</cp:lastModifiedBy>
  <cp:revision>1</cp:revision>
  <dcterms:created xsi:type="dcterms:W3CDTF">2026-05-05T07:24:19.728Z</dcterms:created>
  <dcterms:modified xsi:type="dcterms:W3CDTF">2026-05-05T07:24:19.741Z</dcterms:modified>
</cp:coreProperties>
</file>

<file path=docProps/custom.xml><?xml version="1.0" encoding="utf-8"?>
<Properties xmlns="http://schemas.openxmlformats.org/officeDocument/2006/custom-properties" xmlns:vt="http://schemas.openxmlformats.org/officeDocument/2006/docPropsVTypes"/>
</file>