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100"/>
          <w:sz w:val="110"/>
          <w:szCs w:val="110"/>
        </w:rPr>
        <w:t xml:space="preserve">TEAM</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OFFRE B2B ENTREPRISE</w:t>
      </w:r>
    </w:p>
    <w:p>
      <w:pPr>
        <w:spacing w:after="800"/>
        <w:jc w:val="center"/>
      </w:pPr>
      <w:r>
        <w:rPr>
          <w:rFonts w:ascii="Georgia" w:cs="Georgia" w:eastAsia="Georgia" w:hAnsi="Georgia"/>
          <w:i/>
          <w:iCs/>
          <w:color w:val="6B6F76"/>
          <w:sz w:val="22"/>
          <w:szCs w:val="22"/>
        </w:rPr>
        <w:t xml:space="preserve">Installer les Standards APEXER dans une équipe commerciale</w:t>
      </w:r>
    </w:p>
    <w:p>
      <w:pPr>
        <w:spacing w:after="80" w:line="380"/>
        <w:ind w:left="720" w:right="720"/>
        <w:jc w:val="center"/>
      </w:pPr>
      <w:r>
        <w:rPr>
          <w:rFonts w:ascii="Georgia" w:cs="Georgia" w:eastAsia="Georgia" w:hAnsi="Georgia"/>
          <w:i/>
          <w:iCs/>
          <w:color w:val="0B1A2A"/>
          <w:sz w:val="26"/>
          <w:szCs w:val="26"/>
        </w:rPr>
        <w:t xml:space="preserve">« Vous n'achetez pas une formation pour vos commerciaux.</w:t>
      </w:r>
    </w:p>
    <w:p>
      <w:pPr>
        <w:spacing w:after="1200" w:line="380"/>
        <w:ind w:left="720" w:right="720"/>
        <w:jc w:val="center"/>
      </w:pPr>
      <w:r>
        <w:rPr>
          <w:rFonts w:ascii="Georgia" w:cs="Georgia" w:eastAsia="Georgia" w:hAnsi="Georgia"/>
          <w:i/>
          <w:iCs/>
          <w:color w:val="0B1A2A"/>
          <w:sz w:val="26"/>
          <w:szCs w:val="26"/>
        </w:rPr>
        <w:t xml:space="preserve">Vous installez un système qu'ils tiennent. »</w:t>
      </w:r>
    </w:p>
    <w:p>
      <w:pPr>
        <w:jc w:val="center"/>
      </w:pPr>
      <w:r>
        <w:rPr>
          <w:rFonts w:ascii="Arial" w:cs="Arial" w:eastAsia="Arial" w:hAnsi="Arial"/>
          <w:color w:val="6B6F76"/>
          <w:sz w:val="18"/>
          <w:szCs w:val="18"/>
        </w:rPr>
        <w:t xml:space="preserve">Vague 3 — Programmes APEXER · Document 6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TEAM, ce qu'il n'est pas, à qui il s'adresse, et pourquoi le modèle B2B change radicalement la mécanique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L'offre B2B d'APEXER</w:t>
      </w:r>
    </w:p>
    <w:p>
      <w:pPr>
        <w:spacing w:after="120" w:line="320"/>
        <w:jc w:val="both"/>
      </w:pPr>
      <w:r>
        <w:rPr>
          <w:rFonts w:ascii="Georgia" w:cs="Georgia" w:eastAsia="Georgia" w:hAnsi="Georgia"/>
          <w:b w:val="false"/>
          <w:bCs w:val="false"/>
          <w:i w:val="false"/>
          <w:iCs w:val="false"/>
          <w:color w:val="1A1A1A"/>
          <w:sz w:val="22"/>
          <w:szCs w:val="22"/>
        </w:rPr>
        <w:t xml:space="preserve">APEXER TEAM est l'offre destinée aux entreprises qui veulent installer les Standards APEXER dans une équipe commerciale interne. Réseau commercial intégré, force de vente terrain, équipe de business developers, agence locale, franchise — toute structure qui réunit au moins 6 commerciaux sous une autorité hiérarchique commune.</w:t>
      </w:r>
    </w:p>
    <w:p>
      <w:pPr>
        <w:spacing w:after="120" w:line="320"/>
        <w:jc w:val="both"/>
      </w:pPr>
      <w:r>
        <w:rPr>
          <w:rFonts w:ascii="Georgia" w:cs="Georgia" w:eastAsia="Georgia" w:hAnsi="Georgia"/>
          <w:b w:val="false"/>
          <w:bCs w:val="false"/>
          <w:i w:val="false"/>
          <w:iCs w:val="false"/>
          <w:color w:val="1A1A1A"/>
          <w:sz w:val="22"/>
          <w:szCs w:val="22"/>
        </w:rPr>
        <w:t xml:space="preserve">TEAM ne se vend pas à un commercial individuel. TEAM se vend à un dirigeant, un directeur commercial, un directeur réseau, un patron d'agence ou un franchisé qui décide d'installer le système APEXER pour son équipe.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modèle économique change radicalement : ticket de licence annuel par équipe + prestation initiale de déploiement. Ce n'est plus un abonnement individuel, c'est un contrat B2B avec engagement et déploiement structuré.</w:t>
      </w:r>
    </w:p>
    <w:p>
      <w:pPr>
        <w:pStyle w:val="Heading2"/>
        <w:spacing w:after="200" w:before="360"/>
      </w:pPr>
      <w:r>
        <w:rPr>
          <w:rFonts w:ascii="Georgia" w:cs="Georgia" w:eastAsia="Georgia" w:hAnsi="Georgia"/>
          <w:b/>
          <w:bCs/>
          <w:color w:val="0B1A2A"/>
          <w:sz w:val="30"/>
          <w:szCs w:val="30"/>
        </w:rPr>
        <w:t xml:space="preserve">Le levier économique pour APEXER</w:t>
      </w:r>
    </w:p>
    <w:p>
      <w:pPr>
        <w:spacing w:after="120" w:line="320"/>
        <w:jc w:val="both"/>
      </w:pPr>
      <w:r>
        <w:rPr>
          <w:rFonts w:ascii="Georgia" w:cs="Georgia" w:eastAsia="Georgia" w:hAnsi="Georgia"/>
          <w:b w:val="false"/>
          <w:bCs w:val="false"/>
          <w:i w:val="false"/>
          <w:iCs w:val="false"/>
          <w:color w:val="1A1A1A"/>
          <w:sz w:val="22"/>
          <w:szCs w:val="22"/>
        </w:rPr>
        <w:t xml:space="preserve">TEAM représente le levier de scale principal de l'écosystème APEXER. Comparaison rapide avec FORGE, le programme central individuel.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MÉTRIQUE</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FORGE (individuel)</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TEAM (B2B)</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Revenu annuel par client</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 1 290 € (ou 1 548 €/an au tarif mensuel)</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 12 000 € à 30 000 € selon taille équipe</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Cycle de vente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1 entretien découverte de 60 min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3 à 6 mois, 4 à 8 réunions, dossier d'appel d'offres possible</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Acteur de la décision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Le commercial lui-même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Direction commerciale + RH + finance + parfois CODIR</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Charge déploiement MFF</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90 min/semaine d'animation</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2 jours présentiels + 90 min/semaine + reporting trimestriel</w:t>
            </w:r>
          </w:p>
        </w:tc>
      </w:tr>
    </w:tbl>
    <w:p>
      <w:pPr>
        <w:pStyle w:val="Heading2"/>
        <w:spacing w:after="200" w:before="360"/>
      </w:pPr>
      <w:r>
        <w:rPr>
          <w:rFonts w:ascii="Georgia" w:cs="Georgia" w:eastAsia="Georgia" w:hAnsi="Georgia"/>
          <w:b/>
          <w:bCs/>
          <w:color w:val="0B1A2A"/>
          <w:sz w:val="30"/>
          <w:szCs w:val="30"/>
        </w:rPr>
        <w:t xml:space="preserve">Ce que TEAM n'est pas</w:t>
      </w:r>
    </w:p>
    <w:p>
      <w:pPr>
        <w:pStyle w:val="ListParagraph"/>
        <w:numPr>
          <w:ilvl w:val="0"/>
          <w:numId w:val="2"/>
        </w:numPr>
        <w:spacing w:after="80" w:line="300"/>
      </w:pPr>
      <w:r>
        <w:rPr>
          <w:rFonts w:ascii="Georgia" w:cs="Georgia" w:eastAsia="Georgia" w:hAnsi="Georgia"/>
          <w:color w:val="1A1A1A"/>
          <w:sz w:val="22"/>
          <w:szCs w:val="22"/>
        </w:rPr>
        <w:t xml:space="preserve">Ce n'est pas un abonnement collectif à FORGE. La Forge inter-entreprises (clients APEXER de différents employeurs dans une même Forge) ne fonctionne pas en B2B : les cas business ne peuvent pas être partagés entre concurrents, le marché des recommandations ne fonctionne pas, la confidentialité commerciale est impossible. TEAM utilise une Forge interne adaptée.</w:t>
      </w:r>
    </w:p>
    <w:p>
      <w:pPr>
        <w:pStyle w:val="ListParagraph"/>
        <w:numPr>
          <w:ilvl w:val="0"/>
          <w:numId w:val="2"/>
        </w:numPr>
        <w:spacing w:after="80" w:line="300"/>
      </w:pPr>
      <w:r>
        <w:rPr>
          <w:rFonts w:ascii="Georgia" w:cs="Georgia" w:eastAsia="Georgia" w:hAnsi="Georgia"/>
          <w:color w:val="1A1A1A"/>
          <w:sz w:val="22"/>
          <w:szCs w:val="22"/>
        </w:rPr>
        <w:t xml:space="preserve">Ce n'est pas une formation classique. Aucun module au sens d'un séminaire formation. TEAM installe un système qui se tient toute l'année dans l'équipe, avec une dimension Forge hebdomadaire interne.</w:t>
      </w:r>
    </w:p>
    <w:p>
      <w:pPr>
        <w:pStyle w:val="ListParagraph"/>
        <w:numPr>
          <w:ilvl w:val="0"/>
          <w:numId w:val="2"/>
        </w:numPr>
        <w:spacing w:after="80" w:line="300"/>
      </w:pPr>
      <w:r>
        <w:rPr>
          <w:rFonts w:ascii="Georgia" w:cs="Georgia" w:eastAsia="Georgia" w:hAnsi="Georgia"/>
          <w:color w:val="1A1A1A"/>
          <w:sz w:val="22"/>
          <w:szCs w:val="22"/>
        </w:rPr>
        <w:t xml:space="preserve">Ce n'est pas un licence en marque blanche. La marque APEXER reste visible auprès des commerciaux de l'équipe (ils sont Forgerons APEXER, ils utilisent l'application APEXER). L'entreprise cliente n'achète pas le droit de rebrander.</w:t>
      </w:r>
    </w:p>
    <w:p>
      <w:pPr>
        <w:pStyle w:val="ListParagraph"/>
        <w:numPr>
          <w:ilvl w:val="0"/>
          <w:numId w:val="2"/>
        </w:numPr>
        <w:spacing w:after="80" w:line="300"/>
      </w:pPr>
      <w:r>
        <w:rPr>
          <w:rFonts w:ascii="Georgia" w:cs="Georgia" w:eastAsia="Georgia" w:hAnsi="Georgia"/>
          <w:color w:val="1A1A1A"/>
          <w:sz w:val="22"/>
          <w:szCs w:val="22"/>
        </w:rPr>
        <w:t xml:space="preserve">Ce n'est pas une certification commerciale ni un diplôme. La certification est une option payante distincte (cf. partie 5).</w:t>
      </w:r>
    </w:p>
    <w:p>
      <w:pPr>
        <w:pStyle w:val="Heading2"/>
        <w:spacing w:after="200" w:before="360"/>
      </w:pPr>
      <w:r>
        <w:rPr>
          <w:rFonts w:ascii="Georgia" w:cs="Georgia" w:eastAsia="Georgia" w:hAnsi="Georgia"/>
          <w:b/>
          <w:bCs/>
          <w:color w:val="0B1A2A"/>
          <w:sz w:val="30"/>
          <w:szCs w:val="30"/>
        </w:rPr>
        <w:t xml:space="preserve">Cibles précises</w:t>
      </w:r>
    </w:p>
    <w:p>
      <w:pPr>
        <w:spacing w:after="120" w:line="320"/>
        <w:jc w:val="both"/>
      </w:pPr>
      <w:r>
        <w:rPr>
          <w:rFonts w:ascii="Georgia" w:cs="Georgia" w:eastAsia="Georgia" w:hAnsi="Georgia"/>
          <w:b w:val="false"/>
          <w:bCs w:val="false"/>
          <w:i w:val="false"/>
          <w:iCs w:val="false"/>
          <w:color w:val="1A1A1A"/>
          <w:sz w:val="22"/>
          <w:szCs w:val="22"/>
        </w:rPr>
        <w:t xml:space="preserve">Quatre profils-types d'entreprises convertissent particulièrement bien sur TEAM.</w:t>
      </w:r>
    </w:p>
    <w:p>
      <w:pPr>
        <w:pStyle w:val="ListParagraph"/>
        <w:numPr>
          <w:ilvl w:val="0"/>
          <w:numId w:val="2"/>
        </w:numPr>
        <w:spacing w:after="80" w:line="300"/>
      </w:pPr>
      <w:r>
        <w:rPr>
          <w:rFonts w:ascii="Georgia" w:cs="Georgia" w:eastAsia="Georgia" w:hAnsi="Georgia"/>
          <w:color w:val="1A1A1A"/>
          <w:sz w:val="22"/>
          <w:szCs w:val="22"/>
        </w:rPr>
        <w:t xml:space="preserve">PME B2B avec équipe commerciale de 6 à 30 personnes : éditeurs SaaS, sociétés de services, équipementiers industriels, agences. Direction commerciale qui veut professionnaliser ses commerciaux mais ne peut pas s'offrir un directeur commercial senior à plein temps. TEAM fait office de cadre méthodologique structurant.</w:t>
      </w:r>
    </w:p>
    <w:p>
      <w:pPr>
        <w:pStyle w:val="ListParagraph"/>
        <w:numPr>
          <w:ilvl w:val="0"/>
          <w:numId w:val="2"/>
        </w:numPr>
        <w:spacing w:after="80" w:line="300"/>
      </w:pPr>
      <w:r>
        <w:rPr>
          <w:rFonts w:ascii="Georgia" w:cs="Georgia" w:eastAsia="Georgia" w:hAnsi="Georgia"/>
          <w:color w:val="1A1A1A"/>
          <w:sz w:val="22"/>
          <w:szCs w:val="22"/>
        </w:rPr>
        <w:t xml:space="preserve">Réseau d'agences ou de franchises : immobilier (agences indépendantes sous enseigne), assurance (cabinets de courtage), conseil en gestion de patrimoine (réseaux mandataires), automobile (concessions). TEAM s'achète au niveau réseau et se déploie agence par agence.</w:t>
      </w:r>
    </w:p>
    <w:p>
      <w:pPr>
        <w:pStyle w:val="ListParagraph"/>
        <w:numPr>
          <w:ilvl w:val="0"/>
          <w:numId w:val="2"/>
        </w:numPr>
        <w:spacing w:after="80" w:line="300"/>
      </w:pPr>
      <w:r>
        <w:rPr>
          <w:rFonts w:ascii="Georgia" w:cs="Georgia" w:eastAsia="Georgia" w:hAnsi="Georgia"/>
          <w:color w:val="1A1A1A"/>
          <w:sz w:val="22"/>
          <w:szCs w:val="22"/>
        </w:rPr>
        <w:t xml:space="preserve">ETI avec force de vente terrain : laboratoires pharmaceutiques (équipes de délégués médicaux), industriels avec commerciaux régionaux. Direction commerciale ou direction du développement RH pilote l'achat. Volumes typiques : 50 à 200 commerciaux.</w:t>
      </w:r>
    </w:p>
    <w:p>
      <w:pPr>
        <w:pStyle w:val="ListParagraph"/>
        <w:numPr>
          <w:ilvl w:val="0"/>
          <w:numId w:val="2"/>
        </w:numPr>
        <w:spacing w:after="80" w:line="300"/>
      </w:pPr>
      <w:r>
        <w:rPr>
          <w:rFonts w:ascii="Georgia" w:cs="Georgia" w:eastAsia="Georgia" w:hAnsi="Georgia"/>
          <w:color w:val="1A1A1A"/>
          <w:sz w:val="22"/>
          <w:szCs w:val="22"/>
        </w:rPr>
        <w:t xml:space="preserve">Cabinet de conseil avec activité de business development structurée : cabinets de chasse, cabinets de conseil avec partner-led sales, cabinets d'expertise comptable avec mission développement. Petites équipes (5 à 15 personnes) mais ticket par tête plus élevé.</w:t>
      </w:r>
    </w:p>
    <w:p>
      <w:pPr>
        <w:pStyle w:val="Heading2"/>
        <w:spacing w:after="200" w:before="360"/>
      </w:pPr>
      <w:r>
        <w:rPr>
          <w:rFonts w:ascii="Georgia" w:cs="Georgia" w:eastAsia="Georgia" w:hAnsi="Georgia"/>
          <w:b/>
          <w:bCs/>
          <w:color w:val="0B1A2A"/>
          <w:sz w:val="30"/>
          <w:szCs w:val="30"/>
        </w:rPr>
        <w:t xml:space="preserve">Articulation avec les autres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TEAM</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La Forge interne TEAM utilise le même format en 6 séquences mais en intra-entreprise. Un commercial inscrit en TEAM par son employeur peut, à titre individuel et hors temps de travail, prendre FORGE en plus s'il le souhaite — mais c'est rare.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CONNECT est purement individuel.</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MONT BLANC / KILIMANDJARO /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Possibilité d'add-on : un commercial particulièrement engagé dans une équipe TEAM peut demander à son employeur de lui financer en plus un parcours APEX. Discussion bilatérale, pas de tarif spécial automatique.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Articulation forte. Tout déploiement TEAM est piloté par un Maître-Forgeron Fondateur certifié TEAM. Les MFF qui se positionnent sur TEAM passent une certification complémentaire (5 jours de formation B2B + cas pratique). C'est une voie de spécialisation et un canal de revenus majeur pour les MFF expérimentés.</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du déploiement</w:t>
      </w:r>
    </w:p>
    <w:p>
      <w:pPr>
        <w:spacing w:after="200" w:before="80"/>
      </w:pPr>
      <w:r>
        <w:rPr>
          <w:rFonts w:ascii="Arial" w:cs="Arial" w:eastAsia="Arial" w:hAnsi="Arial"/>
          <w:i/>
          <w:iCs/>
          <w:color w:val="6B6F76"/>
          <w:sz w:val="18"/>
          <w:szCs w:val="18"/>
        </w:rPr>
        <w:t xml:space="preserve">Comment se passe concrètement un déploiement TEAM dans une entreprise cliente : phases, livrables, charge côté MFF certifié et côté entreprise.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TEAM est un contrat annuel renouvelable, avec engagement minimum de 12 mois. Le déploiement initial dure 3 mois, suivi de 9 mois d'animation et de pilotage. À l'issue des 12 mois, l'entreprise reconduit ou non.</w:t>
      </w:r>
    </w:p>
    <w:p>
      <w:pPr>
        <w:pStyle w:val="ListParagraph"/>
        <w:numPr>
          <w:ilvl w:val="0"/>
          <w:numId w:val="2"/>
        </w:numPr>
        <w:spacing w:after="80" w:line="300"/>
      </w:pPr>
      <w:r>
        <w:rPr>
          <w:rFonts w:ascii="Georgia" w:cs="Georgia" w:eastAsia="Georgia" w:hAnsi="Georgia"/>
          <w:color w:val="1A1A1A"/>
          <w:sz w:val="22"/>
          <w:szCs w:val="22"/>
        </w:rPr>
        <w:t xml:space="preserve">Engagement initial : 12 mois fermes.</w:t>
      </w:r>
    </w:p>
    <w:p>
      <w:pPr>
        <w:pStyle w:val="ListParagraph"/>
        <w:numPr>
          <w:ilvl w:val="0"/>
          <w:numId w:val="2"/>
        </w:numPr>
        <w:spacing w:after="80" w:line="300"/>
      </w:pPr>
      <w:r>
        <w:rPr>
          <w:rFonts w:ascii="Georgia" w:cs="Georgia" w:eastAsia="Georgia" w:hAnsi="Georgia"/>
          <w:color w:val="1A1A1A"/>
          <w:sz w:val="22"/>
          <w:szCs w:val="22"/>
        </w:rPr>
        <w:t xml:space="preserve">Phase 1 — Cadrage et lancement : 1 mois (avant démarrage opérationnel).</w:t>
      </w:r>
    </w:p>
    <w:p>
      <w:pPr>
        <w:pStyle w:val="ListParagraph"/>
        <w:numPr>
          <w:ilvl w:val="0"/>
          <w:numId w:val="2"/>
        </w:numPr>
        <w:spacing w:after="80" w:line="300"/>
      </w:pPr>
      <w:r>
        <w:rPr>
          <w:rFonts w:ascii="Georgia" w:cs="Georgia" w:eastAsia="Georgia" w:hAnsi="Georgia"/>
          <w:color w:val="1A1A1A"/>
          <w:sz w:val="22"/>
          <w:szCs w:val="22"/>
        </w:rPr>
        <w:t xml:space="preserve">Phase 2 — Déploiement initial : 3 mois (ouverture de la Forge interne, formation des commerciaux, mise en route de l'application).</w:t>
      </w:r>
    </w:p>
    <w:p>
      <w:pPr>
        <w:pStyle w:val="ListParagraph"/>
        <w:numPr>
          <w:ilvl w:val="0"/>
          <w:numId w:val="2"/>
        </w:numPr>
        <w:spacing w:after="80" w:line="300"/>
      </w:pPr>
      <w:r>
        <w:rPr>
          <w:rFonts w:ascii="Georgia" w:cs="Georgia" w:eastAsia="Georgia" w:hAnsi="Georgia"/>
          <w:color w:val="1A1A1A"/>
          <w:sz w:val="22"/>
          <w:szCs w:val="22"/>
        </w:rPr>
        <w:t xml:space="preserve">Phase 3 — Animation et pilotage : 9 mois (Forge hebdomadaire tenue, reporting trimestriel à la direction, ajustements).</w:t>
      </w:r>
    </w:p>
    <w:p>
      <w:pPr>
        <w:pStyle w:val="ListParagraph"/>
        <w:numPr>
          <w:ilvl w:val="0"/>
          <w:numId w:val="2"/>
        </w:numPr>
        <w:spacing w:after="80" w:line="300"/>
      </w:pPr>
      <w:r>
        <w:rPr>
          <w:rFonts w:ascii="Georgia" w:cs="Georgia" w:eastAsia="Georgia" w:hAnsi="Georgia"/>
          <w:color w:val="1A1A1A"/>
          <w:sz w:val="22"/>
          <w:szCs w:val="22"/>
        </w:rPr>
        <w:t xml:space="preserve">Renouvellement : décision à 9 mois, effet à la fin du mois 12. Pas de tacite reconduction sans signature du renouvellement.</w:t>
      </w:r>
    </w:p>
    <w:p>
      <w:pPr>
        <w:pStyle w:val="Heading2"/>
        <w:spacing w:after="200" w:before="360"/>
      </w:pPr>
      <w:r>
        <w:rPr>
          <w:rFonts w:ascii="Georgia" w:cs="Georgia" w:eastAsia="Georgia" w:hAnsi="Georgia"/>
          <w:b/>
          <w:bCs/>
          <w:color w:val="0B1A2A"/>
          <w:sz w:val="30"/>
          <w:szCs w:val="30"/>
        </w:rPr>
        <w:t xml:space="preserve">Phase 1 — Cadrage et lancement (mois 0)</w:t>
      </w:r>
    </w:p>
    <w:p>
      <w:pPr>
        <w:pStyle w:val="ListParagraph"/>
        <w:numPr>
          <w:ilvl w:val="0"/>
          <w:numId w:val="2"/>
        </w:numPr>
        <w:spacing w:after="80" w:line="300"/>
      </w:pPr>
      <w:r>
        <w:rPr>
          <w:rFonts w:ascii="Georgia" w:cs="Georgia" w:eastAsia="Georgia" w:hAnsi="Georgia"/>
          <w:color w:val="1A1A1A"/>
          <w:sz w:val="22"/>
          <w:szCs w:val="22"/>
        </w:rPr>
        <w:t xml:space="preserve">Réunion de cadrage avec la direction commerciale et la direction RH : objectifs de l'entreprise, indicateurs cibles, contraintes calendaires, sensibilité aux confidentialités internes.</w:t>
      </w:r>
    </w:p>
    <w:p>
      <w:pPr>
        <w:pStyle w:val="ListParagraph"/>
        <w:numPr>
          <w:ilvl w:val="0"/>
          <w:numId w:val="2"/>
        </w:numPr>
        <w:spacing w:after="80" w:line="300"/>
      </w:pPr>
      <w:r>
        <w:rPr>
          <w:rFonts w:ascii="Georgia" w:cs="Georgia" w:eastAsia="Georgia" w:hAnsi="Georgia"/>
          <w:color w:val="1A1A1A"/>
          <w:sz w:val="22"/>
          <w:szCs w:val="22"/>
        </w:rPr>
        <w:t xml:space="preserve">Désignation du Maître-Forgeron Fondateur certifié TEAM qui pilotera le déploiement (par APEXER central, en fonction du territoire et de la spécialisation sectorielle).</w:t>
      </w:r>
    </w:p>
    <w:p>
      <w:pPr>
        <w:pStyle w:val="ListParagraph"/>
        <w:numPr>
          <w:ilvl w:val="0"/>
          <w:numId w:val="2"/>
        </w:numPr>
        <w:spacing w:after="80" w:line="300"/>
      </w:pPr>
      <w:r>
        <w:rPr>
          <w:rFonts w:ascii="Georgia" w:cs="Georgia" w:eastAsia="Georgia" w:hAnsi="Georgia"/>
          <w:color w:val="1A1A1A"/>
          <w:sz w:val="22"/>
          <w:szCs w:val="22"/>
        </w:rPr>
        <w:t xml:space="preserve">Validation de la liste des commerciaux concernés (taille minimale d'équipe : 6 ; au-delà de 15 commerciaux, scission en plusieurs Forges internes).</w:t>
      </w:r>
    </w:p>
    <w:p>
      <w:pPr>
        <w:pStyle w:val="ListParagraph"/>
        <w:numPr>
          <w:ilvl w:val="0"/>
          <w:numId w:val="2"/>
        </w:numPr>
        <w:spacing w:after="80" w:line="300"/>
      </w:pPr>
      <w:r>
        <w:rPr>
          <w:rFonts w:ascii="Georgia" w:cs="Georgia" w:eastAsia="Georgia" w:hAnsi="Georgia"/>
          <w:color w:val="1A1A1A"/>
          <w:sz w:val="22"/>
          <w:szCs w:val="22"/>
        </w:rPr>
        <w:t xml:space="preserve">Signature du contrat, paiement de la première mensualité ou de la facture annuelle.</w:t>
      </w:r>
    </w:p>
    <w:p>
      <w:pPr>
        <w:pStyle w:val="ListParagraph"/>
        <w:numPr>
          <w:ilvl w:val="0"/>
          <w:numId w:val="2"/>
        </w:numPr>
        <w:spacing w:after="80" w:line="300"/>
      </w:pPr>
      <w:r>
        <w:rPr>
          <w:rFonts w:ascii="Georgia" w:cs="Georgia" w:eastAsia="Georgia" w:hAnsi="Georgia"/>
          <w:color w:val="1A1A1A"/>
          <w:sz w:val="22"/>
          <w:szCs w:val="22"/>
        </w:rPr>
        <w:t xml:space="preserve">Communication interne aux commerciaux par la direction (et non par APEXER), avec kit de communication fourni.</w:t>
      </w:r>
    </w:p>
    <w:p>
      <w:pPr>
        <w:pStyle w:val="Heading2"/>
        <w:spacing w:after="200" w:before="360"/>
      </w:pPr>
      <w:r>
        <w:rPr>
          <w:rFonts w:ascii="Georgia" w:cs="Georgia" w:eastAsia="Georgia" w:hAnsi="Georgia"/>
          <w:b/>
          <w:bCs/>
          <w:color w:val="0B1A2A"/>
          <w:sz w:val="30"/>
          <w:szCs w:val="30"/>
        </w:rPr>
        <w:t xml:space="preserve">Phase 2 — Déploiement initial (mois 1 à 3)</w:t>
      </w:r>
    </w:p>
    <w:p>
      <w:pPr>
        <w:pStyle w:val="ListParagraph"/>
        <w:numPr>
          <w:ilvl w:val="0"/>
          <w:numId w:val="2"/>
        </w:numPr>
        <w:spacing w:after="80" w:line="300"/>
      </w:pPr>
      <w:r>
        <w:rPr>
          <w:rFonts w:ascii="Georgia" w:cs="Georgia" w:eastAsia="Georgia" w:hAnsi="Georgia"/>
          <w:color w:val="1A1A1A"/>
          <w:sz w:val="22"/>
          <w:szCs w:val="22"/>
        </w:rPr>
        <w:t xml:space="preserve">Mois 1 — Lancement présentiel : 2 journées sur site avec le Maître-Forgeron certifié TEAM. Jour 1 : présentation de la méthode APEXER aux commerciaux, signature de la Charte du Forgeron interne, configuration des comptes application. Jour 2 : première Forge interne tenue en réel, observée par la direction (en option).</w:t>
      </w:r>
    </w:p>
    <w:p>
      <w:pPr>
        <w:pStyle w:val="ListParagraph"/>
        <w:numPr>
          <w:ilvl w:val="0"/>
          <w:numId w:val="2"/>
        </w:numPr>
        <w:spacing w:after="80" w:line="300"/>
      </w:pPr>
      <w:r>
        <w:rPr>
          <w:rFonts w:ascii="Georgia" w:cs="Georgia" w:eastAsia="Georgia" w:hAnsi="Georgia"/>
          <w:color w:val="1A1A1A"/>
          <w:sz w:val="22"/>
          <w:szCs w:val="22"/>
        </w:rPr>
        <w:t xml:space="preserve">Mois 2 — Installation du rythme : Forges hebdomadaires tenues à un créneau fixe choisi avec la direction (typiquement le lundi 8h ou le vendredi 17h, hors temps client). Animation par le Maître-Forgeron certifié, en présentiel ou en visioconférence selon le contrat.</w:t>
      </w:r>
    </w:p>
    <w:p>
      <w:pPr>
        <w:pStyle w:val="ListParagraph"/>
        <w:numPr>
          <w:ilvl w:val="0"/>
          <w:numId w:val="2"/>
        </w:numPr>
        <w:spacing w:after="80" w:line="300"/>
      </w:pPr>
      <w:r>
        <w:rPr>
          <w:rFonts w:ascii="Georgia" w:cs="Georgia" w:eastAsia="Georgia" w:hAnsi="Georgia"/>
          <w:color w:val="1A1A1A"/>
          <w:sz w:val="22"/>
          <w:szCs w:val="22"/>
        </w:rPr>
        <w:t xml:space="preserve">Mois 3 — Stabilisation : Forge tenue de manière autonome, avec présence du Maître-Forgeron 1 semaine sur 2. Premier reporting à la direction commerciale en fin de mois 3.</w:t>
      </w:r>
    </w:p>
    <w:p>
      <w:pPr>
        <w:pStyle w:val="Heading2"/>
        <w:spacing w:after="200" w:before="360"/>
      </w:pPr>
      <w:r>
        <w:rPr>
          <w:rFonts w:ascii="Georgia" w:cs="Georgia" w:eastAsia="Georgia" w:hAnsi="Georgia"/>
          <w:b/>
          <w:bCs/>
          <w:color w:val="0B1A2A"/>
          <w:sz w:val="30"/>
          <w:szCs w:val="30"/>
        </w:rPr>
        <w:t xml:space="preserve">Phase 3 — Animation et pilotage (mois 4 à 12)</w:t>
      </w:r>
    </w:p>
    <w:p>
      <w:pPr>
        <w:pStyle w:val="ListParagraph"/>
        <w:numPr>
          <w:ilvl w:val="0"/>
          <w:numId w:val="2"/>
        </w:numPr>
        <w:spacing w:after="80" w:line="300"/>
      </w:pPr>
      <w:r>
        <w:rPr>
          <w:rFonts w:ascii="Georgia" w:cs="Georgia" w:eastAsia="Georgia" w:hAnsi="Georgia"/>
          <w:color w:val="1A1A1A"/>
          <w:sz w:val="22"/>
          <w:szCs w:val="22"/>
        </w:rPr>
        <w:t xml:space="preserve">Forge interne hebdomadaire tenue par le Maître-Forgeron certifié, en alternance présentiel (1 semaine sur 4) et visioconférence (3 semaines sur 4) pour optimiser le coût.</w:t>
      </w:r>
    </w:p>
    <w:p>
      <w:pPr>
        <w:pStyle w:val="ListParagraph"/>
        <w:numPr>
          <w:ilvl w:val="0"/>
          <w:numId w:val="2"/>
        </w:numPr>
        <w:spacing w:after="80" w:line="300"/>
      </w:pPr>
      <w:r>
        <w:rPr>
          <w:rFonts w:ascii="Georgia" w:cs="Georgia" w:eastAsia="Georgia" w:hAnsi="Georgia"/>
          <w:color w:val="1A1A1A"/>
          <w:sz w:val="22"/>
          <w:szCs w:val="22"/>
        </w:rPr>
        <w:t xml:space="preserve">Tableau de bord manager : la direction accède via l'application à un dashboard agrégé montrant les indicateurs de l'équipe (présence Forge, tenue Scoreboard, indicateurs commerciaux, score d'énergie moyen, signaux d'alerte).</w:t>
      </w:r>
    </w:p>
    <w:p>
      <w:pPr>
        <w:pStyle w:val="ListParagraph"/>
        <w:numPr>
          <w:ilvl w:val="0"/>
          <w:numId w:val="2"/>
        </w:numPr>
        <w:spacing w:after="80" w:line="300"/>
      </w:pPr>
      <w:r>
        <w:rPr>
          <w:rFonts w:ascii="Georgia" w:cs="Georgia" w:eastAsia="Georgia" w:hAnsi="Georgia"/>
          <w:color w:val="1A1A1A"/>
          <w:sz w:val="22"/>
          <w:szCs w:val="22"/>
        </w:rPr>
        <w:t xml:space="preserve">Reporting trimestriel à la direction : présentation de 60 minutes par le Maître-Forgeron certifié, avec analyse des écarts, recommandations, points de vigilance individuels (anonymisés si nécessaire).</w:t>
      </w:r>
    </w:p>
    <w:p>
      <w:pPr>
        <w:pStyle w:val="ListParagraph"/>
        <w:numPr>
          <w:ilvl w:val="0"/>
          <w:numId w:val="2"/>
        </w:numPr>
        <w:spacing w:after="80" w:line="300"/>
      </w:pPr>
      <w:r>
        <w:rPr>
          <w:rFonts w:ascii="Georgia" w:cs="Georgia" w:eastAsia="Georgia" w:hAnsi="Georgia"/>
          <w:color w:val="1A1A1A"/>
          <w:sz w:val="22"/>
          <w:szCs w:val="22"/>
        </w:rPr>
        <w:t xml:space="preserve">Cas business gérés en confidentialité interne : la séquence 4 de la Forge porte sur des cas réels de l'entreprise, sans franchissement vers l'extérieur.</w:t>
      </w:r>
    </w:p>
    <w:p>
      <w:pPr>
        <w:pStyle w:val="ListParagraph"/>
        <w:numPr>
          <w:ilvl w:val="0"/>
          <w:numId w:val="2"/>
        </w:numPr>
        <w:spacing w:after="80" w:line="300"/>
      </w:pPr>
      <w:r>
        <w:rPr>
          <w:rFonts w:ascii="Georgia" w:cs="Georgia" w:eastAsia="Georgia" w:hAnsi="Georgia"/>
          <w:color w:val="1A1A1A"/>
          <w:sz w:val="22"/>
          <w:szCs w:val="22"/>
        </w:rPr>
        <w:t xml:space="preserve">Marché des recommandations adapté : la séquence 5 porte sur les recommandations entre commerciaux de l'équipe (ex. un commercial passe un lead d'un secteur à un autre commercial mieux placé) et sur les recommandations sortantes (clients de l'entreprise vers d'autres clients potentiels).</w:t>
      </w:r>
    </w:p>
    <w:p>
      <w:pPr>
        <w:pStyle w:val="Heading2"/>
        <w:spacing w:after="200" w:before="360"/>
      </w:pPr>
      <w:r>
        <w:rPr>
          <w:rFonts w:ascii="Georgia" w:cs="Georgia" w:eastAsia="Georgia" w:hAnsi="Georgia"/>
          <w:b/>
          <w:bCs/>
          <w:color w:val="0B1A2A"/>
          <w:sz w:val="30"/>
          <w:szCs w:val="30"/>
        </w:rPr>
        <w:t xml:space="preserve">Forge interne adaptée — différences avec FORGE individuel</w:t>
      </w:r>
    </w:p>
    <w:p>
      <w:pPr>
        <w:spacing w:after="120" w:line="320"/>
        <w:jc w:val="both"/>
      </w:pPr>
      <w:r>
        <w:rPr>
          <w:rFonts w:ascii="Georgia" w:cs="Georgia" w:eastAsia="Georgia" w:hAnsi="Georgia"/>
          <w:b w:val="false"/>
          <w:bCs w:val="false"/>
          <w:i w:val="false"/>
          <w:iCs w:val="false"/>
          <w:color w:val="1A1A1A"/>
          <w:sz w:val="22"/>
          <w:szCs w:val="22"/>
        </w:rPr>
        <w:t xml:space="preserve">La Forge interne TEAM utilise le format propriétaire APEXER en 6 séquences sur 90 minutes, mais avec quatre adaptations spécifiques au B2B.</w:t>
      </w:r>
    </w:p>
    <w:p>
      <w:pPr>
        <w:pStyle w:val="ListParagraph"/>
        <w:numPr>
          <w:ilvl w:val="0"/>
          <w:numId w:val="2"/>
        </w:numPr>
        <w:spacing w:after="80" w:line="300"/>
      </w:pPr>
      <w:r>
        <w:rPr>
          <w:rFonts w:ascii="Georgia" w:cs="Georgia" w:eastAsia="Georgia" w:hAnsi="Georgia"/>
          <w:color w:val="1A1A1A"/>
          <w:sz w:val="22"/>
          <w:szCs w:val="22"/>
        </w:rPr>
        <w:t xml:space="preserve">Pas de marché des recommandations inter-entreprises : seulement intra-entreprise et clients sortants. Les recommandations entre concurrents ou compétiteurs internes sont exclues.</w:t>
      </w:r>
    </w:p>
    <w:p>
      <w:pPr>
        <w:pStyle w:val="ListParagraph"/>
        <w:numPr>
          <w:ilvl w:val="0"/>
          <w:numId w:val="2"/>
        </w:numPr>
        <w:spacing w:after="80" w:line="300"/>
      </w:pPr>
      <w:r>
        <w:rPr>
          <w:rFonts w:ascii="Georgia" w:cs="Georgia" w:eastAsia="Georgia" w:hAnsi="Georgia"/>
          <w:color w:val="1A1A1A"/>
          <w:sz w:val="22"/>
          <w:szCs w:val="22"/>
        </w:rPr>
        <w:t xml:space="preserve">Cas business confidentiels : aucune information ne sort de la Forge. Charte de confidentialité signée par chaque commercial à l'entrée.</w:t>
      </w:r>
    </w:p>
    <w:p>
      <w:pPr>
        <w:pStyle w:val="ListParagraph"/>
        <w:numPr>
          <w:ilvl w:val="0"/>
          <w:numId w:val="2"/>
        </w:numPr>
        <w:spacing w:after="80" w:line="300"/>
      </w:pPr>
      <w:r>
        <w:rPr>
          <w:rFonts w:ascii="Georgia" w:cs="Georgia" w:eastAsia="Georgia" w:hAnsi="Georgia"/>
          <w:color w:val="1A1A1A"/>
          <w:sz w:val="22"/>
          <w:szCs w:val="22"/>
        </w:rPr>
        <w:t xml:space="preserve">Indicateurs de Scoreboard adaptés à la mécanique commerciale de l'entreprise (ex. taux de transformation par étape de pipeline propriétaire, nomenclature interne des prospects).</w:t>
      </w:r>
    </w:p>
    <w:p>
      <w:pPr>
        <w:pStyle w:val="ListParagraph"/>
        <w:numPr>
          <w:ilvl w:val="0"/>
          <w:numId w:val="2"/>
        </w:numPr>
        <w:spacing w:after="80" w:line="300"/>
      </w:pPr>
      <w:r>
        <w:rPr>
          <w:rFonts w:ascii="Georgia" w:cs="Georgia" w:eastAsia="Georgia" w:hAnsi="Georgia"/>
          <w:color w:val="1A1A1A"/>
          <w:sz w:val="22"/>
          <w:szCs w:val="22"/>
        </w:rPr>
        <w:t xml:space="preserve">Présence du Maître-Forgeron parfois en visio : si l'équipe est répartie géographiquement (cas des forces de vente nationales), Forge en visioconférence avec présentiel ponctuel par le Maître-Forgeron.</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Métriques et tableau de bord manager</w:t>
      </w:r>
    </w:p>
    <w:p>
      <w:pPr>
        <w:spacing w:after="200" w:before="80"/>
      </w:pPr>
      <w:r>
        <w:rPr>
          <w:rFonts w:ascii="Arial" w:cs="Arial" w:eastAsia="Arial" w:hAnsi="Arial"/>
          <w:i/>
          <w:iCs/>
          <w:color w:val="6B6F76"/>
          <w:sz w:val="18"/>
          <w:szCs w:val="18"/>
        </w:rPr>
        <w:t xml:space="preserve">Comment la direction commerciale lit la performance APEXER de son équipe, et quels signaux d'alerte sont remontés.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Cockpit Manager</w:t>
      </w:r>
    </w:p>
    <w:p>
      <w:pPr>
        <w:spacing w:after="120" w:line="320"/>
        <w:jc w:val="both"/>
      </w:pPr>
      <w:r>
        <w:rPr>
          <w:rFonts w:ascii="Georgia" w:cs="Georgia" w:eastAsia="Georgia" w:hAnsi="Georgia"/>
          <w:b w:val="false"/>
          <w:bCs w:val="false"/>
          <w:i w:val="false"/>
          <w:iCs w:val="false"/>
          <w:color w:val="1A1A1A"/>
          <w:sz w:val="22"/>
          <w:szCs w:val="22"/>
        </w:rPr>
        <w:t xml:space="preserve">Le Cockpit Manager est l'interface dédiée à la direction commerciale ou au directeur d'agence. Il agrège l'ensemble des données des commerciaux de l'équipe, sans donner accès aux données individuelles brutes (respect du droit à la déconnexion et de la cohérence du dispositif accountability).</w:t>
      </w:r>
    </w:p>
    <w:p>
      <w:pPr>
        <w:pStyle w:val="ListParagraph"/>
        <w:numPr>
          <w:ilvl w:val="0"/>
          <w:numId w:val="2"/>
        </w:numPr>
        <w:spacing w:after="80" w:line="300"/>
      </w:pPr>
      <w:r>
        <w:rPr>
          <w:rFonts w:ascii="Georgia" w:cs="Georgia" w:eastAsia="Georgia" w:hAnsi="Georgia"/>
          <w:color w:val="1A1A1A"/>
          <w:sz w:val="22"/>
          <w:szCs w:val="22"/>
        </w:rPr>
        <w:t xml:space="preserve">Vue Équipe : indicateurs agrégés sur les 7 pratiques convergentes, taux de tenue moyen du Scoreboard, présence Forge, score d'énergie moyen.</w:t>
      </w:r>
    </w:p>
    <w:p>
      <w:pPr>
        <w:pStyle w:val="ListParagraph"/>
        <w:numPr>
          <w:ilvl w:val="0"/>
          <w:numId w:val="2"/>
        </w:numPr>
        <w:spacing w:after="80" w:line="300"/>
      </w:pPr>
      <w:r>
        <w:rPr>
          <w:rFonts w:ascii="Georgia" w:cs="Georgia" w:eastAsia="Georgia" w:hAnsi="Georgia"/>
          <w:color w:val="1A1A1A"/>
          <w:sz w:val="22"/>
          <w:szCs w:val="22"/>
        </w:rPr>
        <w:t xml:space="preserve">Vue Évolution : courbes mensuelles des indicateurs commerciaux (volume prospects, RDV, recommandations demandées, ventes signées) avec comparaison avant/après lancement APEXER.</w:t>
      </w:r>
    </w:p>
    <w:p>
      <w:pPr>
        <w:pStyle w:val="ListParagraph"/>
        <w:numPr>
          <w:ilvl w:val="0"/>
          <w:numId w:val="2"/>
        </w:numPr>
        <w:spacing w:after="80" w:line="300"/>
      </w:pPr>
      <w:r>
        <w:rPr>
          <w:rFonts w:ascii="Georgia" w:cs="Georgia" w:eastAsia="Georgia" w:hAnsi="Georgia"/>
          <w:color w:val="1A1A1A"/>
          <w:sz w:val="22"/>
          <w:szCs w:val="22"/>
        </w:rPr>
        <w:t xml:space="preserve">Vue Alertes : signaux automatiques sur les commerciaux qui décrochent (Scoreboard non tenu pendant plus de 7 jours, absences répétées en Forge, score d'énergie en chute continue).</w:t>
      </w:r>
    </w:p>
    <w:p>
      <w:pPr>
        <w:pStyle w:val="ListParagraph"/>
        <w:numPr>
          <w:ilvl w:val="0"/>
          <w:numId w:val="2"/>
        </w:numPr>
        <w:spacing w:after="80" w:line="300"/>
      </w:pPr>
      <w:r>
        <w:rPr>
          <w:rFonts w:ascii="Georgia" w:cs="Georgia" w:eastAsia="Georgia" w:hAnsi="Georgia"/>
          <w:color w:val="1A1A1A"/>
          <w:sz w:val="22"/>
          <w:szCs w:val="22"/>
        </w:rPr>
        <w:t xml:space="preserve">Vue Forge : agenda des Forges tenues, présence par séance, sujets traités en Cas business (anonymisés).</w:t>
      </w:r>
    </w:p>
    <w:p>
      <w:pPr>
        <w:pStyle w:val="Heading2"/>
        <w:spacing w:after="200" w:before="360"/>
      </w:pPr>
      <w:r>
        <w:rPr>
          <w:rFonts w:ascii="Georgia" w:cs="Georgia" w:eastAsia="Georgia" w:hAnsi="Georgia"/>
          <w:b/>
          <w:bCs/>
          <w:color w:val="0B1A2A"/>
          <w:sz w:val="30"/>
          <w:szCs w:val="30"/>
        </w:rPr>
        <w:t xml:space="preserve">Reporting trimestriel à la direction</w:t>
      </w:r>
    </w:p>
    <w:p>
      <w:pPr>
        <w:spacing w:after="120" w:line="320"/>
        <w:jc w:val="both"/>
      </w:pPr>
      <w:r>
        <w:rPr>
          <w:rFonts w:ascii="Georgia" w:cs="Georgia" w:eastAsia="Georgia" w:hAnsi="Georgia"/>
          <w:b w:val="false"/>
          <w:bCs w:val="false"/>
          <w:i w:val="false"/>
          <w:iCs w:val="false"/>
          <w:color w:val="1A1A1A"/>
          <w:sz w:val="22"/>
          <w:szCs w:val="22"/>
        </w:rPr>
        <w:t xml:space="preserve">Tous les 3 mois, le Maître-Forgeron certifié TEAM tient une réunion de 60 minutes avec la direction commerciale et, selon la taille du projet, la direction RH ou la direction générale.</w:t>
      </w:r>
    </w:p>
    <w:p>
      <w:pPr>
        <w:pStyle w:val="ListParagraph"/>
        <w:numPr>
          <w:ilvl w:val="0"/>
          <w:numId w:val="2"/>
        </w:numPr>
        <w:spacing w:after="80" w:line="300"/>
      </w:pPr>
      <w:r>
        <w:rPr>
          <w:rFonts w:ascii="Georgia" w:cs="Georgia" w:eastAsia="Georgia" w:hAnsi="Georgia"/>
          <w:color w:val="1A1A1A"/>
          <w:sz w:val="22"/>
          <w:szCs w:val="22"/>
        </w:rPr>
        <w:t xml:space="preserve">Bilan chiffré : évolution des indicateurs commerciaux clés sur le trimestre, par rapport à la baseline et à l'objectif annuel.</w:t>
      </w:r>
    </w:p>
    <w:p>
      <w:pPr>
        <w:pStyle w:val="ListParagraph"/>
        <w:numPr>
          <w:ilvl w:val="0"/>
          <w:numId w:val="2"/>
        </w:numPr>
        <w:spacing w:after="80" w:line="300"/>
      </w:pPr>
      <w:r>
        <w:rPr>
          <w:rFonts w:ascii="Georgia" w:cs="Georgia" w:eastAsia="Georgia" w:hAnsi="Georgia"/>
          <w:color w:val="1A1A1A"/>
          <w:sz w:val="22"/>
          <w:szCs w:val="22"/>
        </w:rPr>
        <w:t xml:space="preserve">Bilan qualitatif : observations sur la dynamique d'équipe, les progressions individuelles remarquables (avec accord des intéressés), les Cas business marquants traités.</w:t>
      </w:r>
    </w:p>
    <w:p>
      <w:pPr>
        <w:pStyle w:val="ListParagraph"/>
        <w:numPr>
          <w:ilvl w:val="0"/>
          <w:numId w:val="2"/>
        </w:numPr>
        <w:spacing w:after="80" w:line="300"/>
      </w:pPr>
      <w:r>
        <w:rPr>
          <w:rFonts w:ascii="Georgia" w:cs="Georgia" w:eastAsia="Georgia" w:hAnsi="Georgia"/>
          <w:color w:val="1A1A1A"/>
          <w:sz w:val="22"/>
          <w:szCs w:val="22"/>
        </w:rPr>
        <w:t xml:space="preserve">Points de vigilance : commerciaux en signal d'alerte (anonymisés ou nommés selon ce que la direction a explicitement demandé en cadrage), risques identifiés.</w:t>
      </w:r>
    </w:p>
    <w:p>
      <w:pPr>
        <w:pStyle w:val="ListParagraph"/>
        <w:numPr>
          <w:ilvl w:val="0"/>
          <w:numId w:val="2"/>
        </w:numPr>
        <w:spacing w:after="80" w:line="300"/>
      </w:pPr>
      <w:r>
        <w:rPr>
          <w:rFonts w:ascii="Georgia" w:cs="Georgia" w:eastAsia="Georgia" w:hAnsi="Georgia"/>
          <w:color w:val="1A1A1A"/>
          <w:sz w:val="22"/>
          <w:szCs w:val="22"/>
        </w:rPr>
        <w:t xml:space="preserve">Recommandations : ajustements possibles du dispositif, opportunités d'extension (ouverture d'une seconde Forge, prise en charge d'un programme APEX par un commercial à fort potentiel, etc.).</w:t>
      </w:r>
    </w:p>
    <w:p>
      <w:pPr>
        <w:pStyle w:val="Heading2"/>
        <w:spacing w:after="200" w:before="360"/>
      </w:pPr>
      <w:r>
        <w:rPr>
          <w:rFonts w:ascii="Georgia" w:cs="Georgia" w:eastAsia="Georgia" w:hAnsi="Georgia"/>
          <w:b/>
          <w:bCs/>
          <w:color w:val="0B1A2A"/>
          <w:sz w:val="30"/>
          <w:szCs w:val="30"/>
        </w:rPr>
        <w:t xml:space="preserve">Indicateurs de réussite côté APEXER central</w:t>
      </w:r>
    </w:p>
    <w:p>
      <w:pPr>
        <w:pStyle w:val="ListParagraph"/>
        <w:numPr>
          <w:ilvl w:val="0"/>
          <w:numId w:val="2"/>
        </w:numPr>
        <w:spacing w:after="80" w:line="300"/>
      </w:pPr>
      <w:r>
        <w:rPr>
          <w:rFonts w:ascii="Georgia" w:cs="Georgia" w:eastAsia="Georgia" w:hAnsi="Georgia"/>
          <w:color w:val="1A1A1A"/>
          <w:sz w:val="22"/>
          <w:szCs w:val="22"/>
        </w:rPr>
        <w:t xml:space="preserve">Taux de renouvellement à 12 mois : objectif 75%.</w:t>
      </w:r>
    </w:p>
    <w:p>
      <w:pPr>
        <w:pStyle w:val="ListParagraph"/>
        <w:numPr>
          <w:ilvl w:val="0"/>
          <w:numId w:val="2"/>
        </w:numPr>
        <w:spacing w:after="80" w:line="300"/>
      </w:pPr>
      <w:r>
        <w:rPr>
          <w:rFonts w:ascii="Georgia" w:cs="Georgia" w:eastAsia="Georgia" w:hAnsi="Georgia"/>
          <w:color w:val="1A1A1A"/>
          <w:sz w:val="22"/>
          <w:szCs w:val="22"/>
        </w:rPr>
        <w:t xml:space="preserve">Évolution moyenne du taux de closing de l'équipe entre baseline et fin d'année 1 : objectif +1,5 point minimum.</w:t>
      </w:r>
    </w:p>
    <w:p>
      <w:pPr>
        <w:pStyle w:val="ListParagraph"/>
        <w:numPr>
          <w:ilvl w:val="0"/>
          <w:numId w:val="2"/>
        </w:numPr>
        <w:spacing w:after="80" w:line="300"/>
      </w:pPr>
      <w:r>
        <w:rPr>
          <w:rFonts w:ascii="Georgia" w:cs="Georgia" w:eastAsia="Georgia" w:hAnsi="Georgia"/>
          <w:color w:val="1A1A1A"/>
          <w:sz w:val="22"/>
          <w:szCs w:val="22"/>
        </w:rPr>
        <w:t xml:space="preserve">Évolution moyenne du volume de recommandations entrantes : objectif +50% minimum.</w:t>
      </w:r>
    </w:p>
    <w:p>
      <w:pPr>
        <w:pStyle w:val="ListParagraph"/>
        <w:numPr>
          <w:ilvl w:val="0"/>
          <w:numId w:val="2"/>
        </w:numPr>
        <w:spacing w:after="80" w:line="300"/>
      </w:pPr>
      <w:r>
        <w:rPr>
          <w:rFonts w:ascii="Georgia" w:cs="Georgia" w:eastAsia="Georgia" w:hAnsi="Georgia"/>
          <w:color w:val="1A1A1A"/>
          <w:sz w:val="22"/>
          <w:szCs w:val="22"/>
        </w:rPr>
        <w:t xml:space="preserve">Taux de présence Forge moyen sur 12 mois : objectif &gt; 80%.</w:t>
      </w:r>
    </w:p>
    <w:p>
      <w:pPr>
        <w:pStyle w:val="ListParagraph"/>
        <w:numPr>
          <w:ilvl w:val="0"/>
          <w:numId w:val="2"/>
        </w:numPr>
        <w:spacing w:after="80" w:line="300"/>
      </w:pPr>
      <w:r>
        <w:rPr>
          <w:rFonts w:ascii="Georgia" w:cs="Georgia" w:eastAsia="Georgia" w:hAnsi="Georgia"/>
          <w:color w:val="1A1A1A"/>
          <w:sz w:val="22"/>
          <w:szCs w:val="22"/>
        </w:rPr>
        <w:t xml:space="preserve">NPS direction commerciale en fin d'année 1 : objectif &gt; 60.</w:t>
      </w:r>
    </w:p>
    <w:p>
      <w:pPr>
        <w:pStyle w:val="Heading2"/>
        <w:spacing w:after="200" w:before="360"/>
      </w:pPr>
      <w:r>
        <w:rPr>
          <w:rFonts w:ascii="Georgia" w:cs="Georgia" w:eastAsia="Georgia" w:hAnsi="Georgia"/>
          <w:b/>
          <w:bCs/>
          <w:color w:val="0B1A2A"/>
          <w:sz w:val="30"/>
          <w:szCs w:val="30"/>
        </w:rPr>
        <w:t xml:space="preserve">Indicateurs de réussite côté entreprise cliente</w:t>
      </w:r>
    </w:p>
    <w:p>
      <w:pPr>
        <w:spacing w:after="120" w:line="320"/>
        <w:jc w:val="both"/>
      </w:pPr>
      <w:r>
        <w:rPr>
          <w:rFonts w:ascii="Georgia" w:cs="Georgia" w:eastAsia="Georgia" w:hAnsi="Georgia"/>
          <w:b w:val="false"/>
          <w:bCs w:val="false"/>
          <w:i w:val="false"/>
          <w:iCs w:val="false"/>
          <w:color w:val="1A1A1A"/>
          <w:sz w:val="22"/>
          <w:szCs w:val="22"/>
        </w:rPr>
        <w:t xml:space="preserve">L'entreprise cliente définit en cadrage initial 3 à 5 indicateurs business propres qu'elle veut voir bouger. Quelques exemples typiques.</w:t>
      </w:r>
    </w:p>
    <w:p>
      <w:pPr>
        <w:pStyle w:val="ListParagraph"/>
        <w:numPr>
          <w:ilvl w:val="0"/>
          <w:numId w:val="2"/>
        </w:numPr>
        <w:spacing w:after="80" w:line="300"/>
      </w:pPr>
      <w:r>
        <w:rPr>
          <w:rFonts w:ascii="Georgia" w:cs="Georgia" w:eastAsia="Georgia" w:hAnsi="Georgia"/>
          <w:color w:val="1A1A1A"/>
          <w:sz w:val="22"/>
          <w:szCs w:val="22"/>
        </w:rPr>
        <w:t xml:space="preserve">Taux de transformation par étape de pipeline (mesure : interne CRM client).</w:t>
      </w:r>
    </w:p>
    <w:p>
      <w:pPr>
        <w:pStyle w:val="ListParagraph"/>
        <w:numPr>
          <w:ilvl w:val="0"/>
          <w:numId w:val="2"/>
        </w:numPr>
        <w:spacing w:after="80" w:line="300"/>
      </w:pPr>
      <w:r>
        <w:rPr>
          <w:rFonts w:ascii="Georgia" w:cs="Georgia" w:eastAsia="Georgia" w:hAnsi="Georgia"/>
          <w:color w:val="1A1A1A"/>
          <w:sz w:val="22"/>
          <w:szCs w:val="22"/>
        </w:rPr>
        <w:t xml:space="preserve">Volume de RDV qualifiés par commercial et par mois.</w:t>
      </w:r>
    </w:p>
    <w:p>
      <w:pPr>
        <w:pStyle w:val="ListParagraph"/>
        <w:numPr>
          <w:ilvl w:val="0"/>
          <w:numId w:val="2"/>
        </w:numPr>
        <w:spacing w:after="80" w:line="300"/>
      </w:pPr>
      <w:r>
        <w:rPr>
          <w:rFonts w:ascii="Georgia" w:cs="Georgia" w:eastAsia="Georgia" w:hAnsi="Georgia"/>
          <w:color w:val="1A1A1A"/>
          <w:sz w:val="22"/>
          <w:szCs w:val="22"/>
        </w:rPr>
        <w:t xml:space="preserve">Volume de recommandations entrantes générées par les commerciaux eux-mêmes (par opposition au marketing entrant).</w:t>
      </w:r>
    </w:p>
    <w:p>
      <w:pPr>
        <w:pStyle w:val="ListParagraph"/>
        <w:numPr>
          <w:ilvl w:val="0"/>
          <w:numId w:val="2"/>
        </w:numPr>
        <w:spacing w:after="80" w:line="300"/>
      </w:pPr>
      <w:r>
        <w:rPr>
          <w:rFonts w:ascii="Georgia" w:cs="Georgia" w:eastAsia="Georgia" w:hAnsi="Georgia"/>
          <w:color w:val="1A1A1A"/>
          <w:sz w:val="22"/>
          <w:szCs w:val="22"/>
        </w:rPr>
        <w:t xml:space="preserve">Délai moyen entre premier contact et signature.</w:t>
      </w:r>
    </w:p>
    <w:p>
      <w:pPr>
        <w:pStyle w:val="ListParagraph"/>
        <w:numPr>
          <w:ilvl w:val="0"/>
          <w:numId w:val="2"/>
        </w:numPr>
        <w:spacing w:after="80" w:line="300"/>
      </w:pPr>
      <w:r>
        <w:rPr>
          <w:rFonts w:ascii="Georgia" w:cs="Georgia" w:eastAsia="Georgia" w:hAnsi="Georgia"/>
          <w:color w:val="1A1A1A"/>
          <w:sz w:val="22"/>
          <w:szCs w:val="22"/>
        </w:rPr>
        <w:t xml:space="preserve">Taux d'atteinte des objectifs commerciaux individuels.</w:t>
      </w:r>
    </w:p>
    <w:p>
      <w:pPr>
        <w:pStyle w:val="ListParagraph"/>
        <w:numPr>
          <w:ilvl w:val="0"/>
          <w:numId w:val="2"/>
        </w:numPr>
        <w:spacing w:after="80" w:line="300"/>
      </w:pPr>
      <w:r>
        <w:rPr>
          <w:rFonts w:ascii="Georgia" w:cs="Georgia" w:eastAsia="Georgia" w:hAnsi="Georgia"/>
          <w:color w:val="1A1A1A"/>
          <w:sz w:val="22"/>
          <w:szCs w:val="22"/>
        </w:rPr>
        <w:t xml:space="preserve">Taux de turn-over commercial (proxy d'engagement).</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Modèle économique TEAM, calcul du ticket de licence, modalités de facturation.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Structure tarifaire</w:t>
      </w:r>
    </w:p>
    <w:p>
      <w:pPr>
        <w:spacing w:after="120" w:line="320"/>
        <w:jc w:val="both"/>
      </w:pPr>
      <w:r>
        <w:rPr>
          <w:rFonts w:ascii="Georgia" w:cs="Georgia" w:eastAsia="Georgia" w:hAnsi="Georgia"/>
          <w:b w:val="false"/>
          <w:bCs w:val="false"/>
          <w:i w:val="false"/>
          <w:iCs w:val="false"/>
          <w:color w:val="1A1A1A"/>
          <w:sz w:val="22"/>
          <w:szCs w:val="22"/>
        </w:rPr>
        <w:t xml:space="preserve">Le tarif TEAM se compose de deux blocs.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B1A2A" w:val="clear"/>
            <w:tcMar>
              <w:top w:type="dxa" w:w="200"/>
              <w:left w:type="dxa" w:w="200"/>
              <w:bottom w:type="dxa" w:w="200"/>
              <w:right w:type="dxa" w:w="200"/>
            </w:tcMar>
          </w:tcPr>
          <w:p>
            <w:pPr>
              <w:jc w:val="center"/>
            </w:pPr>
            <w:r>
              <w:rPr>
                <w:rFonts w:ascii="Arial" w:cs="Arial" w:eastAsia="Arial" w:hAnsi="Arial"/>
                <w:b/>
                <w:bCs/>
                <w:color w:val="B08A3E"/>
                <w:sz w:val="22"/>
                <w:szCs w:val="22"/>
              </w:rPr>
              <w:t xml:space="preserve">Bloc 1 — Déploiement initial</w:t>
            </w:r>
          </w:p>
          <w:p>
            <w:pPr>
              <w:spacing w:before="100"/>
              <w:jc w:val="center"/>
            </w:pPr>
            <w:r>
              <w:rPr>
                <w:rFonts w:ascii="Arial" w:cs="Arial" w:eastAsia="Arial" w:hAnsi="Arial"/>
                <w:b/>
                <w:bCs/>
                <w:color w:val="FFFFFF"/>
                <w:sz w:val="38"/>
                <w:szCs w:val="38"/>
              </w:rPr>
              <w:t xml:space="preserve">4 500 € HT</w:t>
            </w:r>
          </w:p>
          <w:p>
            <w:pPr>
              <w:jc w:val="center"/>
            </w:pPr>
            <w:r>
              <w:rPr>
                <w:rFonts w:ascii="Georgia" w:cs="Georgia" w:eastAsia="Georgia" w:hAnsi="Georgia"/>
                <w:i/>
                <w:iCs/>
                <w:color w:val="FFFFFF"/>
                <w:sz w:val="18"/>
                <w:szCs w:val="18"/>
              </w:rPr>
              <w:t xml:space="preserve">Forfait, mois 0 à 3</w:t>
            </w:r>
          </w:p>
          <w:p>
            <w:pPr>
              <w:spacing w:before="100"/>
              <w:jc w:val="center"/>
            </w:pPr>
            <w:r>
              <w:rPr>
                <w:rFonts w:ascii="Georgia" w:cs="Georgia" w:eastAsia="Georgia" w:hAnsi="Georgia"/>
                <w:i/>
                <w:iCs/>
                <w:color w:val="FFFFFF"/>
                <w:sz w:val="16"/>
                <w:szCs w:val="16"/>
              </w:rPr>
              <w:t xml:space="preserve">Cadrage, 2 jours présentiels, configuration application, lancement Forge interne</w:t>
            </w:r>
          </w:p>
        </w:tc>
        <w:tc>
          <w:tcPr>
            <w:tcW w:type="dxa" w:w="4680"/>
            <w:tcBorders>
              <w:top w:val="single" w:color="CCCCCC" w:sz="4"/>
              <w:left w:val="single" w:color="CCCCCC" w:sz="4"/>
              <w:bottom w:val="single" w:color="CCCCCC" w:sz="4"/>
              <w:right w:val="single" w:color="CCCCCC" w:sz="4"/>
            </w:tcBorders>
            <w:shd w:fill="B08A3E" w:val="clear"/>
            <w:tcMar>
              <w:top w:type="dxa" w:w="200"/>
              <w:left w:type="dxa" w:w="200"/>
              <w:bottom w:type="dxa" w:w="200"/>
              <w:right w:type="dxa" w:w="200"/>
            </w:tcMar>
          </w:tcPr>
          <w:p>
            <w:pPr>
              <w:jc w:val="center"/>
            </w:pPr>
            <w:r>
              <w:rPr>
                <w:rFonts w:ascii="Arial" w:cs="Arial" w:eastAsia="Arial" w:hAnsi="Arial"/>
                <w:b/>
                <w:bCs/>
                <w:color w:val="0B1A2A"/>
                <w:sz w:val="22"/>
                <w:szCs w:val="22"/>
              </w:rPr>
              <w:t xml:space="preserve">Bloc 2 — Licence annuelle</w:t>
            </w:r>
          </w:p>
          <w:p>
            <w:pPr>
              <w:spacing w:before="100"/>
              <w:jc w:val="center"/>
            </w:pPr>
            <w:r>
              <w:rPr>
                <w:rFonts w:ascii="Arial" w:cs="Arial" w:eastAsia="Arial" w:hAnsi="Arial"/>
                <w:b/>
                <w:bCs/>
                <w:color w:val="0B1A2A"/>
                <w:sz w:val="28"/>
                <w:szCs w:val="28"/>
              </w:rPr>
              <w:t xml:space="preserve">120 € HT / mois / commercial</w:t>
            </w:r>
          </w:p>
          <w:p>
            <w:pPr>
              <w:jc w:val="center"/>
            </w:pPr>
            <w:r>
              <w:rPr>
                <w:rFonts w:ascii="Georgia" w:cs="Georgia" w:eastAsia="Georgia" w:hAnsi="Georgia"/>
                <w:i/>
                <w:iCs/>
                <w:color w:val="0B1A2A"/>
                <w:sz w:val="18"/>
                <w:szCs w:val="18"/>
              </w:rPr>
              <w:t xml:space="preserve">Engagement 12 mois</w:t>
            </w:r>
          </w:p>
          <w:p>
            <w:pPr>
              <w:spacing w:before="100"/>
              <w:jc w:val="center"/>
            </w:pPr>
            <w:r>
              <w:rPr>
                <w:rFonts w:ascii="Georgia" w:cs="Georgia" w:eastAsia="Georgia" w:hAnsi="Georgia"/>
                <w:i/>
                <w:iCs/>
                <w:color w:val="0B1A2A"/>
                <w:sz w:val="16"/>
                <w:szCs w:val="16"/>
              </w:rPr>
              <w:t xml:space="preserve">Application, Forge interne hebdo, reporting trimestriel, animation MFF</w:t>
            </w:r>
          </w:p>
        </w:tc>
      </w:tr>
    </w:tbl>
    <w:p>
      <w:pPr>
        <w:pStyle w:val="Heading2"/>
        <w:spacing w:after="200" w:before="360"/>
      </w:pPr>
      <w:r>
        <w:rPr>
          <w:rFonts w:ascii="Georgia" w:cs="Georgia" w:eastAsia="Georgia" w:hAnsi="Georgia"/>
          <w:b/>
          <w:bCs/>
          <w:color w:val="0B1A2A"/>
          <w:sz w:val="30"/>
          <w:szCs w:val="30"/>
        </w:rPr>
        <w:t xml:space="preserve">Exemples de budget annuel selon taille d'équipe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TAILLE ÉQUIPE</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DÉPLOIEMENT</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LICENCE ANNUELLE</w:t>
            </w:r>
          </w:p>
        </w:tc>
        <w:tc>
          <w:tcPr>
            <w:tcW w:type="dxa" w:w="21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BUDGET ANNÉE 1</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6 commerciaux</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4 500 €</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8 640 €</w:t>
            </w:r>
          </w:p>
        </w:tc>
        <w:tc>
          <w:tcPr>
            <w:tcW w:type="dxa" w:w="21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13 140 € HT</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10 commerciaux</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4 500 €</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14 400 €</w:t>
            </w:r>
          </w:p>
        </w:tc>
        <w:tc>
          <w:tcPr>
            <w:tcW w:type="dxa" w:w="21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18 900 € HT</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15 commerciaux</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4 500 €</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21 600 €</w:t>
            </w:r>
          </w:p>
        </w:tc>
        <w:tc>
          <w:tcPr>
            <w:tcW w:type="dxa" w:w="21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26 100 € HT</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25 commerciaux (2 Forges)</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7 500 €</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1"/>
                <w:szCs w:val="21"/>
              </w:rPr>
              <w:t xml:space="preserve">36 000 €</w:t>
            </w:r>
          </w:p>
        </w:tc>
        <w:tc>
          <w:tcPr>
            <w:tcW w:type="dxa" w:w="21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43 500 € HT</w:t>
            </w:r>
          </w:p>
        </w:tc>
      </w:tr>
    </w:tbl>
    <w:p>
      <w:pPr>
        <w:spacing w:after="200" w:before="80"/>
      </w:pPr>
      <w:r>
        <w:rPr>
          <w:rFonts w:ascii="Arial" w:cs="Arial" w:eastAsia="Arial" w:hAnsi="Arial"/>
          <w:i/>
          <w:iCs/>
          <w:color w:val="6B6F76"/>
          <w:sz w:val="18"/>
          <w:szCs w:val="18"/>
        </w:rPr>
        <w:t xml:space="preserve">Au-delà de 15 commerciaux, la Forge se scinde en deux, avec déploiement majoré (+3 000 € pour la seconde Forge). Au-delà de 50 commerciaux, négociation cas par cas avec APEXER central.</w:t>
      </w:r>
    </w:p>
    <w:p>
      <w:pPr>
        <w:pStyle w:val="Heading2"/>
        <w:spacing w:after="200" w:before="360"/>
      </w:pPr>
      <w:r>
        <w:rPr>
          <w:rFonts w:ascii="Georgia" w:cs="Georgia" w:eastAsia="Georgia" w:hAnsi="Georgia"/>
          <w:b/>
          <w:bCs/>
          <w:color w:val="0B1A2A"/>
          <w:sz w:val="30"/>
          <w:szCs w:val="30"/>
        </w:rPr>
        <w:t xml:space="preserve">Modalités de facturation</w:t>
      </w:r>
    </w:p>
    <w:p>
      <w:pPr>
        <w:pStyle w:val="ListParagraph"/>
        <w:numPr>
          <w:ilvl w:val="0"/>
          <w:numId w:val="2"/>
        </w:numPr>
        <w:spacing w:after="80" w:line="300"/>
      </w:pPr>
      <w:r>
        <w:rPr>
          <w:rFonts w:ascii="Georgia" w:cs="Georgia" w:eastAsia="Georgia" w:hAnsi="Georgia"/>
          <w:color w:val="1A1A1A"/>
          <w:sz w:val="22"/>
          <w:szCs w:val="22"/>
        </w:rPr>
        <w:t xml:space="preserve">Bloc 1 — Déploiement : 50% à la signature, 50% à la fin du mois 3 (livraison).</w:t>
      </w:r>
    </w:p>
    <w:p>
      <w:pPr>
        <w:pStyle w:val="ListParagraph"/>
        <w:numPr>
          <w:ilvl w:val="0"/>
          <w:numId w:val="2"/>
        </w:numPr>
        <w:spacing w:after="80" w:line="300"/>
      </w:pPr>
      <w:r>
        <w:rPr>
          <w:rFonts w:ascii="Georgia" w:cs="Georgia" w:eastAsia="Georgia" w:hAnsi="Georgia"/>
          <w:color w:val="1A1A1A"/>
          <w:sz w:val="22"/>
          <w:szCs w:val="22"/>
        </w:rPr>
        <w:t xml:space="preserve">Bloc 2 — Licence : facturation mensuelle, trimestrielle ou annuelle au choix de l'entreprise. Annuelle = -5% (engagement plus fort).</w:t>
      </w:r>
    </w:p>
    <w:p>
      <w:pPr>
        <w:pStyle w:val="ListParagraph"/>
        <w:numPr>
          <w:ilvl w:val="0"/>
          <w:numId w:val="2"/>
        </w:numPr>
        <w:spacing w:after="80" w:line="300"/>
      </w:pPr>
      <w:r>
        <w:rPr>
          <w:rFonts w:ascii="Georgia" w:cs="Georgia" w:eastAsia="Georgia" w:hAnsi="Georgia"/>
          <w:color w:val="1A1A1A"/>
          <w:sz w:val="22"/>
          <w:szCs w:val="22"/>
        </w:rPr>
        <w:t xml:space="preserve">Sortie en cours d'année : possible avec préavis de 60 jours après le mois 6, sans remboursement des mensualités déjà versées. Pendant les 6 premiers mois, sortie pour motif grave uniquement (réorganisation totale, fermeture, etc.).</w:t>
      </w:r>
    </w:p>
    <w:p>
      <w:pPr>
        <w:pStyle w:val="Heading2"/>
        <w:spacing w:after="200" w:before="360"/>
      </w:pPr>
      <w:r>
        <w:rPr>
          <w:rFonts w:ascii="Georgia" w:cs="Georgia" w:eastAsia="Georgia" w:hAnsi="Georgia"/>
          <w:b/>
          <w:bCs/>
          <w:color w:val="0B1A2A"/>
          <w:sz w:val="30"/>
          <w:szCs w:val="30"/>
        </w:rPr>
        <w:t xml:space="preserve">Le partage économique avec le Maître-Forgeron certifié TEAM</w:t>
      </w:r>
    </w:p>
    <w:p>
      <w:pPr>
        <w:spacing w:after="120" w:line="320"/>
        <w:jc w:val="both"/>
      </w:pPr>
      <w:r>
        <w:rPr>
          <w:rFonts w:ascii="Georgia" w:cs="Georgia" w:eastAsia="Georgia" w:hAnsi="Georgia"/>
          <w:b w:val="false"/>
          <w:bCs w:val="false"/>
          <w:i w:val="false"/>
          <w:iCs w:val="false"/>
          <w:color w:val="1A1A1A"/>
          <w:sz w:val="22"/>
          <w:szCs w:val="22"/>
        </w:rPr>
        <w:t xml:space="preserve">APEXER central encaisse l'intégralité des paiements clients TEAM. Le Maître-Forgeron certifié TEAM qui pilote le déploiement reçoit en retour une part du contrat selon une grille négociée.</w:t>
      </w:r>
    </w:p>
    <w:p>
      <w:pPr>
        <w:pStyle w:val="ListParagraph"/>
        <w:numPr>
          <w:ilvl w:val="0"/>
          <w:numId w:val="2"/>
        </w:numPr>
        <w:spacing w:after="80" w:line="300"/>
      </w:pPr>
      <w:r>
        <w:rPr>
          <w:rFonts w:ascii="Georgia" w:cs="Georgia" w:eastAsia="Georgia" w:hAnsi="Georgia"/>
          <w:color w:val="1A1A1A"/>
          <w:sz w:val="22"/>
          <w:szCs w:val="22"/>
        </w:rPr>
        <w:t xml:space="preserve">Sur le déploiement initial (4 500 € forfait) : 60% reversés au MFF (soit 2 700 €). C'est la rémunération de ses 2 jours présentiels et de la phase de cadrage.</w:t>
      </w:r>
    </w:p>
    <w:p>
      <w:pPr>
        <w:pStyle w:val="ListParagraph"/>
        <w:numPr>
          <w:ilvl w:val="0"/>
          <w:numId w:val="2"/>
        </w:numPr>
        <w:spacing w:after="80" w:line="300"/>
      </w:pPr>
      <w:r>
        <w:rPr>
          <w:rFonts w:ascii="Georgia" w:cs="Georgia" w:eastAsia="Georgia" w:hAnsi="Georgia"/>
          <w:color w:val="1A1A1A"/>
          <w:sz w:val="22"/>
          <w:szCs w:val="22"/>
        </w:rPr>
        <w:t xml:space="preserve">Sur la licence annuelle : 50% reversés au MFF qui anime la Forge interne (soit 60 €/mois/commercial). Pour une équipe de 10, c'est 600 €/mois récurrents.</w:t>
      </w:r>
    </w:p>
    <w:p>
      <w:pPr>
        <w:pStyle w:val="ListParagraph"/>
        <w:numPr>
          <w:ilvl w:val="0"/>
          <w:numId w:val="2"/>
        </w:numPr>
        <w:spacing w:after="80" w:line="300"/>
      </w:pPr>
      <w:r>
        <w:rPr>
          <w:rFonts w:ascii="Georgia" w:cs="Georgia" w:eastAsia="Georgia" w:hAnsi="Georgia"/>
          <w:color w:val="1A1A1A"/>
          <w:sz w:val="22"/>
          <w:szCs w:val="22"/>
        </w:rPr>
        <w:t xml:space="preserve">Sur le renouvellement : maintien du même partage économique tant que le MFF reste l'animateur.</w:t>
      </w:r>
    </w:p>
    <w:p>
      <w:pPr>
        <w:pStyle w:val="ListParagraph"/>
        <w:numPr>
          <w:ilvl w:val="0"/>
          <w:numId w:val="2"/>
        </w:numPr>
        <w:spacing w:after="80" w:line="300"/>
      </w:pPr>
      <w:r>
        <w:rPr>
          <w:rFonts w:ascii="Georgia" w:cs="Georgia" w:eastAsia="Georgia" w:hAnsi="Georgia"/>
          <w:color w:val="1A1A1A"/>
          <w:sz w:val="22"/>
          <w:szCs w:val="22"/>
        </w:rPr>
        <w:t xml:space="preserve">Cette grille est préférentielle par rapport à FORGE individuel (où le MFF reçoit 75% mais sur des tickets plus petits) car TEAM mobilise plus de ressources MFF (cadrage commercial B2B, présentiel, reporting direction). Le MFF gagne en valeur absolue avec TEAM, pas en pourcentage.</w:t>
      </w:r>
    </w:p>
    <w:p>
      <w:pPr>
        <w:pStyle w:val="Heading2"/>
        <w:spacing w:after="200" w:before="360"/>
      </w:pPr>
      <w:r>
        <w:rPr>
          <w:rFonts w:ascii="Georgia" w:cs="Georgia" w:eastAsia="Georgia" w:hAnsi="Georgia"/>
          <w:b/>
          <w:bCs/>
          <w:color w:val="0B1A2A"/>
          <w:sz w:val="30"/>
          <w:szCs w:val="30"/>
        </w:rPr>
        <w:t xml:space="preserve">Tarifs spéciaux</w:t>
      </w:r>
    </w:p>
    <w:p>
      <w:pPr>
        <w:pStyle w:val="ListParagraph"/>
        <w:numPr>
          <w:ilvl w:val="0"/>
          <w:numId w:val="2"/>
        </w:numPr>
        <w:spacing w:after="80" w:line="300"/>
      </w:pPr>
      <w:r>
        <w:rPr>
          <w:rFonts w:ascii="Georgia" w:cs="Georgia" w:eastAsia="Georgia" w:hAnsi="Georgia"/>
          <w:color w:val="1A1A1A"/>
          <w:sz w:val="22"/>
          <w:szCs w:val="22"/>
        </w:rPr>
        <w:t xml:space="preserve">Tarif Pionniers TEAM : -25% sur le déploiement initial et -15% sur la licence annuelle pour les 10 premières entreprises clientes. Une seule fois, à l'ouverture de l'offre.</w:t>
      </w:r>
    </w:p>
    <w:p>
      <w:pPr>
        <w:pStyle w:val="ListParagraph"/>
        <w:numPr>
          <w:ilvl w:val="0"/>
          <w:numId w:val="2"/>
        </w:numPr>
        <w:spacing w:after="80" w:line="300"/>
      </w:pPr>
      <w:r>
        <w:rPr>
          <w:rFonts w:ascii="Georgia" w:cs="Georgia" w:eastAsia="Georgia" w:hAnsi="Georgia"/>
          <w:color w:val="1A1A1A"/>
          <w:sz w:val="22"/>
          <w:szCs w:val="22"/>
        </w:rPr>
        <w:t xml:space="preserve">Tarif Réseau (franchise / multi-agences) : si le contrat porte sur plus de 5 agences sous une même enseigne, négociation cas par cas avec remise volume potentielle de 10 à 20%.</w:t>
      </w:r>
    </w:p>
    <w:p>
      <w:pPr>
        <w:pStyle w:val="ListParagraph"/>
        <w:numPr>
          <w:ilvl w:val="0"/>
          <w:numId w:val="2"/>
        </w:numPr>
        <w:spacing w:after="80" w:line="300"/>
      </w:pPr>
      <w:r>
        <w:rPr>
          <w:rFonts w:ascii="Georgia" w:cs="Georgia" w:eastAsia="Georgia" w:hAnsi="Georgia"/>
          <w:color w:val="1A1A1A"/>
          <w:sz w:val="22"/>
          <w:szCs w:val="22"/>
        </w:rPr>
        <w:t xml:space="preserve">Tarif Référent : si l'entreprise cliente accepte d'être référence publique APEXER (témoignage, étude de cas, intervention dans la communication APEXER), -10% sur le renouvellement.</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Option certification</w:t>
      </w:r>
    </w:p>
    <w:p>
      <w:pPr>
        <w:spacing w:after="200" w:before="80"/>
      </w:pPr>
      <w:r>
        <w:rPr>
          <w:rFonts w:ascii="Arial" w:cs="Arial" w:eastAsia="Arial" w:hAnsi="Arial"/>
          <w:i/>
          <w:iCs/>
          <w:color w:val="6B6F76"/>
          <w:sz w:val="18"/>
          <w:szCs w:val="18"/>
        </w:rPr>
        <w:t xml:space="preserve">Pour les entreprises clientes qui veulent attester la maîtrise APEXER de leurs commerciaux et l'utiliser comme outil RH.</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L'option certification individuelle</w:t>
      </w:r>
    </w:p>
    <w:p>
      <w:pPr>
        <w:spacing w:after="120" w:line="320"/>
        <w:jc w:val="both"/>
      </w:pPr>
      <w:r>
        <w:rPr>
          <w:rFonts w:ascii="Georgia" w:cs="Georgia" w:eastAsia="Georgia" w:hAnsi="Georgia"/>
          <w:b w:val="false"/>
          <w:bCs w:val="false"/>
          <w:i w:val="false"/>
          <w:iCs w:val="false"/>
          <w:color w:val="1A1A1A"/>
          <w:sz w:val="22"/>
          <w:szCs w:val="22"/>
        </w:rPr>
        <w:t xml:space="preserve">Certaines entreprises veulent pouvoir mesurer et attester le niveau APEXER de leurs commerciaux à des fins internes : suivi de carrière, évaluation de performance, communication client, marquage employeur. APEXER propose une option certification individuelle, payante en plus du contrat TEAM standard.</w:t>
      </w:r>
    </w:p>
    <w:p>
      <w:pPr>
        <w:pStyle w:val="ListParagraph"/>
        <w:numPr>
          <w:ilvl w:val="0"/>
          <w:numId w:val="2"/>
        </w:numPr>
        <w:spacing w:after="80" w:line="300"/>
      </w:pPr>
      <w:r>
        <w:rPr>
          <w:rFonts w:ascii="Georgia" w:cs="Georgia" w:eastAsia="Georgia" w:hAnsi="Georgia"/>
          <w:color w:val="1A1A1A"/>
          <w:sz w:val="22"/>
          <w:szCs w:val="22"/>
        </w:rPr>
        <w:t xml:space="preserve">Tarif certification : 150 € HT par commercial certifié.</w:t>
      </w:r>
    </w:p>
    <w:p>
      <w:pPr>
        <w:pStyle w:val="ListParagraph"/>
        <w:numPr>
          <w:ilvl w:val="0"/>
          <w:numId w:val="2"/>
        </w:numPr>
        <w:spacing w:after="80" w:line="300"/>
      </w:pPr>
      <w:r>
        <w:rPr>
          <w:rFonts w:ascii="Georgia" w:cs="Georgia" w:eastAsia="Georgia" w:hAnsi="Georgia"/>
          <w:color w:val="1A1A1A"/>
          <w:sz w:val="22"/>
          <w:szCs w:val="22"/>
        </w:rPr>
        <w:t xml:space="preserve">Critères de certification : tenue continue du Scoreboard à 70% sur 12 mois, présence Forge interne ≥ 80%, validation par un examen final écrit (45 minutes, format QCM + cas pratique).</w:t>
      </w:r>
    </w:p>
    <w:p>
      <w:pPr>
        <w:pStyle w:val="ListParagraph"/>
        <w:numPr>
          <w:ilvl w:val="0"/>
          <w:numId w:val="2"/>
        </w:numPr>
        <w:spacing w:after="80" w:line="300"/>
      </w:pPr>
      <w:r>
        <w:rPr>
          <w:rFonts w:ascii="Georgia" w:cs="Georgia" w:eastAsia="Georgia" w:hAnsi="Georgia"/>
          <w:color w:val="1A1A1A"/>
          <w:sz w:val="22"/>
          <w:szCs w:val="22"/>
        </w:rPr>
        <w:t xml:space="preserve">Trois niveaux : Certifié Bronze (premier seuil), Certifié Argent (Forgeron Recommandable interne, équivalent Palier 3 individuel), Certifié Or (équivalent Palier 5).</w:t>
      </w:r>
    </w:p>
    <w:p>
      <w:pPr>
        <w:pStyle w:val="ListParagraph"/>
        <w:numPr>
          <w:ilvl w:val="0"/>
          <w:numId w:val="2"/>
        </w:numPr>
        <w:spacing w:after="80" w:line="300"/>
      </w:pPr>
      <w:r>
        <w:rPr>
          <w:rFonts w:ascii="Georgia" w:cs="Georgia" w:eastAsia="Georgia" w:hAnsi="Georgia"/>
          <w:color w:val="1A1A1A"/>
          <w:sz w:val="22"/>
          <w:szCs w:val="22"/>
        </w:rPr>
        <w:t xml:space="preserve">La certification est délivrée par APEXER central, vérifiable via QR code, valable 24 mois et renouvelable.</w:t>
      </w:r>
    </w:p>
    <w:p>
      <w:pPr>
        <w:pStyle w:val="Heading2"/>
        <w:spacing w:after="200" w:before="360"/>
      </w:pPr>
      <w:r>
        <w:rPr>
          <w:rFonts w:ascii="Georgia" w:cs="Georgia" w:eastAsia="Georgia" w:hAnsi="Georgia"/>
          <w:b/>
          <w:bCs/>
          <w:color w:val="0B1A2A"/>
          <w:sz w:val="30"/>
          <w:szCs w:val="30"/>
        </w:rPr>
        <w:t xml:space="preserve">Usage de la certification côté entreprise</w:t>
      </w:r>
    </w:p>
    <w:p>
      <w:pPr>
        <w:pStyle w:val="ListParagraph"/>
        <w:numPr>
          <w:ilvl w:val="0"/>
          <w:numId w:val="2"/>
        </w:numPr>
        <w:spacing w:after="80" w:line="300"/>
      </w:pPr>
      <w:r>
        <w:rPr>
          <w:rFonts w:ascii="Georgia" w:cs="Georgia" w:eastAsia="Georgia" w:hAnsi="Georgia"/>
          <w:color w:val="1A1A1A"/>
          <w:sz w:val="22"/>
          <w:szCs w:val="22"/>
        </w:rPr>
        <w:t xml:space="preserve">Outil de suivi de carrière : intégrer la certification APEXER dans les grilles de progression interne (ex. condition d'éligibilité à un poste de manager commercial).</w:t>
      </w:r>
    </w:p>
    <w:p>
      <w:pPr>
        <w:pStyle w:val="ListParagraph"/>
        <w:numPr>
          <w:ilvl w:val="0"/>
          <w:numId w:val="2"/>
        </w:numPr>
        <w:spacing w:after="80" w:line="300"/>
      </w:pPr>
      <w:r>
        <w:rPr>
          <w:rFonts w:ascii="Georgia" w:cs="Georgia" w:eastAsia="Georgia" w:hAnsi="Georgia"/>
          <w:color w:val="1A1A1A"/>
          <w:sz w:val="22"/>
          <w:szCs w:val="22"/>
        </w:rPr>
        <w:t xml:space="preserve">Outil RH externe : valoriser la certification dans les fiches de poste publiées, dans les profils LinkedIn des commerciaux, dans les présentations clients.</w:t>
      </w:r>
    </w:p>
    <w:p>
      <w:pPr>
        <w:pStyle w:val="ListParagraph"/>
        <w:numPr>
          <w:ilvl w:val="0"/>
          <w:numId w:val="2"/>
        </w:numPr>
        <w:spacing w:after="80" w:line="300"/>
      </w:pPr>
      <w:r>
        <w:rPr>
          <w:rFonts w:ascii="Georgia" w:cs="Georgia" w:eastAsia="Georgia" w:hAnsi="Georgia"/>
          <w:color w:val="1A1A1A"/>
          <w:sz w:val="22"/>
          <w:szCs w:val="22"/>
        </w:rPr>
        <w:t xml:space="preserve">Outil de fidélisation : la certification reste attachée au commercial — s'il quitte l'entreprise, il garde son sceau (sous réserve qu'il continue à tenir les pratiques APEXER, audit annuel possible).</w:t>
      </w:r>
    </w:p>
    <w:p>
      <w:pPr>
        <w:pStyle w:val="ListParagraph"/>
        <w:numPr>
          <w:ilvl w:val="0"/>
          <w:numId w:val="2"/>
        </w:numPr>
        <w:spacing w:after="80" w:line="300"/>
      </w:pPr>
      <w:r>
        <w:rPr>
          <w:rFonts w:ascii="Georgia" w:cs="Georgia" w:eastAsia="Georgia" w:hAnsi="Georgia"/>
          <w:color w:val="1A1A1A"/>
          <w:sz w:val="22"/>
          <w:szCs w:val="22"/>
        </w:rPr>
        <w:t xml:space="preserve">Outil contractuel : certaines entreprises clientes utilisent la certification comme critère de qualité dans leurs réponses à appels d'offres.</w:t>
      </w:r>
    </w:p>
    <w:p>
      <w:pPr>
        <w:pStyle w:val="Heading2"/>
        <w:spacing w:after="200" w:before="360"/>
      </w:pPr>
      <w:r>
        <w:rPr>
          <w:rFonts w:ascii="Georgia" w:cs="Georgia" w:eastAsia="Georgia" w:hAnsi="Georgia"/>
          <w:b/>
          <w:bCs/>
          <w:color w:val="0B1A2A"/>
          <w:sz w:val="30"/>
          <w:szCs w:val="30"/>
        </w:rPr>
        <w:t xml:space="preserve">Limites importantes</w:t>
      </w:r>
    </w:p>
    <w:p>
      <w:pPr>
        <w:pStyle w:val="ListParagraph"/>
        <w:numPr>
          <w:ilvl w:val="0"/>
          <w:numId w:val="2"/>
        </w:numPr>
        <w:spacing w:after="80" w:line="300"/>
      </w:pPr>
      <w:r>
        <w:rPr>
          <w:rFonts w:ascii="Georgia" w:cs="Georgia" w:eastAsia="Georgia" w:hAnsi="Georgia"/>
          <w:color w:val="1A1A1A"/>
          <w:sz w:val="22"/>
          <w:szCs w:val="22"/>
        </w:rPr>
        <w:t xml:space="preserve">La certification APEXER n'a pas de valeur officielle reconnue par l'État ou les organismes professionnels. C'est une certification privée APEXER, pas un titre RNCP.</w:t>
      </w:r>
    </w:p>
    <w:p>
      <w:pPr>
        <w:pStyle w:val="ListParagraph"/>
        <w:numPr>
          <w:ilvl w:val="0"/>
          <w:numId w:val="2"/>
        </w:numPr>
        <w:spacing w:after="80" w:line="300"/>
      </w:pPr>
      <w:r>
        <w:rPr>
          <w:rFonts w:ascii="Georgia" w:cs="Georgia" w:eastAsia="Georgia" w:hAnsi="Georgia"/>
          <w:color w:val="1A1A1A"/>
          <w:sz w:val="22"/>
          <w:szCs w:val="22"/>
        </w:rPr>
        <w:t xml:space="preserve">La certification ne se substitue pas aux dispositifs de formation continue ni aux certifications professionnelles métier (commerce, banque, immobilier, etc.).</w:t>
      </w:r>
    </w:p>
    <w:p>
      <w:pPr>
        <w:pStyle w:val="ListParagraph"/>
        <w:numPr>
          <w:ilvl w:val="0"/>
          <w:numId w:val="2"/>
        </w:numPr>
        <w:spacing w:after="80" w:line="300"/>
      </w:pPr>
      <w:r>
        <w:rPr>
          <w:rFonts w:ascii="Georgia" w:cs="Georgia" w:eastAsia="Georgia" w:hAnsi="Georgia"/>
          <w:color w:val="1A1A1A"/>
          <w:sz w:val="22"/>
          <w:szCs w:val="22"/>
        </w:rPr>
        <w:t xml:space="preserve">APEXER central se réserve le droit de retirer une certification en cas de manquement grave aux Standards APEXER (mensonges sur les indicateurs, comportement contraire à la Charte du Forgeron, etc.). Procédure encadrée avec contradictoire.</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Argumentaire commercial B2B</w:t>
      </w:r>
    </w:p>
    <w:p>
      <w:pPr>
        <w:spacing w:after="200" w:before="80"/>
      </w:pPr>
      <w:r>
        <w:rPr>
          <w:rFonts w:ascii="Arial" w:cs="Arial" w:eastAsia="Arial" w:hAnsi="Arial"/>
          <w:i/>
          <w:iCs/>
          <w:color w:val="6B6F76"/>
          <w:sz w:val="18"/>
          <w:szCs w:val="18"/>
        </w:rPr>
        <w:t xml:space="preserve">Argumentaire calibré pour les entretiens avec les directions commerciales et RH des entreprises cibles.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Vous n'achetez pas une formation pour vos commerciaux. Vous installez un système qu'ils tiennent — toute l'année, sans relais, sans rappel. »</w:t>
      </w:r>
    </w:p>
    <w:p>
      <w:pPr>
        <w:pStyle w:val="Heading2"/>
        <w:spacing w:after="200" w:before="360"/>
      </w:pPr>
      <w:r>
        <w:rPr>
          <w:rFonts w:ascii="Georgia" w:cs="Georgia" w:eastAsia="Georgia" w:hAnsi="Georgia"/>
          <w:b/>
          <w:bCs/>
          <w:color w:val="0B1A2A"/>
          <w:sz w:val="30"/>
          <w:szCs w:val="30"/>
        </w:rPr>
        <w:t xml:space="preserve">Quatre argumentaires selon le profil entreprise</w:t>
      </w:r>
    </w:p>
    <w:p>
      <w:pPr>
        <w:spacing w:after="120" w:before="240"/>
      </w:pPr>
      <w:r>
        <w:rPr>
          <w:rFonts w:ascii="Arial" w:cs="Arial" w:eastAsia="Arial" w:hAnsi="Arial"/>
          <w:b/>
          <w:bCs/>
          <w:color w:val="0B1A2A"/>
          <w:sz w:val="24"/>
          <w:szCs w:val="24"/>
        </w:rPr>
        <w:t xml:space="preserve">Pour la direction commerciale d'une PME B2B</w:t>
      </w:r>
    </w:p>
    <w:p>
      <w:pPr>
        <w:spacing w:after="120" w:line="320"/>
        <w:jc w:val="both"/>
      </w:pPr>
      <w:r>
        <w:rPr>
          <w:rFonts w:ascii="Georgia" w:cs="Georgia" w:eastAsia="Georgia" w:hAnsi="Georgia"/>
          <w:b w:val="false"/>
          <w:bCs w:val="false"/>
          <w:i w:val="false"/>
          <w:iCs w:val="false"/>
          <w:color w:val="1A1A1A"/>
          <w:sz w:val="22"/>
          <w:szCs w:val="22"/>
        </w:rPr>
        <w:t xml:space="preserve">« Vous gérez une équipe de 10 à 20 commerciaux. Vous avez essayé les formations classiques : un séminaire de 2 jours, beaucoup d'enthousiasme à la sortie, et 3 mois plus tard plus rien dans le quotidien. Vous savez que le problème n'est pas le contenu — vos commerciaux savent quoi faire. Le problème est l'absence de cadre tenu dans la durée. APEXER TEAM installe ce cadre. Une Forge hebdomadaire de 90 minutes, animée par un Maître-Forgeron extérieur, qui tient le système toute l'année. Vous, vous voyez l'évolution dans le tableau de bord manager, sans avoir à animer vous-même. Pour une équipe de 10, c'est 18 900 €/an — environ 1,5% de votre masse salariale commerciale, contre une espérance d'augmentation du taux de transformation de 1,5 à 2 points. »</w:t>
      </w:r>
    </w:p>
    <w:p>
      <w:pPr>
        <w:spacing w:after="120" w:before="240"/>
      </w:pPr>
      <w:r>
        <w:rPr>
          <w:rFonts w:ascii="Arial" w:cs="Arial" w:eastAsia="Arial" w:hAnsi="Arial"/>
          <w:b/>
          <w:bCs/>
          <w:color w:val="0B1A2A"/>
          <w:sz w:val="24"/>
          <w:szCs w:val="24"/>
        </w:rPr>
        <w:t xml:space="preserve">Pour le directeur d'un réseau d'agences</w:t>
      </w:r>
    </w:p>
    <w:p>
      <w:pPr>
        <w:spacing w:after="120" w:line="320"/>
        <w:jc w:val="both"/>
      </w:pPr>
      <w:r>
        <w:rPr>
          <w:rFonts w:ascii="Georgia" w:cs="Georgia" w:eastAsia="Georgia" w:hAnsi="Georgia"/>
          <w:b w:val="false"/>
          <w:bCs w:val="false"/>
          <w:i w:val="false"/>
          <w:iCs w:val="false"/>
          <w:color w:val="1A1A1A"/>
          <w:sz w:val="22"/>
          <w:szCs w:val="22"/>
        </w:rPr>
        <w:t xml:space="preserve">« Vos agents commerciaux sont indépendants, territorialement dispersés, et chacun fait sa cuisine. Vous avez du mal à imposer un standard méthodologique commun sans passer pour le siège qui en demande trop. APEXER TEAM résout ce problème. Le Maître-Forgeron certifié est extérieur à votre réseau — c'est un tiers exigeant que vos agents acceptent comme référence neutre. La Forge tient le standard à votre place. Et le Cockpit Manager vous donne la lecture transversale que vous ne pouviez pas avoir. C'est probablement le levier le plus efficace pour professionnaliser un réseau sans casser la culture indépendante. »</w:t>
      </w:r>
    </w:p>
    <w:p>
      <w:pPr>
        <w:spacing w:after="120" w:before="240"/>
      </w:pPr>
      <w:r>
        <w:rPr>
          <w:rFonts w:ascii="Arial" w:cs="Arial" w:eastAsia="Arial" w:hAnsi="Arial"/>
          <w:b/>
          <w:bCs/>
          <w:color w:val="0B1A2A"/>
          <w:sz w:val="24"/>
          <w:szCs w:val="24"/>
        </w:rPr>
        <w:t xml:space="preserve">Pour le DRH d'une ETI avec force de vente</w:t>
      </w:r>
    </w:p>
    <w:p>
      <w:pPr>
        <w:spacing w:after="120" w:line="320"/>
        <w:jc w:val="both"/>
      </w:pPr>
      <w:r>
        <w:rPr>
          <w:rFonts w:ascii="Georgia" w:cs="Georgia" w:eastAsia="Georgia" w:hAnsi="Georgia"/>
          <w:b w:val="false"/>
          <w:bCs w:val="false"/>
          <w:i w:val="false"/>
          <w:iCs w:val="false"/>
          <w:color w:val="1A1A1A"/>
          <w:sz w:val="22"/>
          <w:szCs w:val="22"/>
        </w:rPr>
        <w:t xml:space="preserve">« Vous avez 100 commerciaux terrain. Votre direction commerciale veut professionnaliser, votre DG demande des résultats, et vous savez que le turn-over commercial coûte cher. APEXER TEAM se déploie en plusieurs Forges internes (une Forge par 12 commerciaux maximum), avec un Maître-Forgeron certifié dédié à chaque Forge. La certification individuelle devient un outil de fidélisation : un commercial certifié Or APEXER a investi 2 ans dans la méthode, il ne quitte pas l'entreprise pour 5% de variable en plus. Et le ratio coût/impact est très favorable comparé à un consultant senior à 1 500 €/jour qui tiendra 3 mois. »</w:t>
      </w:r>
    </w:p>
    <w:p>
      <w:pPr>
        <w:spacing w:after="120" w:before="240"/>
      </w:pPr>
      <w:r>
        <w:rPr>
          <w:rFonts w:ascii="Arial" w:cs="Arial" w:eastAsia="Arial" w:hAnsi="Arial"/>
          <w:b/>
          <w:bCs/>
          <w:color w:val="0B1A2A"/>
          <w:sz w:val="24"/>
          <w:szCs w:val="24"/>
        </w:rPr>
        <w:t xml:space="preserve">Pour le partner d'un cabinet de conseil</w:t>
      </w:r>
    </w:p>
    <w:p>
      <w:pPr>
        <w:spacing w:after="120" w:line="320"/>
        <w:jc w:val="both"/>
      </w:pPr>
      <w:r>
        <w:rPr>
          <w:rFonts w:ascii="Georgia" w:cs="Georgia" w:eastAsia="Georgia" w:hAnsi="Georgia"/>
          <w:b w:val="false"/>
          <w:bCs w:val="false"/>
          <w:i w:val="false"/>
          <w:iCs w:val="false"/>
          <w:color w:val="1A1A1A"/>
          <w:sz w:val="22"/>
          <w:szCs w:val="22"/>
        </w:rPr>
        <w:t xml:space="preserve">« Vos consultants sont brillants techniquement mais inégaux en business development. Vous voulez qu'ils prospectent, qu'ils prolongent les missions, qu'ils ramènent des recommandations. Vous ne pouvez pas les transformer en commerciaux — ils ne le sont pas — mais vous pouvez leur installer un cadre commercial méthodique qui ne dépend pas de leur appétence naturelle. C'est exactement ce que fait APEXER TEAM. Sur une équipe de 8 partners et seniors, le ROI se mesure sur 2 missions supplémentaires gagnées dans l'année — vous récupérez l'investissement en un trimestre.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18 900 € PAR AN POUR 10 COMMERCIAUX, C'EST CHER »</w:t>
      </w:r>
    </w:p>
    <w:p>
      <w:pPr>
        <w:spacing w:after="120" w:line="320"/>
        <w:jc w:val="both"/>
      </w:pPr>
      <w:r>
        <w:rPr>
          <w:rFonts w:ascii="Georgia" w:cs="Georgia" w:eastAsia="Georgia" w:hAnsi="Georgia"/>
          <w:b w:val="false"/>
          <w:bCs w:val="false"/>
          <w:i w:val="false"/>
          <w:iCs w:val="false"/>
          <w:color w:val="1A1A1A"/>
          <w:sz w:val="22"/>
          <w:szCs w:val="22"/>
        </w:rPr>
        <w:t xml:space="preserve">« C'est environ 1 575 €/an par commercial, soit 130 €/mois. Comparez : un commercial qui rate 2 ventes dans l'année à cause d'un défaut de méthode coûte beaucoup plus cher en CA non réalisé. Un consultant senior facturé 1 500 €/jour pour 12 jours d'intervention coûte autant et ne tient pas le système toute l'année. Une formation classique de 2 jours pour 10 personnes coûte typiquement 6 000 € et n'installe rien. APEXER TEAM est probablement le ratio impact/euro dépensé le plus favorable du marché de la formation commerciale française pour les équipes de cette taille. »</w:t>
      </w:r>
    </w:p>
    <w:p>
      <w:pPr>
        <w:spacing w:after="80" w:before="240"/>
      </w:pPr>
      <w:r>
        <w:rPr>
          <w:rFonts w:ascii="Arial" w:cs="Arial" w:eastAsia="Arial" w:hAnsi="Arial"/>
          <w:b/>
          <w:bCs/>
          <w:color w:val="B08A3E"/>
          <w:spacing w:val="30"/>
          <w:sz w:val="18"/>
          <w:szCs w:val="18"/>
        </w:rPr>
        <w:t xml:space="preserve">« ON A DÉJÀ UN CONSULTANT QUI FAIT DU COACHING COMMERCIAL »</w:t>
      </w:r>
    </w:p>
    <w:p>
      <w:pPr>
        <w:spacing w:after="120" w:line="320"/>
        <w:jc w:val="both"/>
      </w:pPr>
      <w:r>
        <w:rPr>
          <w:rFonts w:ascii="Georgia" w:cs="Georgia" w:eastAsia="Georgia" w:hAnsi="Georgia"/>
          <w:b w:val="false"/>
          <w:bCs w:val="false"/>
          <w:i w:val="false"/>
          <w:iCs w:val="false"/>
          <w:color w:val="1A1A1A"/>
          <w:sz w:val="22"/>
          <w:szCs w:val="22"/>
        </w:rPr>
        <w:t xml:space="preserve">« Probablement très bien. Coaching et APEXER TEAM ne sont pas substituables — ils sont complémentaires. Le coaching adresse des situations individuelles ponctuelles. APEXER TEAM installe un système collectif tenu hebdomadairement. Beaucoup de nos clients gardent leur consultant en parallèle, sur des dossiers spécifiques, et utilisent APEXER pour le cadre méthodologique de fond. La question n'est pas de remplacer le consultant — c'est d'installer ce que le consultant ne peut pas tenir tout seul. »</w:t>
      </w:r>
    </w:p>
    <w:p>
      <w:pPr>
        <w:spacing w:after="80" w:before="240"/>
      </w:pPr>
      <w:r>
        <w:rPr>
          <w:rFonts w:ascii="Arial" w:cs="Arial" w:eastAsia="Arial" w:hAnsi="Arial"/>
          <w:b/>
          <w:bCs/>
          <w:color w:val="B08A3E"/>
          <w:spacing w:val="30"/>
          <w:sz w:val="18"/>
          <w:szCs w:val="18"/>
        </w:rPr>
        <w:t xml:space="preserve">« MES COMMERCIAUX N'ACCEPTERONT JAMAIS UNE FORGE LE LUNDI À 8H »</w:t>
      </w:r>
    </w:p>
    <w:p>
      <w:pPr>
        <w:spacing w:after="120" w:line="320"/>
        <w:jc w:val="both"/>
      </w:pPr>
      <w:r>
        <w:rPr>
          <w:rFonts w:ascii="Georgia" w:cs="Georgia" w:eastAsia="Georgia" w:hAnsi="Georgia"/>
          <w:b w:val="false"/>
          <w:bCs w:val="false"/>
          <w:i w:val="false"/>
          <w:iCs w:val="false"/>
          <w:color w:val="1A1A1A"/>
          <w:sz w:val="22"/>
          <w:szCs w:val="22"/>
        </w:rPr>
        <w:t xml:space="preserve">« C'est en effet un sujet à cadrer en amont. Trois remarques. Première : le créneau est négocié avec la direction et l'équipe ensemble, ce n'est pas imposé par APEXER. Beaucoup de Forges internes tiennent le vendredi 17h ou le mardi 18h, pas obligatoirement le matin tôt. Deuxième : 90 minutes par semaine pour un commercial qui dit ne pas avoir le temps, c'est un signal en soi — souvent le commercial qui résiste le plus est celui qui en a le plus besoin. Troisième : la Forge est sur temps de travail (puisque déployée par l'employeur). Si la résistance reste forte, on traite ça en cadrage et on commence parfois par une Forge volontaire avant de l'étendre. »</w:t>
      </w:r>
    </w:p>
    <w:p>
      <w:pPr>
        <w:spacing w:after="80" w:before="240"/>
      </w:pPr>
      <w:r>
        <w:rPr>
          <w:rFonts w:ascii="Arial" w:cs="Arial" w:eastAsia="Arial" w:hAnsi="Arial"/>
          <w:b/>
          <w:bCs/>
          <w:color w:val="B08A3E"/>
          <w:spacing w:val="30"/>
          <w:sz w:val="18"/>
          <w:szCs w:val="18"/>
        </w:rPr>
        <w:t xml:space="preserve">« ON VEUT TESTER AVANT DE S'ENGAGER 12 MOIS »</w:t>
      </w:r>
    </w:p>
    <w:p>
      <w:pPr>
        <w:spacing w:after="120" w:line="320"/>
        <w:jc w:val="both"/>
      </w:pPr>
      <w:r>
        <w:rPr>
          <w:rFonts w:ascii="Georgia" w:cs="Georgia" w:eastAsia="Georgia" w:hAnsi="Georgia"/>
          <w:b w:val="false"/>
          <w:bCs w:val="false"/>
          <w:i w:val="false"/>
          <w:iCs w:val="false"/>
          <w:color w:val="1A1A1A"/>
          <w:sz w:val="22"/>
          <w:szCs w:val="22"/>
        </w:rPr>
        <w:t xml:space="preserve">« Compréhensible. Pas de période d'essai dans le contrat standard, parce que le déploiement initial mobilise 2 jours présentiels d'un Maître-Forgeron senior qui ne se rattrapent pas. Mais nous proposons une demi-journée de découverte gratuite : présentation de la méthode aux commerciaux, animation d'une mini-Forge de 60 minutes en réel sur un cas business actuel de l'équipe, échange avec la direction sur les conditions de réussite. À l'issue, vous décidez. Pas de pression, pas de relance commerciale au-delà de 30 jours. »</w:t>
      </w:r>
    </w:p>
    <w:p>
      <w:pPr>
        <w:spacing w:after="80" w:before="240"/>
      </w:pPr>
      <w:r>
        <w:rPr>
          <w:rFonts w:ascii="Arial" w:cs="Arial" w:eastAsia="Arial" w:hAnsi="Arial"/>
          <w:b/>
          <w:bCs/>
          <w:color w:val="B08A3E"/>
          <w:spacing w:val="30"/>
          <w:sz w:val="18"/>
          <w:szCs w:val="18"/>
        </w:rPr>
        <w:t xml:space="preserve">« ET LE RGPD, LA CONFIDENTIALITÉ COMMERCIALE ? »</w:t>
      </w:r>
    </w:p>
    <w:p>
      <w:pPr>
        <w:spacing w:after="120" w:line="320"/>
        <w:jc w:val="both"/>
      </w:pPr>
      <w:r>
        <w:rPr>
          <w:rFonts w:ascii="Georgia" w:cs="Georgia" w:eastAsia="Georgia" w:hAnsi="Georgia"/>
          <w:b w:val="false"/>
          <w:bCs w:val="false"/>
          <w:i w:val="false"/>
          <w:iCs w:val="false"/>
          <w:color w:val="1A1A1A"/>
          <w:sz w:val="22"/>
          <w:szCs w:val="22"/>
        </w:rPr>
        <w:t xml:space="preserve">« Sujet pris très au sérieux. Le Maître-Forgeron certifié signe un NDA avec votre entreprise avant le démarrage. La Charte du Forgeron interne pose la confidentialité absolue des cas business à l'intérieur de la Forge. L'application APEXER stocke les données chez un hébergeur certifié HDS européen, conforme RGPD. Aucune donnée individuelle commerciale n'est partagée hors de votre entreprise. Le tableau de bord manager fonctionne en agrégé, pas en nominatif sauf demande explicite de votre direction.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apexer.fr/team. Page B2B, ton plus institutionnel que les pages individuelles.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w:t>
      </w:r>
    </w:p>
    <w:p>
      <w:pPr>
        <w:spacing w:after="120" w:line="320"/>
        <w:jc w:val="left"/>
      </w:pPr>
      <w:r>
        <w:rPr>
          <w:rFonts w:ascii="Georgia" w:cs="Georgia" w:eastAsia="Georgia" w:hAnsi="Georgia"/>
          <w:b/>
          <w:bCs/>
          <w:i w:val="false"/>
          <w:iCs w:val="false"/>
          <w:color w:val="B08A3E"/>
          <w:sz w:val="22"/>
          <w:szCs w:val="22"/>
        </w:rPr>
        <w:t xml:space="preserve">APEXER TEAM · OFFRE B2B ENTREPRISE</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Vous n'achetez pas une formation pour vos commerciaux. Vous installez un système qu'ils tiennent.</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APEXER TEAM installe les Standards APEXER dans une équipe commerciale interne. Forge hebdomadaire animée par un Maître-Forgeron Fondateur certifié, tableau de bord manager, reporting trimestriel à la direction. Pour des équipes de 6 à 50 commerciaux. Engagement annuel.</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CE QUE TEAM INSTALLE DANS VOTRE ÉQUIPE</w:t>
      </w:r>
    </w:p>
    <w:p>
      <w:pPr>
        <w:spacing w:after="120" w:line="320"/>
        <w:jc w:val="left"/>
      </w:pPr>
      <w:r>
        <w:rPr>
          <w:rFonts w:ascii="Georgia" w:cs="Georgia" w:eastAsia="Georgia" w:hAnsi="Georgia"/>
          <w:b/>
          <w:bCs/>
          <w:i w:val="false"/>
          <w:iCs w:val="false"/>
          <w:color w:val="1A1A1A"/>
          <w:sz w:val="28"/>
          <w:szCs w:val="28"/>
        </w:rPr>
        <w:t xml:space="preserve">Pas un séminaire. Un système tenu toute l'année.</w:t>
      </w:r>
    </w:p>
    <w:p>
      <w:pPr>
        <w:pStyle w:val="ListParagraph"/>
        <w:numPr>
          <w:ilvl w:val="0"/>
          <w:numId w:val="2"/>
        </w:numPr>
        <w:spacing w:after="80" w:line="300"/>
      </w:pPr>
      <w:r>
        <w:rPr>
          <w:rFonts w:ascii="Georgia" w:cs="Georgia" w:eastAsia="Georgia" w:hAnsi="Georgia"/>
          <w:color w:val="1A1A1A"/>
          <w:sz w:val="22"/>
          <w:szCs w:val="22"/>
        </w:rPr>
        <w:t xml:space="preserve">Une Forge interne hebdomadaire de 90 minutes, animée par un Maître-Forgeron Fondateur certifié, en présentiel ou en visioconférence selon votre configuration.</w:t>
      </w:r>
    </w:p>
    <w:p>
      <w:pPr>
        <w:pStyle w:val="ListParagraph"/>
        <w:numPr>
          <w:ilvl w:val="0"/>
          <w:numId w:val="2"/>
        </w:numPr>
        <w:spacing w:after="80" w:line="300"/>
      </w:pPr>
      <w:r>
        <w:rPr>
          <w:rFonts w:ascii="Georgia" w:cs="Georgia" w:eastAsia="Georgia" w:hAnsi="Georgia"/>
          <w:color w:val="1A1A1A"/>
          <w:sz w:val="22"/>
          <w:szCs w:val="22"/>
        </w:rPr>
        <w:t xml:space="preserve">L'application APEXER en accès complet pour chaque commercial : Scoreboard quotidien, Cockpit, score d'énergie, Engagements publics traçables.</w:t>
      </w:r>
    </w:p>
    <w:p>
      <w:pPr>
        <w:pStyle w:val="ListParagraph"/>
        <w:numPr>
          <w:ilvl w:val="0"/>
          <w:numId w:val="2"/>
        </w:numPr>
        <w:spacing w:after="80" w:line="300"/>
      </w:pPr>
      <w:r>
        <w:rPr>
          <w:rFonts w:ascii="Georgia" w:cs="Georgia" w:eastAsia="Georgia" w:hAnsi="Georgia"/>
          <w:color w:val="1A1A1A"/>
          <w:sz w:val="22"/>
          <w:szCs w:val="22"/>
        </w:rPr>
        <w:t xml:space="preserve">Un Cockpit Manager dédié à votre direction commerciale : indicateurs agrégés, courbes d'évolution, signaux d'alerte, accès aux Forges tenues.</w:t>
      </w:r>
    </w:p>
    <w:p>
      <w:pPr>
        <w:pStyle w:val="ListParagraph"/>
        <w:numPr>
          <w:ilvl w:val="0"/>
          <w:numId w:val="2"/>
        </w:numPr>
        <w:spacing w:after="80" w:line="300"/>
      </w:pPr>
      <w:r>
        <w:rPr>
          <w:rFonts w:ascii="Georgia" w:cs="Georgia" w:eastAsia="Georgia" w:hAnsi="Georgia"/>
          <w:color w:val="1A1A1A"/>
          <w:sz w:val="22"/>
          <w:szCs w:val="22"/>
        </w:rPr>
        <w:t xml:space="preserve">Un reporting trimestriel à la direction : 60 minutes de bilan chiffré et qualitatif, points de vigilance, recommandations.</w:t>
      </w:r>
    </w:p>
    <w:p>
      <w:pPr>
        <w:pStyle w:val="ListParagraph"/>
        <w:numPr>
          <w:ilvl w:val="0"/>
          <w:numId w:val="2"/>
        </w:numPr>
        <w:spacing w:after="80" w:line="300"/>
      </w:pPr>
      <w:r>
        <w:rPr>
          <w:rFonts w:ascii="Georgia" w:cs="Georgia" w:eastAsia="Georgia" w:hAnsi="Georgia"/>
          <w:color w:val="1A1A1A"/>
          <w:sz w:val="22"/>
          <w:szCs w:val="22"/>
        </w:rPr>
        <w:t xml:space="preserve">La méthode APEXER complète : 7 pratiques convergentes issues de l'observation des top performers commerciaux français.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DÉPLOIEMENT</w:t>
      </w:r>
    </w:p>
    <w:p>
      <w:pPr>
        <w:spacing w:after="120" w:line="320"/>
        <w:jc w:val="left"/>
      </w:pPr>
      <w:r>
        <w:rPr>
          <w:rFonts w:ascii="Georgia" w:cs="Georgia" w:eastAsia="Georgia" w:hAnsi="Georgia"/>
          <w:b/>
          <w:bCs/>
          <w:i w:val="false"/>
          <w:iCs w:val="false"/>
          <w:color w:val="1A1A1A"/>
          <w:sz w:val="28"/>
          <w:szCs w:val="28"/>
        </w:rPr>
        <w:t xml:space="preserve">Un mois de cadrage. Trois mois de déploiement. Neuf mois d'animation.</w:t>
      </w:r>
    </w:p>
    <w:p>
      <w:pPr>
        <w:pStyle w:val="ListParagraph"/>
        <w:numPr>
          <w:ilvl w:val="0"/>
          <w:numId w:val="2"/>
        </w:numPr>
        <w:spacing w:after="80" w:line="300"/>
      </w:pPr>
      <w:r>
        <w:rPr>
          <w:rFonts w:ascii="Georgia" w:cs="Georgia" w:eastAsia="Georgia" w:hAnsi="Georgia"/>
          <w:color w:val="1A1A1A"/>
          <w:sz w:val="22"/>
          <w:szCs w:val="22"/>
        </w:rPr>
        <w:t xml:space="preserve">Mois 0 — Cadrage : réunion direction, désignation du Maître-Forgeron certifié, validation de l'équipe, signature.</w:t>
      </w:r>
    </w:p>
    <w:p>
      <w:pPr>
        <w:pStyle w:val="ListParagraph"/>
        <w:numPr>
          <w:ilvl w:val="0"/>
          <w:numId w:val="2"/>
        </w:numPr>
        <w:spacing w:after="80" w:line="300"/>
      </w:pPr>
      <w:r>
        <w:rPr>
          <w:rFonts w:ascii="Georgia" w:cs="Georgia" w:eastAsia="Georgia" w:hAnsi="Georgia"/>
          <w:color w:val="1A1A1A"/>
          <w:sz w:val="22"/>
          <w:szCs w:val="22"/>
        </w:rPr>
        <w:t xml:space="preserve">Mois 1-3 — Déploiement : 2 jours présentiels de lancement, mise en route de la Forge interne, premier reporting.</w:t>
      </w:r>
    </w:p>
    <w:p>
      <w:pPr>
        <w:pStyle w:val="ListParagraph"/>
        <w:numPr>
          <w:ilvl w:val="0"/>
          <w:numId w:val="2"/>
        </w:numPr>
        <w:spacing w:after="80" w:line="300"/>
      </w:pPr>
      <w:r>
        <w:rPr>
          <w:rFonts w:ascii="Georgia" w:cs="Georgia" w:eastAsia="Georgia" w:hAnsi="Georgia"/>
          <w:color w:val="1A1A1A"/>
          <w:sz w:val="22"/>
          <w:szCs w:val="22"/>
        </w:rPr>
        <w:t xml:space="preserve">Mois 4-12 — Animation : Forge hebdomadaire tenue, Cockpit Manager actif, reporting trimestriel.</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4"/>
          <w:szCs w:val="24"/>
        </w:rPr>
        <w:t xml:space="preserve">Forfait déploiement : 4 500 € HT (mois 0-3).</w:t>
      </w:r>
    </w:p>
    <w:p>
      <w:pPr>
        <w:spacing w:after="120" w:line="320"/>
        <w:jc w:val="left"/>
      </w:pPr>
      <w:r>
        <w:rPr>
          <w:rFonts w:ascii="Georgia" w:cs="Georgia" w:eastAsia="Georgia" w:hAnsi="Georgia"/>
          <w:b/>
          <w:bCs/>
          <w:i w:val="false"/>
          <w:iCs w:val="false"/>
          <w:color w:val="0B1A2A"/>
          <w:sz w:val="24"/>
          <w:szCs w:val="24"/>
        </w:rPr>
        <w:t xml:space="preserve">Licence annuelle : 120 € HT/mois/commercial — engagement 12 mois.</w:t>
      </w:r>
    </w:p>
    <w:p>
      <w:pPr>
        <w:spacing w:after="120" w:line="320"/>
        <w:jc w:val="left"/>
      </w:pPr>
      <w:r>
        <w:rPr>
          <w:rFonts w:ascii="Georgia" w:cs="Georgia" w:eastAsia="Georgia" w:hAnsi="Georgia"/>
          <w:b w:val="false"/>
          <w:bCs w:val="false"/>
          <w:i/>
          <w:iCs/>
          <w:color w:val="6B6F76"/>
          <w:sz w:val="22"/>
          <w:szCs w:val="22"/>
        </w:rPr>
        <w:t xml:space="preserve">Exemple : équipe de 10 commerciaux = 18 900 € HT pour l'année 1 (≈ 1,5% d'une masse salariale commerciale type).</w:t>
      </w:r>
    </w:p>
    <w:p>
      <w:pPr>
        <w:spacing w:after="120" w:line="320"/>
        <w:jc w:val="left"/>
      </w:pPr>
      <w:r>
        <w:rPr>
          <w:rFonts w:ascii="Georgia" w:cs="Georgia" w:eastAsia="Georgia" w:hAnsi="Georgia"/>
          <w:b w:val="false"/>
          <w:bCs w:val="false"/>
          <w:i/>
          <w:iCs/>
          <w:color w:val="6B6F76"/>
          <w:sz w:val="22"/>
          <w:szCs w:val="22"/>
        </w:rPr>
        <w:t xml:space="preserve">Option certification individuelle : 150 € HT par commercial certifié, en plus.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POUR QUI</w:t>
      </w:r>
    </w:p>
    <w:p>
      <w:pPr>
        <w:spacing w:after="120" w:line="320"/>
        <w:jc w:val="left"/>
      </w:pPr>
      <w:r>
        <w:rPr>
          <w:rFonts w:ascii="Georgia" w:cs="Georgia" w:eastAsia="Georgia" w:hAnsi="Georgia"/>
          <w:b/>
          <w:bCs/>
          <w:i w:val="false"/>
          <w:iCs w:val="false"/>
          <w:color w:val="1A1A1A"/>
          <w:sz w:val="28"/>
          <w:szCs w:val="28"/>
        </w:rPr>
        <w:t xml:space="preserve">Quatre profils d'entreprises convertissent particulièrement bien.</w:t>
      </w:r>
    </w:p>
    <w:p>
      <w:pPr>
        <w:pStyle w:val="ListParagraph"/>
        <w:numPr>
          <w:ilvl w:val="0"/>
          <w:numId w:val="2"/>
        </w:numPr>
        <w:spacing w:after="80" w:line="300"/>
      </w:pPr>
      <w:r>
        <w:rPr>
          <w:rFonts w:ascii="Georgia" w:cs="Georgia" w:eastAsia="Georgia" w:hAnsi="Georgia"/>
          <w:color w:val="1A1A1A"/>
          <w:sz w:val="22"/>
          <w:szCs w:val="22"/>
        </w:rPr>
        <w:t xml:space="preserve">PME B2B avec équipe commerciale de 6 à 30 personnes (éditeurs SaaS, services, équipementiers, agences).</w:t>
      </w:r>
    </w:p>
    <w:p>
      <w:pPr>
        <w:pStyle w:val="ListParagraph"/>
        <w:numPr>
          <w:ilvl w:val="0"/>
          <w:numId w:val="2"/>
        </w:numPr>
        <w:spacing w:after="80" w:line="300"/>
      </w:pPr>
      <w:r>
        <w:rPr>
          <w:rFonts w:ascii="Georgia" w:cs="Georgia" w:eastAsia="Georgia" w:hAnsi="Georgia"/>
          <w:color w:val="1A1A1A"/>
          <w:sz w:val="22"/>
          <w:szCs w:val="22"/>
        </w:rPr>
        <w:t xml:space="preserve">Réseau d'agences ou de franchises (immobilier, assurance, gestion de patrimoine, automobile).</w:t>
      </w:r>
    </w:p>
    <w:p>
      <w:pPr>
        <w:pStyle w:val="ListParagraph"/>
        <w:numPr>
          <w:ilvl w:val="0"/>
          <w:numId w:val="2"/>
        </w:numPr>
        <w:spacing w:after="80" w:line="300"/>
      </w:pPr>
      <w:r>
        <w:rPr>
          <w:rFonts w:ascii="Georgia" w:cs="Georgia" w:eastAsia="Georgia" w:hAnsi="Georgia"/>
          <w:color w:val="1A1A1A"/>
          <w:sz w:val="22"/>
          <w:szCs w:val="22"/>
        </w:rPr>
        <w:t xml:space="preserve">ETI avec force de vente terrain (laboratoires pharmaceutiques, industriels avec commerciaux régionaux).</w:t>
      </w:r>
    </w:p>
    <w:p>
      <w:pPr>
        <w:pStyle w:val="ListParagraph"/>
        <w:numPr>
          <w:ilvl w:val="0"/>
          <w:numId w:val="2"/>
        </w:numPr>
        <w:spacing w:after="80" w:line="300"/>
      </w:pPr>
      <w:r>
        <w:rPr>
          <w:rFonts w:ascii="Georgia" w:cs="Georgia" w:eastAsia="Georgia" w:hAnsi="Georgia"/>
          <w:color w:val="1A1A1A"/>
          <w:sz w:val="22"/>
          <w:szCs w:val="22"/>
        </w:rPr>
        <w:t xml:space="preserve">Cabinet de conseil avec activité de business development structurée (chasse, conseil, expertise comptable).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En quoi TEAM est différent d'une formation commerciale classique ?</w:t>
      </w:r>
    </w:p>
    <w:p>
      <w:pPr>
        <w:spacing w:after="120" w:line="320"/>
        <w:jc w:val="both"/>
      </w:pPr>
      <w:r>
        <w:rPr>
          <w:rFonts w:ascii="Georgia" w:cs="Georgia" w:eastAsia="Georgia" w:hAnsi="Georgia"/>
          <w:b w:val="false"/>
          <w:bCs w:val="false"/>
          <w:i w:val="false"/>
          <w:iCs w:val="false"/>
          <w:color w:val="1A1A1A"/>
          <w:sz w:val="22"/>
          <w:szCs w:val="22"/>
        </w:rPr>
        <w:t xml:space="preserve">Une formation transmet du savoir sur 1 à 5 jours. APEXER TEAM installe un système tenu hebdomadairement toute l'année. La différence se mesure dans la durabilité : une formation classique laisse 10-15% de pratiques tenues 6 mois après ; APEXER TEAM atteint typiquement 70-80% de pratiques tenues à 12 mois grâce à la Forge hebdomadaire qui tient le cadre.</w:t>
      </w:r>
    </w:p>
    <w:p>
      <w:pPr>
        <w:spacing w:after="120" w:before="240"/>
      </w:pPr>
      <w:r>
        <w:rPr>
          <w:rFonts w:ascii="Arial" w:cs="Arial" w:eastAsia="Arial" w:hAnsi="Arial"/>
          <w:b/>
          <w:bCs/>
          <w:color w:val="0B1A2A"/>
          <w:sz w:val="24"/>
          <w:szCs w:val="24"/>
        </w:rPr>
        <w:t xml:space="preserve">Q : Combien de temps avant de voir des résultats ?</w:t>
      </w:r>
    </w:p>
    <w:p>
      <w:pPr>
        <w:spacing w:after="120" w:line="320"/>
        <w:jc w:val="both"/>
      </w:pPr>
      <w:r>
        <w:rPr>
          <w:rFonts w:ascii="Georgia" w:cs="Georgia" w:eastAsia="Georgia" w:hAnsi="Georgia"/>
          <w:b w:val="false"/>
          <w:bCs w:val="false"/>
          <w:i w:val="false"/>
          <w:iCs w:val="false"/>
          <w:color w:val="1A1A1A"/>
          <w:sz w:val="22"/>
          <w:szCs w:val="22"/>
        </w:rPr>
        <w:t xml:space="preserve">Les premières corrections de comportement sont visibles à 2-4 semaines après le lancement. Les premiers indicateurs commerciaux qui bougent (taux de transformation, volume de RDV, recommandations entrantes) interviennent typiquement entre le mois 3 et le mois 6. La pleine efficacité du système est atteinte à 9-12 mois.</w:t>
      </w:r>
    </w:p>
    <w:p>
      <w:pPr>
        <w:spacing w:after="120" w:before="240"/>
      </w:pPr>
      <w:r>
        <w:rPr>
          <w:rFonts w:ascii="Arial" w:cs="Arial" w:eastAsia="Arial" w:hAnsi="Arial"/>
          <w:b/>
          <w:bCs/>
          <w:color w:val="0B1A2A"/>
          <w:sz w:val="24"/>
          <w:szCs w:val="24"/>
        </w:rPr>
        <w:t xml:space="preserve">Q : Que se passe-t-il si un commercial quitte l'entreprise ?</w:t>
      </w:r>
    </w:p>
    <w:p>
      <w:pPr>
        <w:spacing w:after="120" w:line="320"/>
        <w:jc w:val="both"/>
      </w:pPr>
      <w:r>
        <w:rPr>
          <w:rFonts w:ascii="Georgia" w:cs="Georgia" w:eastAsia="Georgia" w:hAnsi="Georgia"/>
          <w:b w:val="false"/>
          <w:bCs w:val="false"/>
          <w:i w:val="false"/>
          <w:iCs w:val="false"/>
          <w:color w:val="1A1A1A"/>
          <w:sz w:val="22"/>
          <w:szCs w:val="22"/>
        </w:rPr>
        <w:t xml:space="preserve">Sa licence devient libre dans le contrat (vous pouvez l'attribuer à un nouveau commercial sans surcoût pour les mois restants). S'il a obtenu une certification individuelle APEXER, elle reste attachée à lui — il la conserve dans son nouveau poste, sous réserve qu'il continue à tenir les pratiques (audit annuel possible).</w:t>
      </w:r>
    </w:p>
    <w:p>
      <w:pPr>
        <w:spacing w:after="120" w:before="240"/>
      </w:pPr>
      <w:r>
        <w:rPr>
          <w:rFonts w:ascii="Arial" w:cs="Arial" w:eastAsia="Arial" w:hAnsi="Arial"/>
          <w:b/>
          <w:bCs/>
          <w:color w:val="0B1A2A"/>
          <w:sz w:val="24"/>
          <w:szCs w:val="24"/>
        </w:rPr>
        <w:t xml:space="preserve">Q : Est-ce qu'on peut commencer petit et étendre après ?</w:t>
      </w:r>
    </w:p>
    <w:p>
      <w:pPr>
        <w:spacing w:after="120" w:line="320"/>
        <w:jc w:val="both"/>
      </w:pPr>
      <w:r>
        <w:rPr>
          <w:rFonts w:ascii="Georgia" w:cs="Georgia" w:eastAsia="Georgia" w:hAnsi="Georgia"/>
          <w:b w:val="false"/>
          <w:bCs w:val="false"/>
          <w:i w:val="false"/>
          <w:iCs w:val="false"/>
          <w:color w:val="1A1A1A"/>
          <w:sz w:val="22"/>
          <w:szCs w:val="22"/>
        </w:rPr>
        <w:t xml:space="preserve">Oui. Beaucoup de clients démarrent avec une équipe pilote (souvent 8-12 commerciaux), valident l'impact sur 6-12 mois, puis étendent à d'autres équipes ou agences. Chaque extension fait l'objet d'un avenant au contrat avec déploiement initial complémentaire pour les nouvelles Forges (3 000 € par Forge supplémentaire) et licence proportionnée à l'effectif ajouté.</w:t>
      </w:r>
    </w:p>
    <w:p>
      <w:pPr>
        <w:spacing w:after="120" w:before="240"/>
      </w:pPr>
      <w:r>
        <w:rPr>
          <w:rFonts w:ascii="Arial" w:cs="Arial" w:eastAsia="Arial" w:hAnsi="Arial"/>
          <w:b/>
          <w:bCs/>
          <w:color w:val="0B1A2A"/>
          <w:sz w:val="24"/>
          <w:szCs w:val="24"/>
        </w:rPr>
        <w:t xml:space="preserve">Q : Est-il possible d'utiliser TEAM en marque blanche, sans mention APEXER ?</w:t>
      </w:r>
    </w:p>
    <w:p>
      <w:pPr>
        <w:spacing w:after="120" w:line="320"/>
        <w:jc w:val="both"/>
      </w:pPr>
      <w:r>
        <w:rPr>
          <w:rFonts w:ascii="Georgia" w:cs="Georgia" w:eastAsia="Georgia" w:hAnsi="Georgia"/>
          <w:b w:val="false"/>
          <w:bCs w:val="false"/>
          <w:i w:val="false"/>
          <w:iCs w:val="false"/>
          <w:color w:val="1A1A1A"/>
          <w:sz w:val="22"/>
          <w:szCs w:val="22"/>
        </w:rPr>
        <w:t xml:space="preserve">Non. La marque APEXER reste visible auprès des commerciaux (ils sont Forgerons APEXER, ils utilisent l'application APEXER). C'est constitutif du dispositif : la dimension externe et la marque APEXER font partie de ce qui tient le système au-delà des dynamiques internes habituelles. Une rebranding interne casserait la mécanique.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Demander une démonstration TEAM</w:t>
      </w:r>
    </w:p>
    <w:p>
      <w:pPr>
        <w:spacing w:after="120" w:line="320"/>
        <w:jc w:val="center"/>
      </w:pPr>
      <w:r>
        <w:rPr>
          <w:rFonts w:ascii="Georgia" w:cs="Georgia" w:eastAsia="Georgia" w:hAnsi="Georgia"/>
          <w:b w:val="false"/>
          <w:bCs w:val="false"/>
          <w:i/>
          <w:iCs/>
          <w:color w:val="6B6F76"/>
          <w:sz w:val="20"/>
          <w:szCs w:val="20"/>
        </w:rPr>
        <w:t xml:space="preserve">(Demi-journée de découverte gratuite · présentation méthode + mini-Forge de 60 minutes sur un cas réel de votre équipe)</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à YOUNG (offre jeunes 16-25 ans).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offre B2B entreprise, ticket 5 à 10× plus gros que FORGE individuel.</w:t>
      </w:r>
    </w:p>
    <w:p>
      <w:pPr>
        <w:pStyle w:val="ListParagraph"/>
        <w:numPr>
          <w:ilvl w:val="0"/>
          <w:numId w:val="2"/>
        </w:numPr>
        <w:spacing w:after="80" w:line="300"/>
      </w:pPr>
      <w:r>
        <w:rPr>
          <w:rFonts w:ascii="Georgia" w:cs="Georgia" w:eastAsia="Georgia" w:hAnsi="Georgia"/>
          <w:color w:val="1A1A1A"/>
          <w:sz w:val="22"/>
          <w:szCs w:val="22"/>
        </w:rPr>
        <w:t xml:space="preserve">La cible : 4 profils-types (PME B2B, réseau franchises, ETI force de vente, cabinet de conseil).</w:t>
      </w:r>
    </w:p>
    <w:p>
      <w:pPr>
        <w:pStyle w:val="ListParagraph"/>
        <w:numPr>
          <w:ilvl w:val="0"/>
          <w:numId w:val="2"/>
        </w:numPr>
        <w:spacing w:after="80" w:line="300"/>
      </w:pPr>
      <w:r>
        <w:rPr>
          <w:rFonts w:ascii="Georgia" w:cs="Georgia" w:eastAsia="Georgia" w:hAnsi="Georgia"/>
          <w:color w:val="1A1A1A"/>
          <w:sz w:val="22"/>
          <w:szCs w:val="22"/>
        </w:rPr>
        <w:t xml:space="preserve">L'architecture : 12 mois minimum, phase déploiement 3 mois + animation 9 mois, Forge interne adaptée en 6 séquences.</w:t>
      </w:r>
    </w:p>
    <w:p>
      <w:pPr>
        <w:pStyle w:val="ListParagraph"/>
        <w:numPr>
          <w:ilvl w:val="0"/>
          <w:numId w:val="2"/>
        </w:numPr>
        <w:spacing w:after="80" w:line="300"/>
      </w:pPr>
      <w:r>
        <w:rPr>
          <w:rFonts w:ascii="Georgia" w:cs="Georgia" w:eastAsia="Georgia" w:hAnsi="Georgia"/>
          <w:color w:val="1A1A1A"/>
          <w:sz w:val="22"/>
          <w:szCs w:val="22"/>
        </w:rPr>
        <w:t xml:space="preserve">Les 4 adaptations spécifiques B2B (pas de marché de reco inter-entreprises, cas business confidentiels, indicateurs adaptés CRM client, présence Maître-Forgeron en visio possible).</w:t>
      </w:r>
    </w:p>
    <w:p>
      <w:pPr>
        <w:pStyle w:val="ListParagraph"/>
        <w:numPr>
          <w:ilvl w:val="0"/>
          <w:numId w:val="2"/>
        </w:numPr>
        <w:spacing w:after="80" w:line="300"/>
      </w:pPr>
      <w:r>
        <w:rPr>
          <w:rFonts w:ascii="Georgia" w:cs="Georgia" w:eastAsia="Georgia" w:hAnsi="Georgia"/>
          <w:color w:val="1A1A1A"/>
          <w:sz w:val="22"/>
          <w:szCs w:val="22"/>
        </w:rPr>
        <w:t xml:space="preserve">Le tarif : 4 500 € déploiement + 120 €/mois/commercial. Exemples 13K€-43K€ selon taille.</w:t>
      </w:r>
    </w:p>
    <w:p>
      <w:pPr>
        <w:pStyle w:val="ListParagraph"/>
        <w:numPr>
          <w:ilvl w:val="0"/>
          <w:numId w:val="2"/>
        </w:numPr>
        <w:spacing w:after="80" w:line="300"/>
      </w:pPr>
      <w:r>
        <w:rPr>
          <w:rFonts w:ascii="Georgia" w:cs="Georgia" w:eastAsia="Georgia" w:hAnsi="Georgia"/>
          <w:color w:val="1A1A1A"/>
          <w:sz w:val="22"/>
          <w:szCs w:val="22"/>
        </w:rPr>
        <w:t xml:space="preserve">Le partage économique avec le MFF certifié TEAM (60% sur déploiement, 50% sur licence) — différent de FORGE individuel.</w:t>
      </w:r>
    </w:p>
    <w:p>
      <w:pPr>
        <w:pStyle w:val="ListParagraph"/>
        <w:numPr>
          <w:ilvl w:val="0"/>
          <w:numId w:val="2"/>
        </w:numPr>
        <w:spacing w:after="80" w:line="300"/>
      </w:pPr>
      <w:r>
        <w:rPr>
          <w:rFonts w:ascii="Georgia" w:cs="Georgia" w:eastAsia="Georgia" w:hAnsi="Georgia"/>
          <w:color w:val="1A1A1A"/>
          <w:sz w:val="22"/>
          <w:szCs w:val="22"/>
        </w:rPr>
        <w:t xml:space="preserve">L'option certification individuelle (150 €/commercial, 3 niveaux Bronze/Argent/Or).</w:t>
      </w:r>
    </w:p>
    <w:p>
      <w:pPr>
        <w:pStyle w:val="ListParagraph"/>
        <w:numPr>
          <w:ilvl w:val="0"/>
          <w:numId w:val="2"/>
        </w:numPr>
        <w:spacing w:after="80" w:line="300"/>
      </w:pPr>
      <w:r>
        <w:rPr>
          <w:rFonts w:ascii="Georgia" w:cs="Georgia" w:eastAsia="Georgia" w:hAnsi="Georgia"/>
          <w:color w:val="1A1A1A"/>
          <w:sz w:val="22"/>
          <w:szCs w:val="22"/>
        </w:rPr>
        <w:t xml:space="preserve">La nécessité d'une certification TEAM pour les Maîtres-Forgerons qui se positionnent sur l'offre.</w:t>
      </w:r>
    </w:p>
    <w:p>
      <w:pPr>
        <w:pStyle w:val="ListParagraph"/>
        <w:numPr>
          <w:ilvl w:val="0"/>
          <w:numId w:val="2"/>
        </w:numPr>
        <w:spacing w:after="80" w:line="300"/>
      </w:pPr>
      <w:r>
        <w:rPr>
          <w:rFonts w:ascii="Georgia" w:cs="Georgia" w:eastAsia="Georgia" w:hAnsi="Georgia"/>
          <w:color w:val="1A1A1A"/>
          <w:sz w:val="22"/>
          <w:szCs w:val="22"/>
        </w:rPr>
        <w:t xml:space="preserve">L'argumentaire commercial B2B et la page produit.</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TEAM, lance YOUNG.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TEAM.</w:t>
      </w:r>
    </w:p>
    <w:p>
      <w:pPr>
        <w:pStyle w:val="Heading2"/>
        <w:spacing w:after="200" w:before="360"/>
      </w:pPr>
      <w:r>
        <w:rPr>
          <w:rFonts w:ascii="Georgia" w:cs="Georgia" w:eastAsia="Georgia" w:hAnsi="Georgia"/>
          <w:b/>
          <w:bCs/>
          <w:color w:val="0B1A2A"/>
          <w:sz w:val="30"/>
          <w:szCs w:val="30"/>
        </w:rPr>
        <w:t xml:space="preserve">Programme suivant : APEXER YOUNG</w:t>
      </w:r>
    </w:p>
    <w:p>
      <w:pPr>
        <w:spacing w:after="120" w:line="320"/>
        <w:jc w:val="both"/>
      </w:pPr>
      <w:r>
        <w:rPr>
          <w:rFonts w:ascii="Georgia" w:cs="Georgia" w:eastAsia="Georgia" w:hAnsi="Georgia"/>
          <w:b w:val="false"/>
          <w:bCs w:val="false"/>
          <w:i w:val="false"/>
          <w:iCs w:val="false"/>
          <w:color w:val="1A1A1A"/>
          <w:sz w:val="22"/>
          <w:szCs w:val="22"/>
        </w:rPr>
        <w:t xml:space="preserve">YOUNG est l'offre jeunes 16-25 ans, déployée en clubs, écoles, missions locales et entreprises avec contrats d'apprentissage. Modèle économique encore différent : facturation à la structure d'accueil (école, mission locale, employeur d'apprentis), tarif réduit, format Forge adapté au public jeune (durée plus courte, vocabulaire ajusté, focus sur la discipline, la régularité, la responsabilité — pas seulement la performance commerciale). Programme à dimension d'utilité publique, élargissement du périmètre APEXER au-delà du commerce pur.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TEAM · Offre B2B entreprise</dc:title>
  <dc:creator>APEXER · KAHP SAS</dc:creator>
  <dc:description>Vague 3 · Programme 6 sur 8</dc:description>
  <cp:lastModifiedBy>Un-named</cp:lastModifiedBy>
  <cp:revision>1</cp:revision>
  <dcterms:created xsi:type="dcterms:W3CDTF">2026-05-05T06:00:56.721Z</dcterms:created>
  <dcterms:modified xsi:type="dcterms:W3CDTF">2026-05-05T06:00:56.738Z</dcterms:modified>
</cp:coreProperties>
</file>

<file path=docProps/custom.xml><?xml version="1.0" encoding="utf-8"?>
<Properties xmlns="http://schemas.openxmlformats.org/officeDocument/2006/custom-properties" xmlns:vt="http://schemas.openxmlformats.org/officeDocument/2006/docPropsVTypes"/>
</file>