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Glorieta Gardens Water Billing Review Letter Report</w:t>
      </w:r>
    </w:p>
    <w:p>
      <w:pPr>
        <w:spacing w:after="280"/>
        <w:jc w:val="center"/>
      </w:pPr>
      <w:r>
        <w:rPr>
          <w:rFonts w:ascii="Georgia" w:hAnsi="Georgia"/>
          <w:b w:val="0"/>
          <w:color w:val="60746C"/>
          <w:sz w:val="22"/>
        </w:rPr>
        <w:t>Prepared for Chris Sullivan</w:t>
      </w:r>
    </w:p>
    <w:p>
      <w:pPr>
        <w:spacing w:after="140" w:line="269" w:lineRule="auto"/>
      </w:pPr>
      <w:r>
        <w:rPr>
          <w:rFonts w:ascii="Georgia" w:hAnsi="Georgia"/>
          <w:b w:val="0"/>
          <w:color w:val="173A32"/>
          <w:sz w:val="20"/>
        </w:rPr>
        <w:t>September 18 2026</w:t>
      </w:r>
    </w:p>
    <w:p>
      <w:pPr>
        <w:spacing w:after="140" w:line="269" w:lineRule="auto"/>
      </w:pPr>
      <w:r>
        <w:rPr>
          <w:rFonts w:ascii="Georgia" w:hAnsi="Georgia"/>
          <w:b w:val="0"/>
          <w:color w:val="173A32"/>
          <w:sz w:val="20"/>
        </w:rPr>
        <w:t>Chris Sullivan</w:t>
        <w:br/>
        <w:t>R4 Capital</w:t>
        <w:br/>
        <w:t>780 Third Avenue</w:t>
        <w:br/>
        <w:t>New York New York 11017</w:t>
      </w:r>
    </w:p>
    <w:p>
      <w:pPr>
        <w:spacing w:after="140" w:line="269" w:lineRule="auto"/>
      </w:pPr>
      <w:r>
        <w:rPr>
          <w:rFonts w:ascii="Georgia" w:hAnsi="Georgia"/>
          <w:b/>
          <w:color w:val="173A32"/>
          <w:sz w:val="21"/>
        </w:rPr>
        <w:t>Re Glorieta Gardens water billing review for Buildings 7 and 8</w:t>
      </w:r>
    </w:p>
    <w:p>
      <w:pPr>
        <w:spacing w:after="140" w:line="269" w:lineRule="auto"/>
      </w:pPr>
      <w:r>
        <w:rPr>
          <w:rFonts w:ascii="Georgia" w:hAnsi="Georgia"/>
          <w:b w:val="0"/>
          <w:color w:val="173A32"/>
          <w:sz w:val="21"/>
        </w:rPr>
        <w:t>Dear Chris,</w:t>
      </w:r>
    </w:p>
    <w:p>
      <w:pPr>
        <w:spacing w:after="140" w:line="269" w:lineRule="auto"/>
      </w:pPr>
      <w:r>
        <w:rPr>
          <w:rFonts w:ascii="Georgia" w:hAnsi="Georgia"/>
          <w:b w:val="0"/>
          <w:color w:val="173A32"/>
          <w:sz w:val="21"/>
        </w:rPr>
        <w:t>APAS Consulting completed a focused review of the Glorieta Gardens water billing materials that were provided for the recent billing dispute. The work covered the available water and sewer billing evidence, the supporting bill records, the account and meter information, the building level comparison, and the operating periods that matter for management review. The work gave special attention to Building 8 because that is the account tied to the formal rebill and unpaid balance. Building 7 was reviewed as a comparison building within the same property.</w:t>
      </w:r>
    </w:p>
    <w:p>
      <w:pPr>
        <w:spacing w:after="140" w:line="269" w:lineRule="auto"/>
      </w:pPr>
      <w:r>
        <w:rPr>
          <w:rFonts w:ascii="Georgia" w:hAnsi="Georgia"/>
          <w:b w:val="0"/>
          <w:color w:val="173A32"/>
          <w:sz w:val="21"/>
        </w:rPr>
        <w:t>The main result is straightforward. The formal record cites a retroactive rebill of $95,017.57 and an unpaid Building 8 balance of $113,874.41. The indexed billing support for Building 8 shows $100,386.80 in charges and 4,764,000 gal across 22 account period records during the dispute support window. That amount is the practical center of the billing issue because it is in the same order of magnitude as the account balance being disputed.</w:t>
      </w:r>
    </w:p>
    <w:p>
      <w:pPr>
        <w:pStyle w:val="Heading1"/>
        <w:spacing w:before="180" w:after="100"/>
      </w:pPr>
      <w:r>
        <w:rPr>
          <w:rFonts w:ascii="Georgia" w:hAnsi="Georgia"/>
          <w:b/>
          <w:color w:val="000000"/>
          <w:sz w:val="31"/>
        </w:rPr>
        <w:t>Executive summary</w:t>
      </w:r>
    </w:p>
    <w:p>
      <w:pPr>
        <w:spacing w:after="140" w:line="269" w:lineRule="auto"/>
      </w:pPr>
      <w:r>
        <w:rPr>
          <w:rFonts w:ascii="Georgia" w:hAnsi="Georgia"/>
          <w:b w:val="0"/>
          <w:color w:val="173A32"/>
          <w:sz w:val="21"/>
        </w:rPr>
        <w:t>We built a clean evidence set from the water billing files, converted the bill details into a structured record, separated the records by account and meter, and compared the relevant periods in plain English. The result is a repeatable review system. It can support the current billing dispute, refresh the dashboard when new invoices arrive, and show how water and sewer costs are moving against operations.</w:t>
      </w:r>
    </w:p>
    <w:p>
      <w:pPr>
        <w:spacing w:after="140" w:line="269" w:lineRule="auto"/>
      </w:pPr>
      <w:r>
        <w:rPr>
          <w:rFonts w:ascii="Georgia" w:hAnsi="Georgia"/>
          <w:b w:val="0"/>
          <w:color w:val="173A32"/>
          <w:sz w:val="21"/>
        </w:rPr>
        <w:t>For Building 8, the most important point is that the available records support a dispute narrative around charges that were billed during a period connected to vacancy, rehabilitation, and reoccupation questions. The analysis does not ask the City or the water agency to accept a guessed number. It shows the record, the charges, the gallons, the meter account, and the period.</w:t>
      </w:r>
    </w:p>
    <w:p>
      <w:pPr>
        <w:spacing w:after="140" w:line="269" w:lineRule="auto"/>
      </w:pPr>
      <w:r>
        <w:rPr>
          <w:rFonts w:ascii="Georgia" w:hAnsi="Georgia"/>
          <w:b w:val="0"/>
          <w:color w:val="173A32"/>
          <w:sz w:val="21"/>
        </w:rPr>
        <w:t>For Building 7, the records provide a useful comparison point because Building 7 has indexed activity across all three periods. Building 8 has no indexed before vacancy bills in the current evidence archive, so the report shows that as a source gap instead of filling the gap with an assumption.</w:t>
      </w:r>
    </w:p>
    <w:p>
      <w:pPr>
        <w:spacing w:after="140" w:line="269" w:lineRule="auto"/>
      </w:pPr>
      <w:r>
        <w:rPr>
          <w:rFonts w:ascii="Georgia" w:hAnsi="Georgia"/>
          <w:b w:val="0"/>
          <w:color w:val="173A32"/>
          <w:sz w:val="21"/>
        </w:rPr>
        <w:t>The review produced three practical outputs. First, it produced a normalized billing record with account, meter, service period, gallons, charges, and phase. Second, it produced a management view comparing Building 7 and Building 8 across the before vacancy, vacancy and rehabilitation, and current operating periods. Third, it produced a monthly continuation path so the same dashboard can stay current as invoices come in.</w:t>
      </w:r>
    </w:p>
    <w:p>
      <w:r>
        <w:br w:type="page"/>
      </w:r>
    </w:p>
    <w:p>
      <w:pPr>
        <w:pStyle w:val="Heading1"/>
        <w:spacing w:before="180" w:after="100"/>
      </w:pPr>
      <w:r>
        <w:rPr>
          <w:rFonts w:ascii="Georgia" w:hAnsi="Georgia"/>
          <w:b/>
          <w:color w:val="000000"/>
          <w:sz w:val="31"/>
        </w:rPr>
        <w:t>Core numbers</w:t>
      </w:r>
    </w:p>
    <w:tbl>
      <w:tblPr>
        <w:tblW w:type="auto" w:w="0"/>
        <w:tblLayout w:type="fixed"/>
        <w:tblLook w:firstColumn="1" w:firstRow="1" w:lastColumn="0" w:lastRow="0" w:noHBand="0" w:noVBand="1" w:val="04A0"/>
      </w:tblPr>
      <w:tblGrid>
        <w:gridCol w:w="3408"/>
        <w:gridCol w:w="3408"/>
        <w:gridCol w:w="3408"/>
      </w:tblGrid>
      <w:tr>
        <w:trPr>
          <w:tblHeader w:val="true"/>
          <w:cantSplit/>
        </w:trPr>
        <w:tc>
          <w:tcPr>
            <w:tcW w:type="dxa" w:w="2880"/>
            <w:shd w:fill="082B23"/>
            <w:top w:val="single" w:sz="6" w:color="D9D9D9"/>
            <w:left w:val="single" w:sz="6" w:color="D9D9D9"/>
            <w:bottom w:val="single" w:sz="6" w:color="D9D9D9"/>
            <w:right w:val="single" w:sz="6" w:color="D9D9D9"/>
            <w:insideH w:val="single" w:sz="6" w:color="D9D9D9"/>
            <w:insideV w:val="single" w:sz="6" w:color="D9D9D9"/>
            <w:tcMar>
              <w:top w:w="140" w:type="dxa"/>
              <w:left w:w="140" w:type="dxa"/>
              <w:bottom w:w="140" w:type="dxa"/>
              <w:right w:w="140" w:type="dxa"/>
            </w:tcMar>
          </w:tcPr>
          <w:p>
            <w:pPr>
              <w:jc w:val="center"/>
            </w:pPr>
            <w:r>
              <w:rPr>
                <w:rFonts w:ascii="Georgia" w:hAnsi="Georgia"/>
                <w:b/>
                <w:color w:val="FFFFFF"/>
                <w:sz w:val="18"/>
              </w:rPr>
              <w:t>Item</w:t>
            </w:r>
          </w:p>
        </w:tc>
        <w:tc>
          <w:tcPr>
            <w:tcW w:type="dxa" w:w="2088"/>
            <w:shd w:fill="082B23"/>
            <w:top w:val="single" w:sz="6" w:color="D9D9D9"/>
            <w:left w:val="single" w:sz="6" w:color="D9D9D9"/>
            <w:bottom w:val="single" w:sz="6" w:color="D9D9D9"/>
            <w:right w:val="single" w:sz="6" w:color="D9D9D9"/>
            <w:insideH w:val="single" w:sz="6" w:color="D9D9D9"/>
            <w:insideV w:val="single" w:sz="6" w:color="D9D9D9"/>
            <w:tcMar>
              <w:top w:w="140" w:type="dxa"/>
              <w:left w:w="140" w:type="dxa"/>
              <w:bottom w:w="140" w:type="dxa"/>
              <w:right w:w="140" w:type="dxa"/>
            </w:tcMar>
          </w:tcPr>
          <w:p>
            <w:pPr>
              <w:jc w:val="center"/>
            </w:pPr>
            <w:r>
              <w:rPr>
                <w:rFonts w:ascii="Georgia" w:hAnsi="Georgia"/>
                <w:b/>
                <w:color w:val="FFFFFF"/>
                <w:sz w:val="18"/>
              </w:rPr>
              <w:t>Number</w:t>
            </w:r>
          </w:p>
        </w:tc>
        <w:tc>
          <w:tcPr>
            <w:tcW w:type="dxa" w:w="4968"/>
            <w:shd w:fill="082B23"/>
            <w:top w:val="single" w:sz="6" w:color="D9D9D9"/>
            <w:left w:val="single" w:sz="6" w:color="D9D9D9"/>
            <w:bottom w:val="single" w:sz="6" w:color="D9D9D9"/>
            <w:right w:val="single" w:sz="6" w:color="D9D9D9"/>
            <w:insideH w:val="single" w:sz="6" w:color="D9D9D9"/>
            <w:insideV w:val="single" w:sz="6" w:color="D9D9D9"/>
            <w:tcMar>
              <w:top w:w="140" w:type="dxa"/>
              <w:left w:w="140" w:type="dxa"/>
              <w:bottom w:w="140" w:type="dxa"/>
              <w:right w:w="140" w:type="dxa"/>
            </w:tcMar>
          </w:tcPr>
          <w:p>
            <w:pPr>
              <w:jc w:val="center"/>
            </w:pPr>
            <w:r>
              <w:rPr>
                <w:rFonts w:ascii="Georgia" w:hAnsi="Georgia"/>
                <w:b/>
                <w:color w:val="FFFFFF"/>
                <w:sz w:val="18"/>
              </w:rPr>
              <w:t>What it means</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left"/>
            </w:pPr>
            <w:r>
              <w:rPr>
                <w:rFonts w:ascii="Georgia" w:hAnsi="Georgia"/>
                <w:b w:val="0"/>
                <w:color w:val="173A32"/>
                <w:sz w:val="18"/>
              </w:rPr>
              <w:t>Formal retroactive rebill cited</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$95,017.57</w:t>
            </w:r>
          </w:p>
        </w:tc>
        <w:tc>
          <w:tcPr>
            <w:tcW w:type="dxa" w:w="496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center"/>
            </w:pPr>
            <w:r>
              <w:rPr>
                <w:rFonts w:ascii="Georgia" w:hAnsi="Georgia"/>
                <w:b w:val="0"/>
                <w:color w:val="173A32"/>
                <w:sz w:val="18"/>
              </w:rPr>
              <w:t>The rebill number cited in the dispute record</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left"/>
            </w:pPr>
            <w:r>
              <w:rPr>
                <w:rFonts w:ascii="Georgia" w:hAnsi="Georgia"/>
                <w:b w:val="0"/>
                <w:color w:val="173A32"/>
                <w:sz w:val="18"/>
              </w:rPr>
              <w:t>Formal unpaid balance cited</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$113,874.41</w:t>
            </w:r>
          </w:p>
        </w:tc>
        <w:tc>
          <w:tcPr>
            <w:tcW w:type="dxa" w:w="496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center"/>
            </w:pPr>
            <w:r>
              <w:rPr>
                <w:rFonts w:ascii="Georgia" w:hAnsi="Georgia"/>
                <w:b w:val="0"/>
                <w:color w:val="173A32"/>
                <w:sz w:val="18"/>
              </w:rPr>
              <w:t>The balance connected to the disputed Building 8 account</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left"/>
            </w:pPr>
            <w:r>
              <w:rPr>
                <w:rFonts w:ascii="Georgia" w:hAnsi="Georgia"/>
                <w:b w:val="0"/>
                <w:color w:val="173A32"/>
                <w:sz w:val="18"/>
              </w:rPr>
              <w:t>Building 8 indexed dispute support</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$100,386.80</w:t>
            </w:r>
          </w:p>
        </w:tc>
        <w:tc>
          <w:tcPr>
            <w:tcW w:type="dxa" w:w="496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center"/>
            </w:pPr>
            <w:r>
              <w:rPr>
                <w:rFonts w:ascii="Georgia" w:hAnsi="Georgia"/>
                <w:b w:val="0"/>
                <w:color w:val="173A32"/>
                <w:sz w:val="18"/>
              </w:rPr>
              <w:t>The sum of 22 Building 8 account period records in the support window</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left"/>
            </w:pPr>
            <w:r>
              <w:rPr>
                <w:rFonts w:ascii="Georgia" w:hAnsi="Georgia"/>
                <w:b w:val="0"/>
                <w:color w:val="173A32"/>
                <w:sz w:val="18"/>
              </w:rPr>
              <w:t>Building 8 indexed gallons</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4,764,000 gal</w:t>
            </w:r>
          </w:p>
        </w:tc>
        <w:tc>
          <w:tcPr>
            <w:tcW w:type="dxa" w:w="496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center"/>
            </w:pPr>
            <w:r>
              <w:rPr>
                <w:rFonts w:ascii="Georgia" w:hAnsi="Georgia"/>
                <w:b w:val="0"/>
                <w:color w:val="173A32"/>
                <w:sz w:val="18"/>
              </w:rPr>
              <w:t>The total gallons tied to the indexed Building 8 support</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left"/>
            </w:pPr>
            <w:r>
              <w:rPr>
                <w:rFonts w:ascii="Georgia" w:hAnsi="Georgia"/>
                <w:b w:val="0"/>
                <w:color w:val="173A32"/>
                <w:sz w:val="18"/>
              </w:rPr>
              <w:t>Indexed water charges</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$39,229.56</w:t>
            </w:r>
          </w:p>
        </w:tc>
        <w:tc>
          <w:tcPr>
            <w:tcW w:type="dxa" w:w="496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center"/>
            </w:pPr>
            <w:r>
              <w:rPr>
                <w:rFonts w:ascii="Georgia" w:hAnsi="Georgia"/>
                <w:b w:val="0"/>
                <w:color w:val="173A32"/>
                <w:sz w:val="18"/>
              </w:rPr>
              <w:t>The water portion visible in the available statement backup</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left"/>
            </w:pPr>
            <w:r>
              <w:rPr>
                <w:rFonts w:ascii="Georgia" w:hAnsi="Georgia"/>
                <w:b w:val="0"/>
                <w:color w:val="173A32"/>
                <w:sz w:val="18"/>
              </w:rPr>
              <w:t>Indexed sewer charges</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$55,474.80</w:t>
            </w:r>
          </w:p>
        </w:tc>
        <w:tc>
          <w:tcPr>
            <w:tcW w:type="dxa" w:w="496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center"/>
            </w:pPr>
            <w:r>
              <w:rPr>
                <w:rFonts w:ascii="Georgia" w:hAnsi="Georgia"/>
                <w:b w:val="0"/>
                <w:color w:val="173A32"/>
                <w:sz w:val="18"/>
              </w:rPr>
              <w:t>The sewer portion visible in the available statement backup</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left"/>
            </w:pPr>
            <w:r>
              <w:rPr>
                <w:rFonts w:ascii="Georgia" w:hAnsi="Georgia"/>
                <w:b w:val="0"/>
                <w:color w:val="173A32"/>
                <w:sz w:val="18"/>
              </w:rPr>
              <w:t>Evidence archive reviewed</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532 source files</w:t>
            </w:r>
          </w:p>
        </w:tc>
        <w:tc>
          <w:tcPr>
            <w:tcW w:type="dxa" w:w="496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center"/>
            </w:pPr>
            <w:r>
              <w:rPr>
                <w:rFonts w:ascii="Georgia" w:hAnsi="Georgia"/>
                <w:b w:val="0"/>
                <w:color w:val="173A32"/>
                <w:sz w:val="18"/>
              </w:rPr>
              <w:t>The broader billing file collection available for the review</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left"/>
            </w:pPr>
            <w:r>
              <w:rPr>
                <w:rFonts w:ascii="Georgia" w:hAnsi="Georgia"/>
                <w:b w:val="0"/>
                <w:color w:val="173A32"/>
                <w:sz w:val="18"/>
              </w:rPr>
              <w:t>Canonical billing records</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278 records</w:t>
            </w:r>
          </w:p>
        </w:tc>
        <w:tc>
          <w:tcPr>
            <w:tcW w:type="dxa" w:w="496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center"/>
            </w:pPr>
            <w:r>
              <w:rPr>
                <w:rFonts w:ascii="Georgia" w:hAnsi="Georgia"/>
                <w:b w:val="0"/>
                <w:color w:val="173A32"/>
                <w:sz w:val="18"/>
              </w:rPr>
              <w:t>The normalized bill records used for dashboard and report analysis</w:t>
            </w:r>
          </w:p>
        </w:tc>
      </w:tr>
    </w:tbl>
    <w:p>
      <w:pPr>
        <w:spacing w:after="60"/>
      </w:pPr>
    </w:p>
    <w:p>
      <w:pPr>
        <w:pStyle w:val="Heading1"/>
        <w:spacing w:before="180" w:after="100"/>
      </w:pPr>
      <w:r>
        <w:rPr>
          <w:rFonts w:ascii="Georgia" w:hAnsi="Georgia"/>
          <w:b/>
          <w:color w:val="000000"/>
          <w:sz w:val="31"/>
        </w:rPr>
        <w:t>What we did</w:t>
      </w:r>
    </w:p>
    <w:p>
      <w:pPr>
        <w:pStyle w:val="ListBullet"/>
        <w:spacing w:after="80" w:line="259" w:lineRule="auto"/>
      </w:pPr>
      <w:r>
        <w:rPr>
          <w:rFonts w:ascii="Georgia" w:hAnsi="Georgia"/>
          <w:b w:val="0"/>
          <w:color w:val="173A32"/>
          <w:sz w:val="21"/>
        </w:rPr>
        <w:t>Organized the water meter billing files into a reviewable evidence set.</w:t>
      </w:r>
    </w:p>
    <w:p>
      <w:pPr>
        <w:pStyle w:val="ListBullet"/>
        <w:spacing w:after="80" w:line="259" w:lineRule="auto"/>
      </w:pPr>
      <w:r>
        <w:rPr>
          <w:rFonts w:ascii="Georgia" w:hAnsi="Georgia"/>
          <w:b w:val="0"/>
          <w:color w:val="173A32"/>
          <w:sz w:val="21"/>
        </w:rPr>
        <w:t>Extracted bill level data into a structured billing record so the numbers can be checked and reused.</w:t>
      </w:r>
    </w:p>
    <w:p>
      <w:pPr>
        <w:pStyle w:val="ListBullet"/>
        <w:spacing w:after="80" w:line="259" w:lineRule="auto"/>
      </w:pPr>
      <w:r>
        <w:rPr>
          <w:rFonts w:ascii="Georgia" w:hAnsi="Georgia"/>
          <w:b w:val="0"/>
          <w:color w:val="173A32"/>
          <w:sz w:val="21"/>
        </w:rPr>
        <w:t>Separated Building 7 and Building 8 because those are the buildings connected to the vacancy and dispute discussion.</w:t>
      </w:r>
    </w:p>
    <w:p>
      <w:pPr>
        <w:pStyle w:val="ListBullet"/>
        <w:spacing w:after="80" w:line="259" w:lineRule="auto"/>
      </w:pPr>
      <w:r>
        <w:rPr>
          <w:rFonts w:ascii="Georgia" w:hAnsi="Georgia"/>
          <w:b w:val="0"/>
          <w:color w:val="173A32"/>
          <w:sz w:val="21"/>
        </w:rPr>
        <w:t>Compared each building across the before vacancy period, the vacancy and rehabilitation period, and the current operating period.</w:t>
      </w:r>
    </w:p>
    <w:p>
      <w:pPr>
        <w:pStyle w:val="ListBullet"/>
        <w:spacing w:after="80" w:line="259" w:lineRule="auto"/>
      </w:pPr>
      <w:r>
        <w:rPr>
          <w:rFonts w:ascii="Georgia" w:hAnsi="Georgia"/>
          <w:b w:val="0"/>
          <w:color w:val="173A32"/>
          <w:sz w:val="21"/>
        </w:rPr>
        <w:t>Prepared a clean evidence packet, a Word version, a PDF version, and a dashboard view that can be used for discussion and follow through.</w:t>
      </w:r>
    </w:p>
    <w:p>
      <w:pPr>
        <w:pStyle w:val="ListBullet"/>
        <w:spacing w:after="80" w:line="259" w:lineRule="auto"/>
      </w:pPr>
      <w:r>
        <w:rPr>
          <w:rFonts w:ascii="Georgia" w:hAnsi="Georgia"/>
          <w:b w:val="0"/>
          <w:color w:val="173A32"/>
          <w:sz w:val="21"/>
        </w:rPr>
        <w:t>Drafted the city facing correction request language so the billing issue can be presented with facts, dates, account numbers, meter numbers, charges, and gallons.</w:t>
      </w:r>
    </w:p>
    <w:p>
      <w:pPr>
        <w:pStyle w:val="ListBullet"/>
        <w:spacing w:after="80" w:line="259" w:lineRule="auto"/>
      </w:pPr>
      <w:r>
        <w:rPr>
          <w:rFonts w:ascii="Georgia" w:hAnsi="Georgia"/>
          <w:b w:val="0"/>
          <w:color w:val="173A32"/>
          <w:sz w:val="21"/>
        </w:rPr>
        <w:t>Set up a repeatable monthly structure so future invoices can be added to the same record instead of starting the analysis over each time.</w:t>
      </w:r>
    </w:p>
    <w:p>
      <w:pPr>
        <w:pStyle w:val="Heading1"/>
        <w:spacing w:before="180" w:after="100"/>
      </w:pPr>
      <w:r>
        <w:rPr>
          <w:rFonts w:ascii="Georgia" w:hAnsi="Georgia"/>
          <w:b/>
          <w:color w:val="000000"/>
          <w:sz w:val="31"/>
        </w:rPr>
        <w:t>Period comparison</w:t>
      </w:r>
    </w:p>
    <w:p>
      <w:pPr>
        <w:spacing w:after="140" w:line="269" w:lineRule="auto"/>
      </w:pPr>
      <w:r>
        <w:rPr>
          <w:rFonts w:ascii="Georgia" w:hAnsi="Georgia"/>
          <w:b w:val="0"/>
          <w:color w:val="173A32"/>
          <w:sz w:val="21"/>
        </w:rPr>
        <w:t>The table below is the core operating view. It keeps the comparison simple. Building 7 has records in all three periods. Building 8 has no indexed before vacancy bills in the current archive, which is why the Building 8 before vacancy cell is shown as no indexed bills.</w:t>
      </w:r>
    </w:p>
    <w:tbl>
      <w:tblPr>
        <w:tblW w:type="auto" w:w="0"/>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2232"/>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Building</w:t>
            </w:r>
          </w:p>
        </w:tc>
        <w:tc>
          <w:tcPr>
            <w:tcW w:type="dxa" w:w="1800"/>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Before vacancy</w:t>
            </w:r>
          </w:p>
        </w:tc>
        <w:tc>
          <w:tcPr>
            <w:tcW w:type="dxa" w:w="1944"/>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Vacancy and rehab</w:t>
            </w:r>
          </w:p>
        </w:tc>
        <w:tc>
          <w:tcPr>
            <w:tcW w:type="dxa" w:w="1944"/>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Current operations</w:t>
            </w:r>
          </w:p>
        </w:tc>
        <w:tc>
          <w:tcPr>
            <w:tcW w:type="dxa" w:w="2304"/>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Unit context</w:t>
            </w:r>
          </w:p>
        </w:tc>
      </w:tr>
      <w:tr>
        <w:trPr>
          <w:cantSplit/>
        </w:trPr>
        <w:tc>
          <w:tcPr>
            <w:tcW w:type="dxa" w:w="223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Building 7 / North</w:t>
              <w:br/>
              <w:t>Account 1692380502</w:t>
              <w:br/>
              <w:t>Meter 1800224848</w:t>
            </w:r>
          </w:p>
        </w:tc>
        <w:tc>
          <w:tcPr>
            <w:tcW w:type="dxa" w:w="180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$57,749.60</w:t>
              <w:br/>
              <w:t>2,800,000 gal</w:t>
              <w:br/>
              <w:t>3 bills</w:t>
            </w:r>
          </w:p>
        </w:tc>
        <w:tc>
          <w:tcPr>
            <w:tcW w:type="dxa" w:w="1944"/>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$132,278.56</w:t>
              <w:br/>
              <w:t>6,315,000 gal</w:t>
              <w:br/>
              <w:t>12 bills</w:t>
            </w:r>
          </w:p>
        </w:tc>
        <w:tc>
          <w:tcPr>
            <w:tcW w:type="dxa" w:w="1944"/>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$53,852.98</w:t>
              <w:br/>
              <w:t>2,536,000 gal</w:t>
              <w:br/>
              <w:t>15 bills</w:t>
            </w:r>
          </w:p>
        </w:tc>
        <w:tc>
          <w:tcPr>
            <w:tcW w:type="dxa" w:w="2304"/>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63 visible units from 07 W123 through 07 W345</w:t>
            </w:r>
          </w:p>
        </w:tc>
      </w:tr>
      <w:tr>
        <w:trPr>
          <w:cantSplit/>
        </w:trPr>
        <w:tc>
          <w:tcPr>
            <w:tcW w:type="dxa" w:w="223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Building 8 / 13200 Alexandria</w:t>
              <w:br/>
              <w:t>Account 2745714336</w:t>
              <w:br/>
              <w:t>Meter 61302354</w:t>
            </w:r>
          </w:p>
        </w:tc>
        <w:tc>
          <w:tcPr>
            <w:tcW w:type="dxa" w:w="180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No indexed bills</w:t>
            </w:r>
          </w:p>
        </w:tc>
        <w:tc>
          <w:tcPr>
            <w:tcW w:type="dxa" w:w="1944"/>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$50,131.93</w:t>
              <w:br/>
              <w:t>2,379,000 gal</w:t>
              <w:br/>
              <w:t>11 bills</w:t>
            </w:r>
          </w:p>
        </w:tc>
        <w:tc>
          <w:tcPr>
            <w:tcW w:type="dxa" w:w="1944"/>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$83,402.45</w:t>
              <w:br/>
              <w:t>3,972,000 gal</w:t>
              <w:br/>
              <w:t>16 bills</w:t>
            </w:r>
          </w:p>
        </w:tc>
        <w:tc>
          <w:tcPr>
            <w:tcW w:type="dxa" w:w="2304"/>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58 visible units from 08 W103 through 08 W322</w:t>
            </w:r>
          </w:p>
        </w:tc>
      </w:tr>
    </w:tbl>
    <w:p>
      <w:pPr>
        <w:spacing w:after="20"/>
      </w:pPr>
    </w:p>
    <w:p>
      <w:pPr>
        <w:pStyle w:val="Heading1"/>
        <w:spacing w:before="180" w:after="100"/>
      </w:pPr>
      <w:r>
        <w:rPr>
          <w:rFonts w:ascii="Georgia" w:hAnsi="Georgia"/>
          <w:b/>
          <w:color w:val="000000"/>
          <w:sz w:val="31"/>
        </w:rPr>
        <w:t>Combined period totals</w:t>
      </w:r>
    </w:p>
    <w:tbl>
      <w:tblPr>
        <w:tblW w:type="auto" w:w="0"/>
        <w:tblLayout w:type="fixed"/>
        <w:tblLook w:firstColumn="1" w:firstRow="1" w:lastColumn="0" w:lastRow="0" w:noHBand="0" w:noVBand="1" w:val="04A0"/>
      </w:tblPr>
      <w:tblGrid>
        <w:gridCol w:w="2556"/>
        <w:gridCol w:w="2556"/>
        <w:gridCol w:w="2556"/>
        <w:gridCol w:w="2556"/>
      </w:tblGrid>
      <w:tr>
        <w:trPr>
          <w:tblHeader w:val="true"/>
          <w:cantSplit/>
        </w:trPr>
        <w:tc>
          <w:tcPr>
            <w:tcW w:type="dxa" w:w="2880"/>
            <w:shd w:fill="082B23"/>
            <w:top w:val="single" w:sz="6" w:color="D9D9D9"/>
            <w:left w:val="single" w:sz="6" w:color="D9D9D9"/>
            <w:bottom w:val="single" w:sz="6" w:color="D9D9D9"/>
            <w:right w:val="single" w:sz="6" w:color="D9D9D9"/>
            <w:insideH w:val="single" w:sz="6" w:color="D9D9D9"/>
            <w:insideV w:val="single" w:sz="6" w:color="D9D9D9"/>
            <w:tcMar>
              <w:top w:w="140" w:type="dxa"/>
              <w:left w:w="140" w:type="dxa"/>
              <w:bottom w:w="140" w:type="dxa"/>
              <w:right w:w="140" w:type="dxa"/>
            </w:tcMar>
          </w:tcPr>
          <w:p>
            <w:pPr>
              <w:jc w:val="center"/>
            </w:pPr>
            <w:r>
              <w:rPr>
                <w:rFonts w:ascii="Georgia" w:hAnsi="Georgia"/>
                <w:b/>
                <w:color w:val="FFFFFF"/>
                <w:sz w:val="18"/>
              </w:rPr>
              <w:t>Period</w:t>
            </w:r>
          </w:p>
        </w:tc>
        <w:tc>
          <w:tcPr>
            <w:tcW w:type="dxa" w:w="2088"/>
            <w:shd w:fill="082B23"/>
            <w:top w:val="single" w:sz="6" w:color="D9D9D9"/>
            <w:left w:val="single" w:sz="6" w:color="D9D9D9"/>
            <w:bottom w:val="single" w:sz="6" w:color="D9D9D9"/>
            <w:right w:val="single" w:sz="6" w:color="D9D9D9"/>
            <w:insideH w:val="single" w:sz="6" w:color="D9D9D9"/>
            <w:insideV w:val="single" w:sz="6" w:color="D9D9D9"/>
            <w:tcMar>
              <w:top w:w="140" w:type="dxa"/>
              <w:left w:w="140" w:type="dxa"/>
              <w:bottom w:w="140" w:type="dxa"/>
              <w:right w:w="140" w:type="dxa"/>
            </w:tcMar>
          </w:tcPr>
          <w:p>
            <w:pPr>
              <w:jc w:val="center"/>
            </w:pPr>
            <w:r>
              <w:rPr>
                <w:rFonts w:ascii="Georgia" w:hAnsi="Georgia"/>
                <w:b/>
                <w:color w:val="FFFFFF"/>
                <w:sz w:val="18"/>
              </w:rPr>
              <w:t>Charges</w:t>
            </w:r>
          </w:p>
        </w:tc>
        <w:tc>
          <w:tcPr>
            <w:tcW w:type="dxa" w:w="2304"/>
            <w:shd w:fill="082B23"/>
            <w:top w:val="single" w:sz="6" w:color="D9D9D9"/>
            <w:left w:val="single" w:sz="6" w:color="D9D9D9"/>
            <w:bottom w:val="single" w:sz="6" w:color="D9D9D9"/>
            <w:right w:val="single" w:sz="6" w:color="D9D9D9"/>
            <w:insideH w:val="single" w:sz="6" w:color="D9D9D9"/>
            <w:insideV w:val="single" w:sz="6" w:color="D9D9D9"/>
            <w:tcMar>
              <w:top w:w="140" w:type="dxa"/>
              <w:left w:w="140" w:type="dxa"/>
              <w:bottom w:w="140" w:type="dxa"/>
              <w:right w:w="140" w:type="dxa"/>
            </w:tcMar>
          </w:tcPr>
          <w:p>
            <w:pPr>
              <w:jc w:val="center"/>
            </w:pPr>
            <w:r>
              <w:rPr>
                <w:rFonts w:ascii="Georgia" w:hAnsi="Georgia"/>
                <w:b/>
                <w:color w:val="FFFFFF"/>
                <w:sz w:val="18"/>
              </w:rPr>
              <w:t>Gallons</w:t>
            </w:r>
          </w:p>
        </w:tc>
        <w:tc>
          <w:tcPr>
            <w:tcW w:type="dxa" w:w="2160"/>
            <w:shd w:fill="082B23"/>
            <w:top w:val="single" w:sz="6" w:color="D9D9D9"/>
            <w:left w:val="single" w:sz="6" w:color="D9D9D9"/>
            <w:bottom w:val="single" w:sz="6" w:color="D9D9D9"/>
            <w:right w:val="single" w:sz="6" w:color="D9D9D9"/>
            <w:insideH w:val="single" w:sz="6" w:color="D9D9D9"/>
            <w:insideV w:val="single" w:sz="6" w:color="D9D9D9"/>
            <w:tcMar>
              <w:top w:w="140" w:type="dxa"/>
              <w:left w:w="140" w:type="dxa"/>
              <w:bottom w:w="140" w:type="dxa"/>
              <w:right w:w="140" w:type="dxa"/>
            </w:tcMar>
          </w:tcPr>
          <w:p>
            <w:pPr>
              <w:jc w:val="center"/>
            </w:pPr>
            <w:r>
              <w:rPr>
                <w:rFonts w:ascii="Georgia" w:hAnsi="Georgia"/>
                <w:b/>
                <w:color w:val="FFFFFF"/>
                <w:sz w:val="18"/>
              </w:rPr>
              <w:t>Bill records</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left"/>
            </w:pPr>
            <w:r>
              <w:rPr>
                <w:rFonts w:ascii="Georgia" w:hAnsi="Georgia"/>
                <w:b w:val="0"/>
                <w:color w:val="173A32"/>
                <w:sz w:val="18"/>
              </w:rPr>
              <w:t>Before vacancy</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$57,749.60</w:t>
            </w:r>
          </w:p>
        </w:tc>
        <w:tc>
          <w:tcPr>
            <w:tcW w:type="dxa" w:w="2304"/>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center"/>
            </w:pPr>
            <w:r>
              <w:rPr>
                <w:rFonts w:ascii="Georgia" w:hAnsi="Georgia"/>
                <w:b w:val="0"/>
                <w:color w:val="173A32"/>
                <w:sz w:val="18"/>
              </w:rPr>
              <w:t>2,800,000 gal</w:t>
            </w:r>
          </w:p>
        </w:tc>
        <w:tc>
          <w:tcPr>
            <w:tcW w:type="dxa" w:w="216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center"/>
            </w:pPr>
            <w:r>
              <w:rPr>
                <w:rFonts w:ascii="Georgia" w:hAnsi="Georgia"/>
                <w:b w:val="0"/>
                <w:color w:val="173A32"/>
                <w:sz w:val="18"/>
              </w:rPr>
              <w:t>3 bills</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left"/>
            </w:pPr>
            <w:r>
              <w:rPr>
                <w:rFonts w:ascii="Georgia" w:hAnsi="Georgia"/>
                <w:b w:val="0"/>
                <w:color w:val="173A32"/>
                <w:sz w:val="18"/>
              </w:rPr>
              <w:t>Vacancy and rehab</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$182,410.49</w:t>
            </w:r>
          </w:p>
        </w:tc>
        <w:tc>
          <w:tcPr>
            <w:tcW w:type="dxa" w:w="2304"/>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center"/>
            </w:pPr>
            <w:r>
              <w:rPr>
                <w:rFonts w:ascii="Georgia" w:hAnsi="Georgia"/>
                <w:b w:val="0"/>
                <w:color w:val="173A32"/>
                <w:sz w:val="18"/>
              </w:rPr>
              <w:t>8,694,000 gal</w:t>
            </w:r>
          </w:p>
        </w:tc>
        <w:tc>
          <w:tcPr>
            <w:tcW w:type="dxa" w:w="216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AFCFB"/>
          </w:tcPr>
          <w:p>
            <w:pPr>
              <w:spacing w:after="0"/>
              <w:jc w:val="center"/>
            </w:pPr>
            <w:r>
              <w:rPr>
                <w:rFonts w:ascii="Georgia" w:hAnsi="Georgia"/>
                <w:b w:val="0"/>
                <w:color w:val="173A32"/>
                <w:sz w:val="18"/>
              </w:rPr>
              <w:t>23 bills</w:t>
            </w:r>
          </w:p>
        </w:tc>
      </w:tr>
      <w:tr>
        <w:trPr>
          <w:cantSplit/>
        </w:trPr>
        <w:tc>
          <w:tcPr>
            <w:tcW w:type="dxa" w:w="288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left"/>
            </w:pPr>
            <w:r>
              <w:rPr>
                <w:rFonts w:ascii="Georgia" w:hAnsi="Georgia"/>
                <w:b w:val="0"/>
                <w:color w:val="173A32"/>
                <w:sz w:val="18"/>
              </w:rPr>
              <w:t>Current operations</w:t>
            </w:r>
          </w:p>
        </w:tc>
        <w:tc>
          <w:tcPr>
            <w:tcW w:type="dxa" w:w="2088"/>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shd w:fill="FBF5E6"/>
          </w:tcPr>
          <w:p>
            <w:pPr>
              <w:spacing w:after="0"/>
              <w:jc w:val="center"/>
            </w:pPr>
            <w:r>
              <w:rPr>
                <w:rFonts w:ascii="Georgia" w:hAnsi="Georgia"/>
                <w:b/>
                <w:color w:val="082B23"/>
                <w:sz w:val="18"/>
              </w:rPr>
              <w:t>$137,255.43</w:t>
            </w:r>
          </w:p>
        </w:tc>
        <w:tc>
          <w:tcPr>
            <w:tcW w:type="dxa" w:w="2304"/>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center"/>
            </w:pPr>
            <w:r>
              <w:rPr>
                <w:rFonts w:ascii="Georgia" w:hAnsi="Georgia"/>
                <w:b w:val="0"/>
                <w:color w:val="173A32"/>
                <w:sz w:val="18"/>
              </w:rPr>
              <w:t>6,508,000 gal</w:t>
            </w:r>
          </w:p>
        </w:tc>
        <w:tc>
          <w:tcPr>
            <w:tcW w:type="dxa" w:w="2160"/>
            <w:vAlign w:val="center"/>
            <w:top w:val="single" w:sz="6" w:color="D9D9D9"/>
            <w:left w:val="single" w:sz="6" w:color="D9D9D9"/>
            <w:bottom w:val="single" w:sz="6" w:color="D9D9D9"/>
            <w:right w:val="single" w:sz="6" w:color="D9D9D9"/>
            <w:insideH w:val="single" w:sz="6" w:color="D9D9D9"/>
            <w:insideV w:val="single" w:sz="6" w:color="D9D9D9"/>
            <w:tcMar>
              <w:top w:w="130" w:type="dxa"/>
              <w:left w:w="130" w:type="dxa"/>
              <w:bottom w:w="130" w:type="dxa"/>
              <w:right w:w="130" w:type="dxa"/>
            </w:tcMar>
          </w:tcPr>
          <w:p>
            <w:pPr>
              <w:spacing w:after="0"/>
              <w:jc w:val="center"/>
            </w:pPr>
            <w:r>
              <w:rPr>
                <w:rFonts w:ascii="Georgia" w:hAnsi="Georgia"/>
                <w:b w:val="0"/>
                <w:color w:val="173A32"/>
                <w:sz w:val="18"/>
              </w:rPr>
              <w:t>31 bills</w:t>
            </w:r>
          </w:p>
        </w:tc>
      </w:tr>
    </w:tbl>
    <w:p>
      <w:pPr>
        <w:spacing w:after="60"/>
      </w:pPr>
    </w:p>
    <w:p>
      <w:pPr>
        <w:pStyle w:val="Heading1"/>
        <w:spacing w:before="180" w:after="100"/>
      </w:pPr>
      <w:r>
        <w:rPr>
          <w:rFonts w:ascii="Georgia" w:hAnsi="Georgia"/>
          <w:b/>
          <w:color w:val="000000"/>
          <w:sz w:val="31"/>
        </w:rPr>
        <w:t>Takeaways</w:t>
      </w:r>
    </w:p>
    <w:p>
      <w:pPr>
        <w:pStyle w:val="ListBullet"/>
        <w:spacing w:after="80" w:line="259" w:lineRule="auto"/>
      </w:pPr>
      <w:r>
        <w:rPr>
          <w:rFonts w:ascii="Georgia" w:hAnsi="Georgia"/>
          <w:b w:val="0"/>
          <w:color w:val="173A32"/>
          <w:sz w:val="21"/>
        </w:rPr>
        <w:t>The Building 8 dispute is best explained around the documented $95,017.57 rebill, the $113,874.41 balance, and the $100,386.80 of indexed support.</w:t>
      </w:r>
    </w:p>
    <w:p>
      <w:pPr>
        <w:pStyle w:val="ListBullet"/>
        <w:spacing w:after="80" w:line="259" w:lineRule="auto"/>
      </w:pPr>
      <w:r>
        <w:rPr>
          <w:rFonts w:ascii="Georgia" w:hAnsi="Georgia"/>
          <w:b w:val="0"/>
          <w:color w:val="173A32"/>
          <w:sz w:val="21"/>
        </w:rPr>
        <w:t>The strongest presentation is factual. It should show the account, meter, time period, gallons, charges, and why the building status matters.</w:t>
      </w:r>
    </w:p>
    <w:p>
      <w:pPr>
        <w:pStyle w:val="ListBullet"/>
        <w:spacing w:after="80" w:line="259" w:lineRule="auto"/>
      </w:pPr>
      <w:r>
        <w:rPr>
          <w:rFonts w:ascii="Georgia" w:hAnsi="Georgia"/>
          <w:b w:val="0"/>
          <w:color w:val="173A32"/>
          <w:sz w:val="21"/>
        </w:rPr>
        <w:t>The review should avoid overstated claims. Where the archive has a gap, the report should call it a gap rather than replace it with a guessed number.</w:t>
      </w:r>
    </w:p>
    <w:p>
      <w:pPr>
        <w:pStyle w:val="ListBullet"/>
        <w:spacing w:after="80" w:line="259" w:lineRule="auto"/>
      </w:pPr>
      <w:r>
        <w:rPr>
          <w:rFonts w:ascii="Georgia" w:hAnsi="Georgia"/>
          <w:b w:val="0"/>
          <w:color w:val="173A32"/>
          <w:sz w:val="21"/>
        </w:rPr>
        <w:t>The City or water agency should be asked to explain the estimate basis, the meter history, any meter change work order, and the adjustment worksheet behind the rebill.</w:t>
      </w:r>
    </w:p>
    <w:p>
      <w:pPr>
        <w:pStyle w:val="ListBullet"/>
        <w:spacing w:after="80" w:line="259" w:lineRule="auto"/>
      </w:pPr>
      <w:r>
        <w:rPr>
          <w:rFonts w:ascii="Georgia" w:hAnsi="Georgia"/>
          <w:b w:val="0"/>
          <w:color w:val="173A32"/>
          <w:sz w:val="21"/>
        </w:rPr>
        <w:t>The recurring value is operational. Once this structure is in place, monthly invoices can update the same dashboard and show whether usage, cost, and dispute exposure are improving or getting worse.</w:t>
      </w:r>
    </w:p>
    <w:p>
      <w:pPr>
        <w:pStyle w:val="ListBullet"/>
        <w:spacing w:after="80" w:line="259" w:lineRule="auto"/>
      </w:pPr>
      <w:r>
        <w:rPr>
          <w:rFonts w:ascii="Georgia" w:hAnsi="Georgia"/>
          <w:b w:val="0"/>
          <w:color w:val="173A32"/>
          <w:sz w:val="21"/>
        </w:rPr>
        <w:t>The bottom line benefit is early visibility. A monthly review can show rising costs, unusual usage, billing changes, and possible operating issues before they become a large unresolved balance.</w:t>
      </w:r>
    </w:p>
    <w:p>
      <w:r>
        <w:br w:type="page"/>
      </w:r>
    </w:p>
    <w:p>
      <w:pPr>
        <w:pStyle w:val="Heading1"/>
        <w:spacing w:before="180" w:after="100"/>
      </w:pPr>
      <w:r>
        <w:rPr>
          <w:rFonts w:ascii="Georgia" w:hAnsi="Georgia"/>
          <w:b/>
          <w:color w:val="000000"/>
          <w:sz w:val="31"/>
        </w:rPr>
        <w:t>Action items</w:t>
      </w:r>
    </w:p>
    <w:p>
      <w:pPr>
        <w:pStyle w:val="ListBullet"/>
        <w:spacing w:after="80" w:line="259" w:lineRule="auto"/>
      </w:pPr>
      <w:r>
        <w:rPr>
          <w:rFonts w:ascii="Georgia" w:hAnsi="Georgia"/>
          <w:b w:val="0"/>
          <w:color w:val="173A32"/>
          <w:sz w:val="21"/>
        </w:rPr>
        <w:t>Use the letter and evidence packet to support a corrected billing review and credit request for Building 8.</w:t>
      </w:r>
    </w:p>
    <w:p>
      <w:pPr>
        <w:pStyle w:val="ListBullet"/>
        <w:spacing w:after="80" w:line="259" w:lineRule="auto"/>
      </w:pPr>
      <w:r>
        <w:rPr>
          <w:rFonts w:ascii="Georgia" w:hAnsi="Georgia"/>
          <w:b w:val="0"/>
          <w:color w:val="173A32"/>
          <w:sz w:val="21"/>
        </w:rPr>
        <w:t>Ask for the account ledger, meter history, meter change documentation, estimate basis, adjustment worksheet, and investigation notes.</w:t>
      </w:r>
    </w:p>
    <w:p>
      <w:pPr>
        <w:pStyle w:val="ListBullet"/>
        <w:spacing w:after="80" w:line="259" w:lineRule="auto"/>
      </w:pPr>
      <w:r>
        <w:rPr>
          <w:rFonts w:ascii="Georgia" w:hAnsi="Georgia"/>
          <w:b w:val="0"/>
          <w:color w:val="173A32"/>
          <w:sz w:val="21"/>
        </w:rPr>
        <w:t>Ask the property management team to send the monthly water and sewer invoices as soon as they are received.</w:t>
      </w:r>
    </w:p>
    <w:p>
      <w:pPr>
        <w:pStyle w:val="ListBullet"/>
        <w:spacing w:after="80" w:line="259" w:lineRule="auto"/>
      </w:pPr>
      <w:r>
        <w:rPr>
          <w:rFonts w:ascii="Georgia" w:hAnsi="Georgia"/>
          <w:b w:val="0"/>
          <w:color w:val="173A32"/>
          <w:sz w:val="21"/>
        </w:rPr>
        <w:t>Continue the same analysis every month so R4 can track trends, compare usage by building, and see operating impact on the bottom line.</w:t>
      </w:r>
    </w:p>
    <w:p>
      <w:pPr>
        <w:pStyle w:val="ListBullet"/>
        <w:spacing w:after="80" w:line="259" w:lineRule="auto"/>
      </w:pPr>
      <w:r>
        <w:rPr>
          <w:rFonts w:ascii="Georgia" w:hAnsi="Georgia"/>
          <w:b w:val="0"/>
          <w:color w:val="173A32"/>
          <w:sz w:val="21"/>
        </w:rPr>
        <w:t>Review the dashboard each month for unusual movement in gallons, charges, balances, and account status.</w:t>
      </w:r>
    </w:p>
    <w:p>
      <w:pPr>
        <w:pStyle w:val="ListBullet"/>
        <w:spacing w:after="80" w:line="259" w:lineRule="auto"/>
      </w:pPr>
      <w:r>
        <w:rPr>
          <w:rFonts w:ascii="Georgia" w:hAnsi="Georgia"/>
          <w:b w:val="0"/>
          <w:color w:val="173A32"/>
          <w:sz w:val="21"/>
        </w:rPr>
        <w:t>Use the monthly dashboard to connect billing movement to operations decisions, repair priorities, vacancy recovery, and cash flow planning.</w:t>
      </w:r>
    </w:p>
    <w:p>
      <w:pPr>
        <w:pStyle w:val="Heading1"/>
        <w:spacing w:before="180" w:after="100"/>
      </w:pPr>
      <w:r>
        <w:rPr>
          <w:rFonts w:ascii="Georgia" w:hAnsi="Georgia"/>
          <w:b/>
          <w:color w:val="000000"/>
          <w:sz w:val="31"/>
        </w:rPr>
        <w:t>Monthly continuation program</w:t>
      </w:r>
    </w:p>
    <w:p>
      <w:pPr>
        <w:spacing w:after="140" w:line="269" w:lineRule="auto"/>
      </w:pPr>
      <w:r>
        <w:rPr>
          <w:rFonts w:ascii="Georgia" w:hAnsi="Georgia"/>
          <w:b w:val="0"/>
          <w:color w:val="173A32"/>
          <w:sz w:val="21"/>
        </w:rPr>
        <w:t>Now that the system is set up, the simplest way to keep the work valuable is for the Glorieta Gardens property management team to send the monthly invoices to APAS Consulting as soon as they arrive. APAS can then update the billing record, refresh the dashboard, and summarize the movement in usage, charges, balance exposure, and potential revenue impact.</w:t>
      </w:r>
    </w:p>
    <w:p>
      <w:pPr>
        <w:spacing w:after="140" w:line="269" w:lineRule="auto"/>
      </w:pPr>
      <w:r>
        <w:rPr>
          <w:rFonts w:ascii="Georgia" w:hAnsi="Georgia"/>
          <w:b w:val="0"/>
          <w:color w:val="173A32"/>
          <w:sz w:val="21"/>
        </w:rPr>
        <w:t>This creates a recurring operating control. Instead of reviewing a large billing issue after the fact, R4 can see the trend month by month, identify unusual water or sewer charges early, and connect billing movement to property operations. That helps protect cash flow, supports budget decisions, and gives management a clearer view of whether corrective actions are improving the property economics.</w:t>
      </w:r>
    </w:p>
    <w:p>
      <w:pPr>
        <w:pStyle w:val="Heading1"/>
        <w:spacing w:before="180" w:after="100"/>
      </w:pPr>
      <w:r>
        <w:rPr>
          <w:rFonts w:ascii="Georgia" w:hAnsi="Georgia"/>
          <w:b/>
          <w:color w:val="000000"/>
          <w:sz w:val="31"/>
        </w:rPr>
        <w:t>Detailed monthly record</w:t>
      </w:r>
    </w:p>
    <w:p>
      <w:pPr>
        <w:spacing w:after="140" w:line="269" w:lineRule="auto"/>
      </w:pPr>
      <w:r>
        <w:rPr>
          <w:rFonts w:ascii="Georgia" w:hAnsi="Georgia"/>
          <w:b w:val="0"/>
          <w:color w:val="173A32"/>
          <w:sz w:val="21"/>
        </w:rPr>
        <w:t>The monthly records below are included so Chris and the property team can see exactly where the figures came from.</w:t>
      </w:r>
    </w:p>
    <w:p>
      <w:pPr>
        <w:pStyle w:val="Heading2"/>
        <w:spacing w:before="100" w:after="100"/>
      </w:pPr>
      <w:r>
        <w:rPr>
          <w:rFonts w:ascii="Georgia" w:hAnsi="Georgia"/>
          <w:b/>
          <w:color w:val="000000"/>
          <w:sz w:val="25"/>
        </w:rPr>
        <w:t>Building 7 monthly record</w:t>
      </w:r>
    </w:p>
    <w:tbl>
      <w:tblPr>
        <w:tblW w:type="auto" w:w="0"/>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2520"/>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Service period</w:t>
            </w:r>
          </w:p>
        </w:tc>
        <w:tc>
          <w:tcPr>
            <w:tcW w:type="dxa" w:w="1512"/>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Gallons</w:t>
            </w:r>
          </w:p>
        </w:tc>
        <w:tc>
          <w:tcPr>
            <w:tcW w:type="dxa" w:w="1512"/>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Charges</w:t>
            </w:r>
          </w:p>
        </w:tc>
        <w:tc>
          <w:tcPr>
            <w:tcW w:type="dxa" w:w="1728"/>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Reads</w:t>
            </w:r>
          </w:p>
        </w:tc>
        <w:tc>
          <w:tcPr>
            <w:tcW w:type="dxa" w:w="2016"/>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Phase</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2023 02 24 to 2023 03 28</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949,000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$19,570.87</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17,899 to 18,848</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Pre vacancy</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2023 03 28 to 2023 04 26</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910,000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$18,771.77</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18,848 to 19,758</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Pre vacancy</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2023 04 26 to 2023 05 25</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941,000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$19,406.96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19,758 to 20,699</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Pre vacancy</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2023 09 28 to 2023 10 27</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819,000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$16,907.20</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25,070 to 25,889</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2023 10 27 to 2023 12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956,000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$19,714.30</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25,889 to 26,845</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2023 12 01 to 2024 01 03</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803,000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$16,579.36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26,845 to 27,648</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01 31 to 2024 02 29</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190,000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$4,019.12</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28,322 to 28,512</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2024 02 29 to 2024 03 27</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$1,498.88</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28,512 to 28,512</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05 06 to 2024 06 05</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796,000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$16,435.93</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997 to 1,793</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2024 07 30 to 2024 08 27</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707,000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$14,612.34</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3,128 to 3,835</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08 27 to 2024 09 27</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670,000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$13,854.22</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3,835 to 4,505</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2024 09 27 to 2024 10 29</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676,000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$13,977.16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4,505 to 5,181</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10 29 to 2024 12 02</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562,000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$11,641.33</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5,181 to 5,743</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01 29 to 2025 02 28</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102,000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$2,216.02</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6,455 to 6,557</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02 28 to 2025 03 31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34,000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$822.70</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6,557 to 6,591</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03 31 to 2025 04 29</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34,000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$822.70</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6,591 to 6,625</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04 29 to 2025 05 29</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126,000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$2,707.77</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6,625 to 6,751</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05 29 to 2025 07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74,000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$1,642.30</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6,751 to 6,825</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07 01 to 2025 08 04</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77,000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$1,703.78</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6,825 to 6,902</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08 04 to 2025 08 29</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33,000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$802.22</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6,902 to 6,935</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08 29 to 2025 09 29</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52,000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$1,191.53</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6,935 to 6,987</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09 29 to 2025 10 28</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62,000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$1,396.43</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6,987 to 7,049</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10 28 to 2025 12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120,000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$2,584.83</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7,049 to 7,169</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12 01 to 2026 01 02</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203,000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$4,285.48</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7,169 to 7,372</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2026 01 02 to 2026 01 28</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202,000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$4,265.00</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7,372 to 7,574</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2026 01 28 to 2026 02 24</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225,000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$4,736.26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7,574 to 7,799</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2026 02 24 to 2026 03 31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317,000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$6,621.33</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7,799 to 8,116</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2026 03 31 to 2026 05 05</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333,000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$6,949.16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8,116 to 8,449</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2026 05 05 to 2026 06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298,000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$6,232.01</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8,449 to 8,747</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2026 06 01 to 2026 06 29</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380,000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$7,912.18</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8,747 to 9,127</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bl>
    <w:p>
      <w:pPr>
        <w:spacing w:after="20"/>
      </w:pPr>
    </w:p>
    <w:p>
      <w:pPr>
        <w:pStyle w:val="Heading2"/>
        <w:spacing w:before="100" w:after="100"/>
      </w:pPr>
      <w:r>
        <w:rPr>
          <w:rFonts w:ascii="Georgia" w:hAnsi="Georgia"/>
          <w:b/>
          <w:color w:val="000000"/>
          <w:sz w:val="25"/>
        </w:rPr>
        <w:t>Building 8 monthly record</w:t>
      </w:r>
    </w:p>
    <w:tbl>
      <w:tblPr>
        <w:tblW w:type="auto" w:w="0"/>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2520"/>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Service period</w:t>
            </w:r>
          </w:p>
        </w:tc>
        <w:tc>
          <w:tcPr>
            <w:tcW w:type="dxa" w:w="1512"/>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Gallons</w:t>
            </w:r>
          </w:p>
        </w:tc>
        <w:tc>
          <w:tcPr>
            <w:tcW w:type="dxa" w:w="1512"/>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Charges</w:t>
            </w:r>
          </w:p>
        </w:tc>
        <w:tc>
          <w:tcPr>
            <w:tcW w:type="dxa" w:w="1728"/>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Reads</w:t>
            </w:r>
          </w:p>
        </w:tc>
        <w:tc>
          <w:tcPr>
            <w:tcW w:type="dxa" w:w="2016"/>
            <w:shd w:fill="082B23"/>
            <w:top w:val="single" w:sz="6" w:color="D9D9D9"/>
            <w:left w:val="single" w:sz="6" w:color="D9D9D9"/>
            <w:bottom w:val="single" w:sz="6" w:color="D9D9D9"/>
            <w:right w:val="single" w:sz="6" w:color="D9D9D9"/>
            <w:insideH w:val="single" w:sz="6" w:color="D9D9D9"/>
            <w:insideV w:val="single" w:sz="6" w:color="D9D9D9"/>
            <w:tcMar>
              <w:top w:w="80" w:type="dxa"/>
              <w:left w:w="80" w:type="dxa"/>
              <w:bottom w:w="80" w:type="dxa"/>
              <w:right w:w="80" w:type="dxa"/>
            </w:tcMar>
          </w:tcPr>
          <w:p>
            <w:pPr>
              <w:jc w:val="center"/>
            </w:pPr>
            <w:r>
              <w:rPr>
                <w:rFonts w:ascii="Georgia" w:hAnsi="Georgia"/>
                <w:b/>
                <w:color w:val="FFFFFF"/>
                <w:sz w:val="16"/>
              </w:rPr>
              <w:t>Phase</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04 09 to 2024 05 02</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66 to 282</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2024 05 02 to 2024 06 03</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282 to 498</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06 03 to 2024 07 03</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498 to 714</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2024 07 03 to 2024 08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714 to 930</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08 01 to 2024 09 03</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930 to 1,146</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2024 09 03 to 2024 10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1,146 to 1,362</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10 01 to 2024 11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1,362 to 1,578</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2024 11 01 to 2024 12 04</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1,578 to 1,794</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2024 12 04 to 2025 01 02</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1,794 to 2,011</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01 02 to 2025 02 03</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2,011 to 2,228</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02 03 to 2025 03 04</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2,228 to 2,445</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Vacancy/rehab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03 04 to 2025 04 04</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2,445 to 2,662</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04 04 to 2025 05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2,662 to 2,879</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05 01 to 2025 06 03</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2,879 to 3,096</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06 03 to 2025 07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3,096 to 3,313</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07 01 to 2025 08 07</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3,313 to 3,530</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08 07 to 2025 09 04</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3,530 to 3,747</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09 04 to 2025 10 02</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3,747 to 3,964</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10 02 to 2025 11 04</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3,964 to 4,181</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2025 11 04 to 2025 12 08</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217,000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$4,572.35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4,181 to 4,398</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2025 12 08 to 2026 01 06</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4,398 to 4,614</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2026 01 06 to 2026 02 02</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216,000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$4,551.86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4,614 to 4,830</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2026 02 02 to 2026 03 04</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186,000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$3,937.16</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4,830 to 5,016</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2026 03 04 to 2026 04 03</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70,000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$1,560.34</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5,016 to 5,086</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2026 04 03 to 2026 05 05</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549,000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$11,374.95</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5,086 to 5,635</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2026 05 05 to 2026 06 01</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359,000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$7,481.89</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center"/>
            </w:pPr>
            <w:r>
              <w:rPr>
                <w:rFonts w:ascii="Georgia" w:hAnsi="Georgia"/>
                <w:b w:val="0"/>
                <w:color w:val="173A32"/>
                <w:sz w:val="15"/>
              </w:rPr>
              <w:t>5,635 to 5,994</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AFCFB"/>
          </w:tcPr>
          <w:p>
            <w:pPr>
              <w:spacing w:after="0"/>
              <w:jc w:val="left"/>
            </w:pPr>
            <w:r>
              <w:rPr>
                <w:rFonts w:ascii="Georgia" w:hAnsi="Georgia"/>
                <w:b w:val="0"/>
                <w:color w:val="173A32"/>
                <w:sz w:val="15"/>
              </w:rPr>
              <w:t>Post rehab</w:t>
            </w:r>
          </w:p>
        </w:tc>
      </w:tr>
      <w:tr>
        <w:trPr>
          <w:cantSplit/>
        </w:trPr>
        <w:tc>
          <w:tcPr>
            <w:tcW w:type="dxa" w:w="2520"/>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2026 06 01 to 2026 06 29</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shd w:fill="FBF5E6"/>
          </w:tcPr>
          <w:p>
            <w:pPr>
              <w:spacing w:after="0"/>
              <w:jc w:val="center"/>
            </w:pPr>
            <w:r>
              <w:rPr>
                <w:rFonts w:ascii="Georgia" w:hAnsi="Georgia"/>
                <w:b/>
                <w:color w:val="082B23"/>
                <w:sz w:val="15"/>
              </w:rPr>
              <w:t>423,000 gal</w:t>
            </w:r>
          </w:p>
        </w:tc>
        <w:tc>
          <w:tcPr>
            <w:tcW w:type="dxa" w:w="1512"/>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$8,793.24</w:t>
            </w:r>
          </w:p>
        </w:tc>
        <w:tc>
          <w:tcPr>
            <w:tcW w:type="dxa" w:w="1728"/>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center"/>
            </w:pPr>
            <w:r>
              <w:rPr>
                <w:rFonts w:ascii="Georgia" w:hAnsi="Georgia"/>
                <w:b w:val="0"/>
                <w:color w:val="173A32"/>
                <w:sz w:val="15"/>
              </w:rPr>
              <w:t>5,994 to 6,417</w:t>
            </w:r>
          </w:p>
        </w:tc>
        <w:tc>
          <w:tcPr>
            <w:tcW w:type="dxa" w:w="2016"/>
            <w:vAlign w:val="center"/>
            <w:top w:val="single" w:sz="6" w:color="D9D9D9"/>
            <w:left w:val="single" w:sz="6" w:color="D9D9D9"/>
            <w:bottom w:val="single" w:sz="6" w:color="D9D9D9"/>
            <w:right w:val="single" w:sz="6" w:color="D9D9D9"/>
            <w:insideH w:val="single" w:sz="6" w:color="D9D9D9"/>
            <w:insideV w:val="single" w:sz="6" w:color="D9D9D9"/>
            <w:tcMar>
              <w:top w:w="70" w:type="dxa"/>
              <w:left w:w="70" w:type="dxa"/>
              <w:bottom w:w="70" w:type="dxa"/>
              <w:right w:w="70" w:type="dxa"/>
            </w:tcMar>
          </w:tcPr>
          <w:p>
            <w:pPr>
              <w:spacing w:after="0"/>
              <w:jc w:val="left"/>
            </w:pPr>
            <w:r>
              <w:rPr>
                <w:rFonts w:ascii="Georgia" w:hAnsi="Georgia"/>
                <w:b w:val="0"/>
                <w:color w:val="173A32"/>
                <w:sz w:val="15"/>
              </w:rPr>
              <w:t>Post rehab</w:t>
            </w:r>
          </w:p>
        </w:tc>
      </w:tr>
    </w:tbl>
    <w:p>
      <w:pPr>
        <w:spacing w:after="20"/>
      </w:pPr>
    </w:p>
    <w:p>
      <w:pPr>
        <w:pStyle w:val="Heading1"/>
        <w:spacing w:before="180" w:after="100"/>
      </w:pPr>
      <w:r>
        <w:rPr>
          <w:rFonts w:ascii="Georgia" w:hAnsi="Georgia"/>
          <w:b/>
          <w:color w:val="000000"/>
          <w:sz w:val="31"/>
        </w:rPr>
        <w:t>Closing</w:t>
      </w:r>
    </w:p>
    <w:p>
      <w:pPr>
        <w:spacing w:after="140" w:line="269" w:lineRule="auto"/>
      </w:pPr>
      <w:r>
        <w:rPr>
          <w:rFonts w:ascii="Georgia" w:hAnsi="Georgia"/>
          <w:b w:val="0"/>
          <w:color w:val="173A32"/>
          <w:sz w:val="21"/>
        </w:rPr>
        <w:t>The immediate goal is to support the current billing dispute with a clear factual record. The longer term goal is to turn monthly utility bills into a repeatable operating control for Glorieta Gardens. APAS Consulting can continue maintaining this view as invoices come in and can provide a short monthly update showing trends, exceptions, and bottom line impact.</w:t>
      </w:r>
    </w:p>
    <w:p>
      <w:pPr>
        <w:spacing w:after="140" w:line="269" w:lineRule="auto"/>
      </w:pPr>
      <w:r>
        <w:rPr>
          <w:rFonts w:ascii="Georgia" w:hAnsi="Georgia"/>
          <w:b w:val="0"/>
          <w:color w:val="173A32"/>
          <w:sz w:val="21"/>
        </w:rPr>
        <w:t>Respectfully,</w:t>
      </w:r>
    </w:p>
    <w:p>
      <w:pPr>
        <w:spacing w:after="140" w:line="269" w:lineRule="auto"/>
      </w:pPr>
      <w:r>
        <w:rPr>
          <w:rFonts w:ascii="Georgia" w:hAnsi="Georgia"/>
          <w:b/>
          <w:color w:val="173A32"/>
          <w:sz w:val="21"/>
        </w:rPr>
        <w:t>APAS Consulting LLC</w:t>
      </w:r>
    </w:p>
    <w:sectPr w:rsidR="00FC693F" w:rsidRPr="0006063C" w:rsidSect="00034616">
      <w:headerReference w:type="default" r:id="rId9"/>
      <w:footerReference w:type="default" r:id="rId10"/>
      <w:pgSz w:w="12240" w:h="15840"/>
      <w:pgMar w:top="1123" w:right="1008" w:bottom="893" w:left="1008" w:header="36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color w:val="60746C"/>
        <w:sz w:val="16"/>
      </w:rPr>
      <w:t>APAS Consulting LLC confidential client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608"/>
      <w:gridCol w:w="5616"/>
    </w:tblGrid>
    <w:tr>
      <w:tc>
        <w:tcPr>
          <w:tcW w:type="dxa" w:w="5112"/>
          <w:top w:val="single" w:sz="6" w:color="FFFFFF"/>
          <w:left w:val="single" w:sz="6" w:color="FFFFFF"/>
          <w:bottom w:val="single" w:sz="6" w:color="FFFFFF"/>
          <w:right w:val="single" w:sz="6" w:color="FFFFFF"/>
          <w:insideH w:val="single" w:sz="6" w:color="FFFFFF"/>
          <w:insideV w:val="single" w:sz="6" w:color="FFFFFF"/>
          <w:tcMar>
            <w:top w:w="20" w:type="dxa"/>
            <w:left w:w="20" w:type="dxa"/>
            <w:bottom w:w="20" w:type="dxa"/>
            <w:right w:w="20" w:type="dxa"/>
          </w:tcMar>
          <w:vAlign w:val="center"/>
        </w:tcPr>
        <w:p>
          <w:r>
            <w:rPr>
              <w:rFonts w:ascii="Georgia" w:hAnsi="Georgia"/>
              <w:b/>
              <w:color w:val="082B23"/>
              <w:sz w:val="30"/>
            </w:rPr>
            <w:t>APAS CONSULTING</w:t>
          </w:r>
        </w:p>
        <w:p>
          <w:r>
            <w:rPr>
              <w:rFonts w:ascii="Georgia" w:hAnsi="Georgia"/>
              <w:b w:val="0"/>
              <w:color w:val="60746C"/>
              <w:sz w:val="17"/>
            </w:rPr>
            <w:t>Professional services letter report</w:t>
          </w:r>
        </w:p>
      </w:tc>
      <w:tc>
        <w:tcPr>
          <w:tcW w:type="dxa" w:w="5112"/>
          <w:top w:val="single" w:sz="6" w:color="FFFFFF"/>
          <w:left w:val="single" w:sz="6" w:color="FFFFFF"/>
          <w:bottom w:val="single" w:sz="6" w:color="FFFFFF"/>
          <w:right w:val="single" w:sz="6" w:color="FFFFFF"/>
          <w:insideH w:val="single" w:sz="6" w:color="FFFFFF"/>
          <w:insideV w:val="single" w:sz="6" w:color="FFFFFF"/>
          <w:tcMar>
            <w:top w:w="20" w:type="dxa"/>
            <w:left w:w="20" w:type="dxa"/>
            <w:bottom w:w="20" w:type="dxa"/>
            <w:right w:w="20" w:type="dxa"/>
          </w:tcMar>
          <w:vAlign w:val="center"/>
        </w:tcPr>
        <w:p>
          <w:pPr>
            <w:jc w:val="right"/>
          </w:pPr>
          <w:r>
            <w:rPr>
              <w:rFonts w:ascii="Georgia" w:hAnsi="Georgia"/>
              <w:b w:val="0"/>
              <w:color w:val="60746C"/>
              <w:sz w:val="17"/>
            </w:rPr>
            <w:t>3256 NW 83 Way</w:t>
            <w:br/>
            <w:t>Pembroke Pines Florida 33024</w:t>
            <w:br/>
            <w:t>hardeep@apas.ai</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Georgia" w:hAnsi="Georgia"/>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