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EF8354"/>
          <w:sz w:val="20"/>
        </w:rPr>
        <w:t>TECHNICAL RESEARCH PAPER</w:t>
      </w:r>
    </w:p>
    <w:p>
      <w:pPr>
        <w:spacing w:before="360" w:after="200"/>
        <w:jc w:val="center"/>
      </w:pPr>
      <w:r>
        <w:rPr>
          <w:rFonts w:ascii="Calibri" w:hAnsi="Calibri"/>
          <w:b/>
          <w:color w:val="12233F"/>
          <w:sz w:val="60"/>
        </w:rPr>
        <w:t>Infiltration and Inflow</w:t>
      </w:r>
    </w:p>
    <w:p>
      <w:pPr>
        <w:spacing w:after="680"/>
        <w:jc w:val="center"/>
      </w:pPr>
      <w:r>
        <w:rPr>
          <w:rFonts w:ascii="Calibri" w:hAnsi="Calibri"/>
          <w:color w:val="176B87"/>
          <w:sz w:val="30"/>
        </w:rPr>
        <w:t>A national engineering calculation framework with a Miami-Dade basin and pump-station case</w:t>
      </w:r>
    </w:p>
    <w:p>
      <w:pPr>
        <w:spacing w:after="1600"/>
        <w:jc w:val="center"/>
      </w:pPr>
      <w:r>
        <w:rPr>
          <w:rFonts w:ascii="Calibri" w:hAnsi="Calibri"/>
          <w:i/>
          <w:color w:val="667085"/>
          <w:sz w:val="21"/>
        </w:rPr>
        <w:t>Research paper and executable computational specification</w:t>
      </w:r>
    </w:p>
    <w:tbl>
      <w:tblPr>
        <w:tblStyle w:val="TableGrid"/>
        <w:tblW w:type="dxa" w:w="9360"/>
        <w:tblLayout w:type="fixed"/>
        <w:tblLook w:firstColumn="1" w:firstRow="1" w:lastColumn="0" w:lastRow="0" w:noHBand="0" w:noVBand="1" w:val="04A0"/>
        <w:tblInd w:w="120" w:type="dxa"/>
      </w:tblPr>
      <w:tblGrid>
        <w:gridCol w:w="1700"/>
        <w:gridCol w:w="7660"/>
      </w:tblGrid>
      <w:tr>
        <w:trPr>
          <w:tblHeader w:val="true"/>
        </w:trPr>
        <w:tc>
          <w:tcPr>
            <w:tcW w:type="dxa" w:w="1700"/>
            <w:shd w:fill="176B87"/>
            <w:tcMar>
              <w:top w:w="80" w:type="dxa"/>
              <w:start w:w="120" w:type="dxa"/>
              <w:bottom w:w="80" w:type="dxa"/>
              <w:end w:w="120" w:type="dxa"/>
            </w:tcMar>
            <w:vAlign w:val="center"/>
          </w:tcPr>
          <w:p>
            <w:r>
              <w:rPr>
                <w:rFonts w:ascii="Calibri" w:hAnsi="Calibri"/>
                <w:b/>
                <w:color w:val="FFFFFF"/>
                <w:sz w:val="18"/>
              </w:rPr>
              <w:t>DOCUMENT CONTROL</w:t>
            </w:r>
          </w:p>
        </w:tc>
        <w:tc>
          <w:tcPr>
            <w:tcW w:type="dxa" w:w="7660"/>
            <w:shd w:fill="176B87"/>
            <w:tcMar>
              <w:top w:w="80" w:type="dxa"/>
              <w:start w:w="120" w:type="dxa"/>
              <w:bottom w:w="80" w:type="dxa"/>
              <w:end w:w="120" w:type="dxa"/>
            </w:tcMar>
            <w:vAlign w:val="center"/>
          </w:tcPr>
          <w:p>
            <w:r>
              <w:rPr>
                <w:rFonts w:ascii="Calibri" w:hAnsi="Calibri"/>
                <w:b/>
                <w:color w:val="FFFFFF"/>
                <w:sz w:val="18"/>
              </w:rPr>
              <w:t>VALUE</w:t>
            </w:r>
          </w:p>
        </w:tc>
      </w:tr>
      <w:tr>
        <w:tc>
          <w:tcPr>
            <w:tcW w:type="dxa" w:w="1700"/>
            <w:shd w:fill="E9EEF3"/>
            <w:tcMar>
              <w:top w:w="80" w:type="dxa"/>
              <w:start w:w="120" w:type="dxa"/>
              <w:bottom w:w="80" w:type="dxa"/>
              <w:end w:w="120" w:type="dxa"/>
            </w:tcMar>
            <w:vAlign w:val="center"/>
          </w:tcPr>
          <w:p>
            <w:r>
              <w:rPr>
                <w:rFonts w:ascii="Calibri" w:hAnsi="Calibri"/>
                <w:b/>
                <w:color w:val="12233F"/>
                <w:sz w:val="18"/>
              </w:rPr>
              <w:t>VERSION</w:t>
            </w:r>
          </w:p>
        </w:tc>
        <w:tc>
          <w:tcPr>
            <w:tcW w:type="dxa" w:w="7660"/>
            <w:tcMar>
              <w:top w:w="80" w:type="dxa"/>
              <w:start w:w="120" w:type="dxa"/>
              <w:bottom w:w="80" w:type="dxa"/>
              <w:end w:w="120" w:type="dxa"/>
            </w:tcMar>
            <w:vAlign w:val="center"/>
          </w:tcPr>
          <w:p>
            <w:r>
              <w:rPr>
                <w:rFonts w:ascii="Calibri" w:hAnsi="Calibri"/>
                <w:color w:val="12233F"/>
                <w:sz w:val="19"/>
              </w:rPr>
              <w:t>1.0 candidate technical paper</w:t>
            </w:r>
          </w:p>
        </w:tc>
      </w:tr>
      <w:tr>
        <w:tc>
          <w:tcPr>
            <w:tcW w:type="dxa" w:w="1700"/>
            <w:shd w:fill="E9EEF3"/>
            <w:tcMar>
              <w:top w:w="80" w:type="dxa"/>
              <w:start w:w="120" w:type="dxa"/>
              <w:bottom w:w="80" w:type="dxa"/>
              <w:end w:w="120" w:type="dxa"/>
            </w:tcMar>
            <w:vAlign w:val="center"/>
          </w:tcPr>
          <w:p>
            <w:r>
              <w:rPr>
                <w:rFonts w:ascii="Calibri" w:hAnsi="Calibri"/>
                <w:b/>
                <w:color w:val="12233F"/>
                <w:sz w:val="18"/>
              </w:rPr>
              <w:t>DATE</w:t>
            </w:r>
          </w:p>
        </w:tc>
        <w:tc>
          <w:tcPr>
            <w:tcW w:type="dxa" w:w="7660"/>
            <w:tcMar>
              <w:top w:w="80" w:type="dxa"/>
              <w:start w:w="120" w:type="dxa"/>
              <w:bottom w:w="80" w:type="dxa"/>
              <w:end w:w="120" w:type="dxa"/>
            </w:tcMar>
            <w:vAlign w:val="center"/>
          </w:tcPr>
          <w:p>
            <w:r>
              <w:rPr>
                <w:rFonts w:ascii="Calibri" w:hAnsi="Calibri"/>
                <w:color w:val="12233F"/>
                <w:sz w:val="19"/>
              </w:rPr>
              <w:t>July 27, 2026</w:t>
            </w:r>
          </w:p>
        </w:tc>
      </w:tr>
      <w:tr>
        <w:tc>
          <w:tcPr>
            <w:tcW w:type="dxa" w:w="1700"/>
            <w:shd w:fill="E9EEF3"/>
            <w:tcMar>
              <w:top w:w="80" w:type="dxa"/>
              <w:start w:w="120" w:type="dxa"/>
              <w:bottom w:w="80" w:type="dxa"/>
              <w:end w:w="120" w:type="dxa"/>
            </w:tcMar>
            <w:vAlign w:val="center"/>
          </w:tcPr>
          <w:p>
            <w:r>
              <w:rPr>
                <w:rFonts w:ascii="Calibri" w:hAnsi="Calibri"/>
                <w:b/>
                <w:color w:val="12233F"/>
                <w:sz w:val="18"/>
              </w:rPr>
              <w:t>SAMPLE</w:t>
            </w:r>
          </w:p>
        </w:tc>
        <w:tc>
          <w:tcPr>
            <w:tcW w:type="dxa" w:w="7660"/>
            <w:tcMar>
              <w:top w:w="80" w:type="dxa"/>
              <w:start w:w="120" w:type="dxa"/>
              <w:bottom w:w="80" w:type="dxa"/>
              <w:end w:w="120" w:type="dxa"/>
            </w:tcMar>
            <w:vAlign w:val="center"/>
          </w:tcPr>
          <w:p>
            <w:r>
              <w:rPr>
                <w:rFonts w:ascii="Calibri" w:hAnsi="Calibri"/>
                <w:color w:val="12233F"/>
                <w:sz w:val="19"/>
              </w:rPr>
              <w:t>MD-EX-01 synthetic basin</w:t>
            </w:r>
          </w:p>
        </w:tc>
      </w:tr>
      <w:tr>
        <w:tc>
          <w:tcPr>
            <w:tcW w:type="dxa" w:w="1700"/>
            <w:shd w:fill="E9EEF3"/>
            <w:tcMar>
              <w:top w:w="80" w:type="dxa"/>
              <w:start w:w="120" w:type="dxa"/>
              <w:bottom w:w="80" w:type="dxa"/>
              <w:end w:w="120" w:type="dxa"/>
            </w:tcMar>
            <w:vAlign w:val="center"/>
          </w:tcPr>
          <w:p>
            <w:r>
              <w:rPr>
                <w:rFonts w:ascii="Calibri" w:hAnsi="Calibri"/>
                <w:b/>
                <w:color w:val="12233F"/>
                <w:sz w:val="18"/>
              </w:rPr>
              <w:t>REGISTRY</w:t>
            </w:r>
          </w:p>
        </w:tc>
        <w:tc>
          <w:tcPr>
            <w:tcW w:type="dxa" w:w="7660"/>
            <w:tcMar>
              <w:top w:w="80" w:type="dxa"/>
              <w:start w:w="120" w:type="dxa"/>
              <w:bottom w:w="80" w:type="dxa"/>
              <w:end w:w="120" w:type="dxa"/>
            </w:tcMar>
            <w:vAlign w:val="center"/>
          </w:tcPr>
          <w:p>
            <w:r>
              <w:rPr>
                <w:rFonts w:ascii="Calibri" w:hAnsi="Calibri"/>
                <w:color w:val="12233F"/>
                <w:sz w:val="19"/>
              </w:rPr>
              <w:t>formula-register.yaml version 0.2.0</w:t>
            </w:r>
          </w:p>
        </w:tc>
      </w:tr>
      <w:tr>
        <w:tc>
          <w:tcPr>
            <w:tcW w:type="dxa" w:w="1700"/>
            <w:shd w:fill="E9EEF3"/>
            <w:tcMar>
              <w:top w:w="80" w:type="dxa"/>
              <w:start w:w="120" w:type="dxa"/>
              <w:bottom w:w="80" w:type="dxa"/>
              <w:end w:w="120" w:type="dxa"/>
            </w:tcMar>
            <w:vAlign w:val="center"/>
          </w:tcPr>
          <w:p>
            <w:r>
              <w:rPr>
                <w:rFonts w:ascii="Calibri" w:hAnsi="Calibri"/>
                <w:b/>
                <w:color w:val="12233F"/>
                <w:sz w:val="18"/>
              </w:rPr>
              <w:t>BOUNDARY</w:t>
            </w:r>
          </w:p>
        </w:tc>
        <w:tc>
          <w:tcPr>
            <w:tcW w:type="dxa" w:w="7660"/>
            <w:tcMar>
              <w:top w:w="80" w:type="dxa"/>
              <w:start w:w="120" w:type="dxa"/>
              <w:bottom w:w="80" w:type="dxa"/>
              <w:end w:w="120" w:type="dxa"/>
            </w:tcMar>
            <w:vAlign w:val="center"/>
          </w:tcPr>
          <w:p>
            <w:r>
              <w:rPr>
                <w:rFonts w:ascii="Calibri" w:hAnsi="Calibri"/>
                <w:color w:val="12233F"/>
                <w:sz w:val="19"/>
              </w:rPr>
              <w:t>United States national layer with separate Miami-Dade rule pack</w:t>
            </w:r>
          </w:p>
        </w:tc>
      </w:tr>
    </w:tbl>
    <w:p>
      <w:pPr>
        <w:spacing w:before="960"/>
        <w:jc w:val="center"/>
      </w:pPr>
      <w:r>
        <w:rPr>
          <w:rFonts w:ascii="Calibri" w:hAnsi="Calibri"/>
          <w:b/>
          <w:color w:val="667085"/>
          <w:sz w:val="18"/>
        </w:rPr>
        <w:t>Synthetic engineering example. Not facility data, operating direction, capacity certification, or legal advice.</w:t>
      </w:r>
      <w:r>
        <w:br w:type="page"/>
      </w:r>
    </w:p>
    <w:p>
      <w:pPr>
        <w:pStyle w:val="Heading1"/>
        <w:keepNext/>
      </w:pPr>
      <w:r>
        <w:t>Document status and engineering use</w:t>
      </w:r>
    </w:p>
    <w:p>
      <w:r>
        <w:rPr>
          <w:rFonts w:ascii="Calibri" w:hAnsi="Calibri"/>
          <w:color w:val="12233F"/>
          <w:sz w:val="21"/>
        </w:rPr>
        <w:t>This paper is a research and computational specification. It is not a course. It defines a reproducible calculation system suitable to become the technical basis of an agentic application. The executable example, machine-readable inputs, formula registry, source registry, time series, results, and tests are part of the paper.</w:t>
      </w:r>
    </w:p>
    <w:p>
      <w:r>
        <w:rPr>
          <w:rFonts w:ascii="Calibri" w:hAnsi="Calibri"/>
          <w:color w:val="12233F"/>
          <w:sz w:val="21"/>
        </w:rPr>
        <w:t>The word "universal" has a precise meaning here. The application has a universal data contract, unit system, formula registry, provenance model, uncertainty model, validation protocol, and method-selection process. It does not impose one rainfall response coefficient on every sewer system. EPA's national review found that no single rainfall-derived infiltration and inflow method is universally applicable [R3]. Local hydrology, groundwater, assets, monitoring data, and the decision being supported determine which validated method may run.</w:t>
      </w:r>
    </w:p>
    <w:p>
      <w:r>
        <w:rPr>
          <w:rFonts w:ascii="Calibri" w:hAnsi="Calibri"/>
          <w:color w:val="12233F"/>
          <w:sz w:val="21"/>
        </w:rPr>
        <w:t>No formula is represented as infallible. Production use requires:</w:t>
      </w:r>
    </w:p>
    <w:p>
      <w:pPr>
        <w:pStyle w:val="ListNumber"/>
        <w:numPr>
          <w:ilvl w:val="0"/>
          <w:numId w:val="10"/>
        </w:numPr>
      </w:pPr>
      <w:r>
        <w:rPr>
          <w:rFonts w:ascii="Calibri" w:hAnsi="Calibri"/>
          <w:color w:val="12233F"/>
          <w:sz w:val="21"/>
        </w:rPr>
        <w:t>exact source and version traceability;</w:t>
      </w:r>
    </w:p>
    <w:p>
      <w:pPr>
        <w:pStyle w:val="ListNumber"/>
        <w:numPr>
          <w:ilvl w:val="0"/>
          <w:numId w:val="10"/>
        </w:numPr>
      </w:pPr>
      <w:r>
        <w:rPr>
          <w:rFonts w:ascii="Calibri" w:hAnsi="Calibri"/>
          <w:color w:val="12233F"/>
          <w:sz w:val="21"/>
        </w:rPr>
        <w:t>dimensional and numerical verification;</w:t>
      </w:r>
    </w:p>
    <w:p>
      <w:pPr>
        <w:pStyle w:val="ListNumber"/>
        <w:numPr>
          <w:ilvl w:val="0"/>
          <w:numId w:val="10"/>
        </w:numPr>
      </w:pPr>
      <w:r>
        <w:rPr>
          <w:rFonts w:ascii="Calibri" w:hAnsi="Calibri"/>
          <w:color w:val="12233F"/>
          <w:sz w:val="21"/>
        </w:rPr>
        <w:t>calibration against accepted field data;</w:t>
      </w:r>
    </w:p>
    <w:p>
      <w:pPr>
        <w:pStyle w:val="ListNumber"/>
        <w:numPr>
          <w:ilvl w:val="0"/>
          <w:numId w:val="10"/>
        </w:numPr>
      </w:pPr>
      <w:r>
        <w:rPr>
          <w:rFonts w:ascii="Calibri" w:hAnsi="Calibri"/>
          <w:color w:val="12233F"/>
          <w:sz w:val="21"/>
        </w:rPr>
        <w:t>independent hydraulic and wastewater engineering review;</w:t>
      </w:r>
    </w:p>
    <w:p>
      <w:pPr>
        <w:pStyle w:val="ListNumber"/>
        <w:numPr>
          <w:ilvl w:val="0"/>
          <w:numId w:val="10"/>
        </w:numPr>
      </w:pPr>
      <w:r>
        <w:rPr>
          <w:rFonts w:ascii="Calibri" w:hAnsi="Calibri"/>
          <w:color w:val="12233F"/>
          <w:sz w:val="21"/>
        </w:rPr>
        <w:t>verification of current local legal and regulatory requirements; and</w:t>
      </w:r>
    </w:p>
    <w:p>
      <w:pPr>
        <w:pStyle w:val="ListNumber"/>
        <w:numPr>
          <w:ilvl w:val="0"/>
          <w:numId w:val="10"/>
        </w:numPr>
      </w:pPr>
      <w:r>
        <w:rPr>
          <w:rFonts w:ascii="Calibri" w:hAnsi="Calibri"/>
          <w:color w:val="12233F"/>
          <w:sz w:val="21"/>
        </w:rPr>
        <w:t>an accountable professional's approval for the intended decision.</w:t>
      </w:r>
    </w:p>
    <w:p>
      <w:r>
        <w:rPr>
          <w:rFonts w:ascii="Calibri" w:hAnsi="Calibri"/>
          <w:color w:val="12233F"/>
          <w:sz w:val="21"/>
        </w:rPr>
        <w:t>The application must fail closed when a material input, unit, boundary, applicability condition, or source version is missing. It must never invent a coefficient, silently substitute a default, or turn a screening metric into a design, operating, or compliance conclusion.</w:t>
      </w:r>
    </w:p>
    <w:p>
      <w:pPr>
        <w:pStyle w:val="Heading1"/>
        <w:keepNext/>
      </w:pPr>
      <w:r>
        <w:t>Abstract</w:t>
      </w:r>
    </w:p>
    <w:p>
      <w:r>
        <w:rPr>
          <w:rFonts w:ascii="Calibri" w:hAnsi="Calibri"/>
          <w:color w:val="12233F"/>
          <w:sz w:val="21"/>
        </w:rPr>
        <w:t>Infiltration and inflow, abbreviated I&amp;I, are unwanted waters that enter a sanitary sewer. They consume conveyance, pumping, storage, and treatment capacity, but their mechanisms and time signatures differ. Groundwater infiltration can persist during dry weather. Direct inflow may respond almost immediately to rainfall. Rainfall-derived infiltration may rise later and recede for hours or days. An observed wet-weather peak is therefore a hydraulic outcome, not proof of a particular defect or owner.</w:t>
      </w:r>
    </w:p>
    <w:p>
      <w:r>
        <w:rPr>
          <w:rFonts w:ascii="Calibri" w:hAnsi="Calibri"/>
          <w:color w:val="12233F"/>
          <w:sz w:val="21"/>
        </w:rPr>
        <w:t>This paper establishes an end-to-end calculation framework. It begins with the sanitary flow and asset inventory, develops a dry-weather baseline, calculates groundwater infiltration, isolates rainfall-derived flow, builds an RTK hydrograph, and carries the resulting basin inflow through a pump-station system curve. It then solves one-pump and parallel-pump operating points, checks firm capacity, routes wet-well storage under contingencies, estimates cycling and energy, applies a separate Miami-Dade NAPOT rule example, and evaluates a hypothetical rehabilitation scenario using annual volume, present value, net present value, benefit-cost ratio, and payback.</w:t>
      </w:r>
    </w:p>
    <w:p>
      <w:r>
        <w:rPr>
          <w:rFonts w:ascii="Calibri" w:hAnsi="Calibri"/>
          <w:color w:val="12233F"/>
          <w:sz w:val="21"/>
        </w:rPr>
        <w:t>The worked example uses a synthetic 640-acre basin, 44 miles of gravity sewer, a 3.2-inch rainfall event, a three-component RTK response totaling R=0.032, three installed pumps, and a 16-inch force main. The event produces 1.7796 million gallons of RDII and a peak total inflow of 3.9287 million gallons per day, or 2,728.3 gallons per minute. The conservative two-pump operating point is 4,129.8 gallons per minute at maximum static head, giving 33.94 percent peak capacity margin. A normal one-pump case requires no storage for this event. A hypothetical 25 percent one-pump derating requires 75,312 gallons against 45,000 gallons of usable storage, creating a 30,312-gallon shortfall. A 30-minute complete-outage screen requires 81,848 gallons and creates a 36,848-gallon shortfall.</w:t>
      </w:r>
    </w:p>
    <w:p>
      <w:r>
        <w:rPr>
          <w:rFonts w:ascii="Calibri" w:hAnsi="Calibri"/>
          <w:color w:val="12233F"/>
          <w:sz w:val="21"/>
        </w:rPr>
        <w:t>The example is deliberately honest economically. The narrow direct marginal-cost calculation gives a negative net present value because it excludes avoided capacity, overflow risk, compliance, reliability, environmental, and public-health benefits. The result demonstrates why an agent must preserve decision boundaries and excluded benefits instead of forcing a favorable answer.</w:t>
      </w:r>
    </w:p>
    <w:p>
      <w:pPr>
        <w:pStyle w:val="Heading1"/>
        <w:keepNext/>
      </w:pPr>
      <w:r>
        <w:t>Table of contents</w:t>
      </w:r>
    </w:p>
    <w:p>
      <w:pPr>
        <w:pStyle w:val="ListNumber"/>
        <w:numPr>
          <w:ilvl w:val="0"/>
          <w:numId w:val="11"/>
        </w:numPr>
      </w:pPr>
      <w:r>
        <w:rPr>
          <w:rFonts w:ascii="Calibri" w:hAnsi="Calibri"/>
          <w:color w:val="12233F"/>
          <w:sz w:val="21"/>
        </w:rPr>
        <w:t>Executive technical position</w:t>
      </w:r>
    </w:p>
    <w:p>
      <w:pPr>
        <w:pStyle w:val="ListNumber"/>
        <w:numPr>
          <w:ilvl w:val="0"/>
          <w:numId w:val="11"/>
        </w:numPr>
      </w:pPr>
      <w:r>
        <w:rPr>
          <w:rFonts w:ascii="Calibri" w:hAnsi="Calibri"/>
          <w:color w:val="12233F"/>
          <w:sz w:val="21"/>
        </w:rPr>
        <w:t>Terminology and water pathways</w:t>
      </w:r>
    </w:p>
    <w:p>
      <w:pPr>
        <w:pStyle w:val="ListNumber"/>
        <w:numPr>
          <w:ilvl w:val="0"/>
          <w:numId w:val="11"/>
        </w:numPr>
      </w:pPr>
      <w:r>
        <w:rPr>
          <w:rFonts w:ascii="Calibri" w:hAnsi="Calibri"/>
          <w:color w:val="12233F"/>
          <w:sz w:val="21"/>
        </w:rPr>
        <w:t>National architecture and Miami-Dade boundary</w:t>
      </w:r>
    </w:p>
    <w:p>
      <w:pPr>
        <w:pStyle w:val="ListNumber"/>
        <w:numPr>
          <w:ilvl w:val="0"/>
          <w:numId w:val="11"/>
        </w:numPr>
      </w:pPr>
      <w:r>
        <w:rPr>
          <w:rFonts w:ascii="Calibri" w:hAnsi="Calibri"/>
          <w:color w:val="12233F"/>
          <w:sz w:val="21"/>
        </w:rPr>
        <w:t>Required data model</w:t>
      </w:r>
    </w:p>
    <w:p>
      <w:pPr>
        <w:pStyle w:val="ListNumber"/>
        <w:numPr>
          <w:ilvl w:val="0"/>
          <w:numId w:val="11"/>
        </w:numPr>
      </w:pPr>
      <w:r>
        <w:rPr>
          <w:rFonts w:ascii="Calibri" w:hAnsi="Calibri"/>
          <w:color w:val="12233F"/>
          <w:sz w:val="21"/>
        </w:rPr>
        <w:t>Monitoring, event selection, and quality control</w:t>
      </w:r>
    </w:p>
    <w:p>
      <w:pPr>
        <w:pStyle w:val="ListNumber"/>
        <w:numPr>
          <w:ilvl w:val="0"/>
          <w:numId w:val="11"/>
        </w:numPr>
      </w:pPr>
      <w:r>
        <w:rPr>
          <w:rFonts w:ascii="Calibri" w:hAnsi="Calibri"/>
          <w:color w:val="12233F"/>
          <w:sz w:val="21"/>
        </w:rPr>
        <w:t>Universal calculation library</w:t>
      </w:r>
    </w:p>
    <w:p>
      <w:pPr>
        <w:pStyle w:val="ListNumber"/>
        <w:numPr>
          <w:ilvl w:val="0"/>
          <w:numId w:val="11"/>
        </w:numPr>
      </w:pPr>
      <w:r>
        <w:rPr>
          <w:rFonts w:ascii="Calibri" w:hAnsi="Calibri"/>
          <w:color w:val="12233F"/>
          <w:sz w:val="21"/>
        </w:rPr>
        <w:t>Units and conversions</w:t>
      </w:r>
    </w:p>
    <w:p>
      <w:pPr>
        <w:pStyle w:val="ListNumber"/>
        <w:numPr>
          <w:ilvl w:val="0"/>
          <w:numId w:val="11"/>
        </w:numPr>
      </w:pPr>
      <w:r>
        <w:rPr>
          <w:rFonts w:ascii="Calibri" w:hAnsi="Calibri"/>
          <w:color w:val="12233F"/>
          <w:sz w:val="21"/>
        </w:rPr>
        <w:t>Dry-weather flow and groundwater infiltration</w:t>
      </w:r>
    </w:p>
    <w:p>
      <w:pPr>
        <w:pStyle w:val="ListNumber"/>
        <w:numPr>
          <w:ilvl w:val="0"/>
          <w:numId w:val="11"/>
        </w:numPr>
      </w:pPr>
      <w:r>
        <w:rPr>
          <w:rFonts w:ascii="Calibri" w:hAnsi="Calibri"/>
          <w:color w:val="12233F"/>
          <w:sz w:val="21"/>
        </w:rPr>
        <w:t>RDII residual and event volume</w:t>
      </w:r>
    </w:p>
    <w:p>
      <w:pPr>
        <w:pStyle w:val="ListNumber"/>
        <w:numPr>
          <w:ilvl w:val="0"/>
          <w:numId w:val="11"/>
        </w:numPr>
      </w:pPr>
      <w:r>
        <w:rPr>
          <w:rFonts w:ascii="Calibri" w:hAnsi="Calibri"/>
          <w:color w:val="12233F"/>
          <w:sz w:val="21"/>
        </w:rPr>
        <w:t>Normalized metrics</w:t>
      </w:r>
    </w:p>
    <w:p>
      <w:pPr>
        <w:pStyle w:val="ListNumber"/>
        <w:numPr>
          <w:ilvl w:val="0"/>
          <w:numId w:val="11"/>
        </w:numPr>
      </w:pPr>
      <w:r>
        <w:rPr>
          <w:rFonts w:ascii="Calibri" w:hAnsi="Calibri"/>
          <w:color w:val="12233F"/>
          <w:sz w:val="21"/>
        </w:rPr>
        <w:t>Rainfall capture fraction</w:t>
      </w:r>
    </w:p>
    <w:p>
      <w:pPr>
        <w:pStyle w:val="ListNumber"/>
        <w:numPr>
          <w:ilvl w:val="0"/>
          <w:numId w:val="11"/>
        </w:numPr>
      </w:pPr>
      <w:r>
        <w:rPr>
          <w:rFonts w:ascii="Calibri" w:hAnsi="Calibri"/>
          <w:color w:val="12233F"/>
          <w:sz w:val="21"/>
        </w:rPr>
        <w:t>RTK unit hydrographs</w:t>
      </w:r>
    </w:p>
    <w:p>
      <w:pPr>
        <w:pStyle w:val="ListNumber"/>
        <w:numPr>
          <w:ilvl w:val="0"/>
          <w:numId w:val="11"/>
        </w:numPr>
      </w:pPr>
      <w:r>
        <w:rPr>
          <w:rFonts w:ascii="Calibri" w:hAnsi="Calibri"/>
          <w:color w:val="12233F"/>
          <w:sz w:val="21"/>
        </w:rPr>
        <w:t>Force-main hydraulics</w:t>
      </w:r>
    </w:p>
    <w:p>
      <w:pPr>
        <w:pStyle w:val="ListNumber"/>
        <w:numPr>
          <w:ilvl w:val="0"/>
          <w:numId w:val="11"/>
        </w:numPr>
      </w:pPr>
      <w:r>
        <w:rPr>
          <w:rFonts w:ascii="Calibri" w:hAnsi="Calibri"/>
          <w:color w:val="12233F"/>
          <w:sz w:val="21"/>
        </w:rPr>
        <w:t>Pump operating points and capacity</w:t>
      </w:r>
    </w:p>
    <w:p>
      <w:pPr>
        <w:pStyle w:val="ListNumber"/>
        <w:numPr>
          <w:ilvl w:val="0"/>
          <w:numId w:val="11"/>
        </w:numPr>
      </w:pPr>
      <w:r>
        <w:rPr>
          <w:rFonts w:ascii="Calibri" w:hAnsi="Calibri"/>
          <w:color w:val="12233F"/>
          <w:sz w:val="21"/>
        </w:rPr>
        <w:t>Storage, outage, and cycling</w:t>
      </w:r>
    </w:p>
    <w:p>
      <w:pPr>
        <w:pStyle w:val="ListNumber"/>
        <w:numPr>
          <w:ilvl w:val="0"/>
          <w:numId w:val="11"/>
        </w:numPr>
      </w:pPr>
      <w:r>
        <w:rPr>
          <w:rFonts w:ascii="Calibri" w:hAnsi="Calibri"/>
          <w:color w:val="12233F"/>
          <w:sz w:val="21"/>
        </w:rPr>
        <w:t>Pump operating time and Miami-Dade NAPOT</w:t>
      </w:r>
    </w:p>
    <w:p>
      <w:pPr>
        <w:pStyle w:val="ListNumber"/>
        <w:numPr>
          <w:ilvl w:val="0"/>
          <w:numId w:val="11"/>
        </w:numPr>
      </w:pPr>
      <w:r>
        <w:rPr>
          <w:rFonts w:ascii="Calibri" w:hAnsi="Calibri"/>
          <w:color w:val="12233F"/>
          <w:sz w:val="21"/>
        </w:rPr>
        <w:t>Energy</w:t>
      </w:r>
    </w:p>
    <w:p>
      <w:pPr>
        <w:pStyle w:val="ListNumber"/>
        <w:numPr>
          <w:ilvl w:val="0"/>
          <w:numId w:val="11"/>
        </w:numPr>
      </w:pPr>
      <w:r>
        <w:rPr>
          <w:rFonts w:ascii="Calibri" w:hAnsi="Calibri"/>
          <w:color w:val="12233F"/>
          <w:sz w:val="21"/>
        </w:rPr>
        <w:t>Rehabilitation and economics</w:t>
      </w:r>
    </w:p>
    <w:p>
      <w:pPr>
        <w:pStyle w:val="ListNumber"/>
        <w:numPr>
          <w:ilvl w:val="0"/>
          <w:numId w:val="11"/>
        </w:numPr>
      </w:pPr>
      <w:r>
        <w:rPr>
          <w:rFonts w:ascii="Calibri" w:hAnsi="Calibri"/>
          <w:color w:val="12233F"/>
          <w:sz w:val="21"/>
        </w:rPr>
        <w:t>Uncertainty and verification</w:t>
      </w:r>
    </w:p>
    <w:p>
      <w:pPr>
        <w:pStyle w:val="ListNumber"/>
        <w:numPr>
          <w:ilvl w:val="0"/>
          <w:numId w:val="11"/>
        </w:numPr>
      </w:pPr>
      <w:r>
        <w:rPr>
          <w:rFonts w:ascii="Calibri" w:hAnsi="Calibri"/>
          <w:color w:val="12233F"/>
          <w:sz w:val="21"/>
        </w:rPr>
        <w:t>Complete worked basin and pump-station example</w:t>
      </w:r>
    </w:p>
    <w:p>
      <w:pPr>
        <w:pStyle w:val="ListNumber"/>
        <w:numPr>
          <w:ilvl w:val="0"/>
          <w:numId w:val="11"/>
        </w:numPr>
      </w:pPr>
      <w:r>
        <w:rPr>
          <w:rFonts w:ascii="Calibri" w:hAnsi="Calibri"/>
          <w:color w:val="12233F"/>
          <w:sz w:val="21"/>
        </w:rPr>
        <w:t>Agentic calculation architecture</w:t>
      </w:r>
    </w:p>
    <w:p>
      <w:pPr>
        <w:pStyle w:val="ListNumber"/>
        <w:numPr>
          <w:ilvl w:val="0"/>
          <w:numId w:val="11"/>
        </w:numPr>
      </w:pPr>
      <w:r>
        <w:rPr>
          <w:rFonts w:ascii="Calibri" w:hAnsi="Calibri"/>
          <w:color w:val="12233F"/>
          <w:sz w:val="21"/>
        </w:rPr>
        <w:t>Miami-Dade jurisdiction rule pack</w:t>
      </w:r>
    </w:p>
    <w:p>
      <w:pPr>
        <w:pStyle w:val="ListNumber"/>
        <w:numPr>
          <w:ilvl w:val="0"/>
          <w:numId w:val="11"/>
        </w:numPr>
      </w:pPr>
      <w:r>
        <w:rPr>
          <w:rFonts w:ascii="Calibri" w:hAnsi="Calibri"/>
          <w:color w:val="12233F"/>
          <w:sz w:val="21"/>
        </w:rPr>
        <w:t>Interpretation, limitations, and prohibited inferences</w:t>
      </w:r>
    </w:p>
    <w:p>
      <w:pPr>
        <w:pStyle w:val="ListNumber"/>
        <w:numPr>
          <w:ilvl w:val="0"/>
          <w:numId w:val="11"/>
        </w:numPr>
      </w:pPr>
      <w:r>
        <w:rPr>
          <w:rFonts w:ascii="Calibri" w:hAnsi="Calibri"/>
          <w:color w:val="12233F"/>
          <w:sz w:val="21"/>
        </w:rPr>
        <w:t>Formula wiring matrix</w:t>
      </w:r>
    </w:p>
    <w:p>
      <w:pPr>
        <w:pStyle w:val="ListNumber"/>
        <w:numPr>
          <w:ilvl w:val="0"/>
          <w:numId w:val="11"/>
        </w:numPr>
      </w:pPr>
      <w:r>
        <w:rPr>
          <w:rFonts w:ascii="Calibri" w:hAnsi="Calibri"/>
          <w:color w:val="12233F"/>
          <w:sz w:val="21"/>
        </w:rPr>
        <w:t>Acronyms</w:t>
      </w:r>
    </w:p>
    <w:p>
      <w:pPr>
        <w:pStyle w:val="ListNumber"/>
        <w:numPr>
          <w:ilvl w:val="0"/>
          <w:numId w:val="11"/>
        </w:numPr>
      </w:pPr>
      <w:r>
        <w:rPr>
          <w:rFonts w:ascii="Calibri" w:hAnsi="Calibri"/>
          <w:color w:val="12233F"/>
          <w:sz w:val="21"/>
        </w:rPr>
        <w:t>Glossary</w:t>
      </w:r>
    </w:p>
    <w:p>
      <w:pPr>
        <w:pStyle w:val="ListNumber"/>
        <w:numPr>
          <w:ilvl w:val="0"/>
          <w:numId w:val="11"/>
        </w:numPr>
      </w:pPr>
      <w:r>
        <w:rPr>
          <w:rFonts w:ascii="Calibri" w:hAnsi="Calibri"/>
          <w:color w:val="12233F"/>
          <w:sz w:val="21"/>
        </w:rPr>
        <w:t>References</w:t>
      </w:r>
    </w:p>
    <w:p>
      <w:pPr>
        <w:pStyle w:val="ListNumber"/>
        <w:numPr>
          <w:ilvl w:val="0"/>
          <w:numId w:val="11"/>
        </w:numPr>
      </w:pPr>
      <w:r>
        <w:rPr>
          <w:rFonts w:ascii="Calibri" w:hAnsi="Calibri"/>
          <w:color w:val="12233F"/>
          <w:sz w:val="21"/>
        </w:rPr>
        <w:t>Reproducibility package</w:t>
      </w:r>
    </w:p>
    <w:p>
      <w:pPr>
        <w:pStyle w:val="Heading1"/>
        <w:keepNext/>
      </w:pPr>
      <w:r>
        <w:t>1. Executive technical position</w:t>
      </w:r>
    </w:p>
    <w:p>
      <w:r>
        <w:rPr>
          <w:rFonts w:ascii="Calibri" w:hAnsi="Calibri"/>
          <w:color w:val="12233F"/>
          <w:sz w:val="21"/>
        </w:rPr>
        <w:t>I&amp;I is not one number. It is a set of water pathways that must be separated by source mechanism, time response, measurement evidence, ownership, hydraulic consequence, and remedy.</w:t>
      </w:r>
    </w:p>
    <w:p>
      <w:r>
        <w:rPr>
          <w:rFonts w:ascii="Calibri" w:hAnsi="Calibri"/>
          <w:color w:val="12233F"/>
          <w:sz w:val="21"/>
        </w:rPr>
        <w:t>The controlling analytical sequence is:</w:t>
      </w:r>
    </w:p>
    <w:p>
      <w:pPr>
        <w:pStyle w:val="CodeBlock"/>
        <w:shd w:fill="E9EEF3"/>
      </w:pPr>
      <w:r>
        <w:t>Declare boundary</w:t>
        <w:br/>
        <w:t xml:space="preserve">  -&gt; qualify assets and meters</w:t>
        <w:br/>
        <w:t xml:space="preserve">  -&gt; establish expected dry-weather flow</w:t>
        <w:br/>
        <w:t xml:space="preserve">  -&gt; identify accepted rainfall events</w:t>
        <w:br/>
        <w:t xml:space="preserve">  -&gt; calculate residual wet-weather response</w:t>
        <w:br/>
        <w:t xml:space="preserve">  -&gt; select and calibrate an applicable RDII method</w:t>
        <w:br/>
        <w:t xml:space="preserve">  -&gt; route the hydrograph through the collection system</w:t>
        <w:br/>
        <w:t xml:space="preserve">  -&gt; solve pump and storage consequences</w:t>
        <w:br/>
        <w:t xml:space="preserve">  -&gt; compare interventions</w:t>
        <w:br/>
        <w:t xml:space="preserve">  -&gt; verify post-rehabilitation system response</w:t>
      </w:r>
    </w:p>
    <w:p>
      <w:r>
        <w:rPr>
          <w:rFonts w:ascii="Calibri" w:hAnsi="Calibri"/>
          <w:color w:val="12233F"/>
          <w:sz w:val="21"/>
        </w:rPr>
        <w:t>The outcome must remain traceable in both directions. An executive finding must resolve to a calculation. A calculation must resolve to a formula version. A formula must resolve to its inputs, units, assumptions, source, tests, and reviewer state.</w:t>
      </w:r>
    </w:p>
    <w:p>
      <w:pPr>
        <w:keepNext/>
        <w:spacing w:before="140" w:after="40"/>
        <w:jc w:val="center"/>
      </w:pPr>
      <w:r>
        <w:drawing>
          <wp:inline xmlns:a="http://schemas.openxmlformats.org/drawingml/2006/main" xmlns:pic="http://schemas.openxmlformats.org/drawingml/2006/picture">
            <wp:extent cx="5806440" cy="3290316"/>
            <wp:docPr id="1" name="Picture 1" descr="One-basin calculation boundary"/>
            <wp:cNvGraphicFramePr>
              <a:graphicFrameLocks noChangeAspect="1"/>
            </wp:cNvGraphicFramePr>
            <a:graphic>
              <a:graphicData uri="http://schemas.openxmlformats.org/drawingml/2006/picture">
                <pic:pic>
                  <pic:nvPicPr>
                    <pic:cNvPr id="0" name="01-basin-calculation-boundary.png"/>
                    <pic:cNvPicPr/>
                  </pic:nvPicPr>
                  <pic:blipFill>
                    <a:blip r:embed="rId11"/>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One-basin calculation boundary</w:t>
      </w:r>
    </w:p>
    <w:p>
      <w:pPr>
        <w:pStyle w:val="Heading2"/>
        <w:keepNext/>
      </w:pPr>
      <w:r>
        <w:t>1.1 The five claims that must never be conflated</w:t>
      </w:r>
    </w:p>
    <w:p>
      <w:pPr>
        <w:pStyle w:val="ListNumber"/>
        <w:numPr>
          <w:ilvl w:val="0"/>
          <w:numId w:val="12"/>
        </w:numPr>
      </w:pPr>
      <w:r>
        <w:rPr>
          <w:rFonts w:ascii="Calibri" w:hAnsi="Calibri"/>
          <w:b/>
          <w:color w:val="12233F"/>
          <w:sz w:val="21"/>
        </w:rPr>
        <w:t>Measurement claim:</w:t>
      </w:r>
      <w:r>
        <w:rPr>
          <w:rFonts w:ascii="Calibri" w:hAnsi="Calibri"/>
          <w:color w:val="12233F"/>
          <w:sz w:val="21"/>
        </w:rPr>
        <w:t xml:space="preserve"> a meter or instrument recorded a value.</w:t>
      </w:r>
    </w:p>
    <w:p>
      <w:pPr>
        <w:pStyle w:val="ListNumber"/>
        <w:numPr>
          <w:ilvl w:val="0"/>
          <w:numId w:val="12"/>
        </w:numPr>
      </w:pPr>
      <w:r>
        <w:rPr>
          <w:rFonts w:ascii="Calibri" w:hAnsi="Calibri"/>
          <w:b/>
          <w:color w:val="12233F"/>
          <w:sz w:val="21"/>
        </w:rPr>
        <w:t>Calculated claim:</w:t>
      </w:r>
      <w:r>
        <w:rPr>
          <w:rFonts w:ascii="Calibri" w:hAnsi="Calibri"/>
          <w:color w:val="12233F"/>
          <w:sz w:val="21"/>
        </w:rPr>
        <w:t xml:space="preserve"> accepted inputs and a named formula produced a value.</w:t>
      </w:r>
    </w:p>
    <w:p>
      <w:pPr>
        <w:pStyle w:val="ListNumber"/>
        <w:numPr>
          <w:ilvl w:val="0"/>
          <w:numId w:val="12"/>
        </w:numPr>
      </w:pPr>
      <w:r>
        <w:rPr>
          <w:rFonts w:ascii="Calibri" w:hAnsi="Calibri"/>
          <w:b/>
          <w:color w:val="12233F"/>
          <w:sz w:val="21"/>
        </w:rPr>
        <w:t>Modeled claim:</w:t>
      </w:r>
      <w:r>
        <w:rPr>
          <w:rFonts w:ascii="Calibri" w:hAnsi="Calibri"/>
          <w:color w:val="12233F"/>
          <w:sz w:val="21"/>
        </w:rPr>
        <w:t xml:space="preserve"> a calibrated or assumed model produced a value.</w:t>
      </w:r>
    </w:p>
    <w:p>
      <w:pPr>
        <w:pStyle w:val="ListNumber"/>
        <w:numPr>
          <w:ilvl w:val="0"/>
          <w:numId w:val="12"/>
        </w:numPr>
      </w:pPr>
      <w:r>
        <w:rPr>
          <w:rFonts w:ascii="Calibri" w:hAnsi="Calibri"/>
          <w:b/>
          <w:color w:val="12233F"/>
          <w:sz w:val="21"/>
        </w:rPr>
        <w:t>Diagnostic claim:</w:t>
      </w:r>
      <w:r>
        <w:rPr>
          <w:rFonts w:ascii="Calibri" w:hAnsi="Calibri"/>
          <w:color w:val="12233F"/>
          <w:sz w:val="21"/>
        </w:rPr>
        <w:t xml:space="preserve"> field evidence supports a likely entry pathway or defect.</w:t>
      </w:r>
    </w:p>
    <w:p>
      <w:pPr>
        <w:pStyle w:val="ListNumber"/>
        <w:numPr>
          <w:ilvl w:val="0"/>
          <w:numId w:val="12"/>
        </w:numPr>
      </w:pPr>
      <w:r>
        <w:rPr>
          <w:rFonts w:ascii="Calibri" w:hAnsi="Calibri"/>
          <w:b/>
          <w:color w:val="12233F"/>
          <w:sz w:val="21"/>
        </w:rPr>
        <w:t>Compliance claim:</w:t>
      </w:r>
      <w:r>
        <w:rPr>
          <w:rFonts w:ascii="Calibri" w:hAnsi="Calibri"/>
          <w:color w:val="12233F"/>
          <w:sz w:val="21"/>
        </w:rPr>
        <w:t xml:space="preserve"> the applicable legal instrument and facts establish a regulatory result.</w:t>
      </w:r>
    </w:p>
    <w:p>
      <w:r>
        <w:rPr>
          <w:rFonts w:ascii="Calibri" w:hAnsi="Calibri"/>
          <w:color w:val="12233F"/>
          <w:sz w:val="21"/>
        </w:rPr>
        <w:t>A high RDII volume is a calculated or modeled hydraulic response. It is not automatically a diagnostic claim about a roof leader, cracked main, lateral, or manhole. A local threshold is not a national standard. A model-predicted reduction is not measured removal.</w:t>
      </w:r>
    </w:p>
    <w:p>
      <w:pPr>
        <w:pStyle w:val="Heading2"/>
        <w:keepNext/>
      </w:pPr>
      <w:r>
        <w:t>1.2 Universal engine, method-specific computation</w:t>
      </w:r>
    </w:p>
    <w:p>
      <w:r>
        <w:rPr>
          <w:rFonts w:ascii="Calibri" w:hAnsi="Calibri"/>
          <w:color w:val="12233F"/>
          <w:sz w:val="21"/>
        </w:rPr>
        <w:t>The engine must support multiple methods under one contract:</w:t>
      </w:r>
    </w:p>
    <w:p>
      <w:pPr>
        <w:pStyle w:val="ListBullet"/>
      </w:pPr>
      <w:r>
        <w:rPr>
          <w:rFonts w:ascii="Calibri" w:hAnsi="Calibri"/>
          <w:color w:val="12233F"/>
          <w:sz w:val="21"/>
        </w:rPr>
        <w:t>dry-weather decomposition;</w:t>
      </w:r>
    </w:p>
    <w:p>
      <w:pPr>
        <w:pStyle w:val="ListBullet"/>
      </w:pPr>
      <w:r>
        <w:rPr>
          <w:rFonts w:ascii="Calibri" w:hAnsi="Calibri"/>
          <w:color w:val="12233F"/>
          <w:sz w:val="21"/>
        </w:rPr>
        <w:t>minimum-night-flow screening;</w:t>
      </w:r>
    </w:p>
    <w:p>
      <w:pPr>
        <w:pStyle w:val="ListBullet"/>
      </w:pPr>
      <w:r>
        <w:rPr>
          <w:rFonts w:ascii="Calibri" w:hAnsi="Calibri"/>
          <w:color w:val="12233F"/>
          <w:sz w:val="21"/>
        </w:rPr>
        <w:t>water-use-supported base wastewater estimation;</w:t>
      </w:r>
    </w:p>
    <w:p>
      <w:pPr>
        <w:pStyle w:val="ListBullet"/>
      </w:pPr>
      <w:r>
        <w:rPr>
          <w:rFonts w:ascii="Calibri" w:hAnsi="Calibri"/>
          <w:color w:val="12233F"/>
          <w:sz w:val="21"/>
        </w:rPr>
        <w:t>event residual integration;</w:t>
      </w:r>
    </w:p>
    <w:p>
      <w:pPr>
        <w:pStyle w:val="ListBullet"/>
      </w:pPr>
      <w:r>
        <w:rPr>
          <w:rFonts w:ascii="Calibri" w:hAnsi="Calibri"/>
          <w:color w:val="12233F"/>
          <w:sz w:val="21"/>
        </w:rPr>
        <w:t>rainfall capture fraction;</w:t>
      </w:r>
    </w:p>
    <w:p>
      <w:pPr>
        <w:pStyle w:val="ListBullet"/>
      </w:pPr>
      <w:r>
        <w:rPr>
          <w:rFonts w:ascii="Calibri" w:hAnsi="Calibri"/>
          <w:color w:val="12233F"/>
          <w:sz w:val="21"/>
        </w:rPr>
        <w:t>RTK unit hydrographs;</w:t>
      </w:r>
    </w:p>
    <w:p>
      <w:pPr>
        <w:pStyle w:val="ListBullet"/>
      </w:pPr>
      <w:r>
        <w:rPr>
          <w:rFonts w:ascii="Calibri" w:hAnsi="Calibri"/>
          <w:color w:val="12233F"/>
          <w:sz w:val="21"/>
        </w:rPr>
        <w:t>regression and statistical event models;</w:t>
      </w:r>
    </w:p>
    <w:p>
      <w:pPr>
        <w:pStyle w:val="ListBullet"/>
      </w:pPr>
      <w:r>
        <w:rPr>
          <w:rFonts w:ascii="Calibri" w:hAnsi="Calibri"/>
          <w:color w:val="12233F"/>
          <w:sz w:val="21"/>
        </w:rPr>
        <w:t>continuous simulation;</w:t>
      </w:r>
    </w:p>
    <w:p>
      <w:pPr>
        <w:pStyle w:val="ListBullet"/>
      </w:pPr>
      <w:r>
        <w:rPr>
          <w:rFonts w:ascii="Calibri" w:hAnsi="Calibri"/>
          <w:color w:val="12233F"/>
          <w:sz w:val="21"/>
        </w:rPr>
        <w:t>normalized inventory metrics;</w:t>
      </w:r>
    </w:p>
    <w:p>
      <w:pPr>
        <w:pStyle w:val="ListBullet"/>
      </w:pPr>
      <w:r>
        <w:rPr>
          <w:rFonts w:ascii="Calibri" w:hAnsi="Calibri"/>
          <w:color w:val="12233F"/>
          <w:sz w:val="21"/>
        </w:rPr>
        <w:t>hydraulic routing;</w:t>
      </w:r>
    </w:p>
    <w:p>
      <w:pPr>
        <w:pStyle w:val="ListBullet"/>
      </w:pPr>
      <w:r>
        <w:rPr>
          <w:rFonts w:ascii="Calibri" w:hAnsi="Calibri"/>
          <w:color w:val="12233F"/>
          <w:sz w:val="21"/>
        </w:rPr>
        <w:t>pump and wet-well analysis; and</w:t>
      </w:r>
    </w:p>
    <w:p>
      <w:pPr>
        <w:pStyle w:val="ListBullet"/>
      </w:pPr>
      <w:r>
        <w:rPr>
          <w:rFonts w:ascii="Calibri" w:hAnsi="Calibri"/>
          <w:color w:val="12233F"/>
          <w:sz w:val="21"/>
        </w:rPr>
        <w:t>pre-rehabilitation and post-rehabilitation verification.</w:t>
      </w:r>
    </w:p>
    <w:p>
      <w:r>
        <w:rPr>
          <w:rFonts w:ascii="Calibri" w:hAnsi="Calibri"/>
          <w:color w:val="12233F"/>
          <w:sz w:val="21"/>
        </w:rPr>
        <w:t>The method selector may activate a method only when its required data and applicability checks pass. An RTK model cannot run as a calibrated prediction merely because three triangles can be drawn.</w:t>
      </w:r>
    </w:p>
    <w:p>
      <w:pPr>
        <w:pStyle w:val="Heading1"/>
        <w:keepNext/>
      </w:pPr>
      <w:r>
        <w:t>2. Terminology and water pathways</w:t>
      </w:r>
    </w:p>
    <w:p>
      <w:pPr>
        <w:pStyle w:val="Heading2"/>
        <w:keepNext/>
      </w:pPr>
      <w:r>
        <w:t>2.1 Base wastewater flow</w:t>
      </w:r>
    </w:p>
    <w:p>
      <w:r>
        <w:rPr>
          <w:rFonts w:ascii="Calibri" w:hAnsi="Calibri"/>
          <w:color w:val="12233F"/>
          <w:sz w:val="21"/>
        </w:rPr>
        <w:t>Base wastewater flow, abbreviated BWF, is sanitary and process wastewater expected from connected users before groundwater infiltration and rainfall-derived response are added. Depending on the study, it may include residential, commercial, industrial, institutional, and authorized hauled or transferred flow. The boundary must say whether each source is included.</w:t>
      </w:r>
    </w:p>
    <w:p>
      <w:pPr>
        <w:pStyle w:val="Heading2"/>
        <w:keepNext/>
      </w:pPr>
      <w:r>
        <w:t>2.2 Groundwater infiltration</w:t>
      </w:r>
    </w:p>
    <w:p>
      <w:r>
        <w:rPr>
          <w:rFonts w:ascii="Calibri" w:hAnsi="Calibri"/>
          <w:color w:val="12233F"/>
          <w:sz w:val="21"/>
        </w:rPr>
        <w:t>Groundwater infiltration, abbreviated GWI, is groundwater entering through defects, joints, cracks, laterals, manholes, abandoned connections, or other openings. It can vary seasonally and with tides or canals where a hydraulic connection is demonstrated. A dry-weather estimate does not by itself locate the entry point.</w:t>
      </w:r>
    </w:p>
    <w:p>
      <w:pPr>
        <w:pStyle w:val="Heading2"/>
        <w:keepNext/>
      </w:pPr>
      <w:r>
        <w:t>2.3 Inflow</w:t>
      </w:r>
    </w:p>
    <w:p>
      <w:r>
        <w:rPr>
          <w:rFonts w:ascii="Calibri" w:hAnsi="Calibri"/>
          <w:color w:val="12233F"/>
          <w:sz w:val="21"/>
        </w:rPr>
        <w:t>Inflow is water discharged more directly into the sanitary system from sources such as roof leaders, yard drains, area drains, sump pumps, storm drain cross-connections, uncapped cleanouts, open or submerged manholes, and other rapid pathways. Its response may be immediate, but timing alone is not source confirmation.</w:t>
      </w:r>
    </w:p>
    <w:p>
      <w:pPr>
        <w:pStyle w:val="Heading2"/>
        <w:keepNext/>
      </w:pPr>
      <w:r>
        <w:t>2.4 Rainfall-derived infiltration and inflow</w:t>
      </w:r>
    </w:p>
    <w:p>
      <w:r>
        <w:rPr>
          <w:rFonts w:ascii="Calibri" w:hAnsi="Calibri"/>
          <w:color w:val="12233F"/>
          <w:sz w:val="21"/>
        </w:rPr>
        <w:t>Rainfall-derived infiltration and inflow, abbreviated RDII, is the portion of sanitary flow attributed to rainfall after expected dry-weather flow is removed. It combines rapid, intermediate, and delayed responses. The abbreviation describes a relationship to rainfall, not a field-confirmed defect class.</w:t>
      </w:r>
    </w:p>
    <w:p>
      <w:pPr>
        <w:pStyle w:val="Heading2"/>
        <w:keepNext/>
      </w:pPr>
      <w:r>
        <w:t>2.5 Dry-weather and wet-weather flow</w:t>
      </w:r>
    </w:p>
    <w:p>
      <w:r>
        <w:rPr>
          <w:rFonts w:ascii="Calibri" w:hAnsi="Calibri"/>
          <w:color w:val="12233F"/>
          <w:sz w:val="21"/>
        </w:rPr>
        <w:t>For a simple decomposition:</w:t>
      </w:r>
    </w:p>
    <w:p>
      <w:pPr>
        <w:pStyle w:val="EquationBlock"/>
        <w:jc w:val="center"/>
        <w:shd w:fill="F1F5F7"/>
      </w:pPr>
      <w:r>
        <w:t>Q_DWF(t)=Q_BWF(t)+Q_GWI(t)</w:t>
      </w:r>
    </w:p>
    <w:p>
      <w:pPr>
        <w:pStyle w:val="EquationBlock"/>
        <w:jc w:val="center"/>
        <w:shd w:fill="F1F5F7"/>
      </w:pPr>
      <w:r>
        <w:t>Q_observed(t)=Q_(DWF,expected)(t)+Q_RDII(t)</w:t>
      </w:r>
    </w:p>
    <w:p>
      <w:r>
        <w:rPr>
          <w:rFonts w:ascii="Calibri" w:hAnsi="Calibri"/>
          <w:color w:val="12233F"/>
          <w:sz w:val="21"/>
        </w:rPr>
        <w:t>Dry weather is not automatically zero infiltration. Wet weather is not automatically all I&amp;I. Wastewater generation continues through an event.</w:t>
      </w:r>
    </w:p>
    <w:p>
      <w:pPr>
        <w:pStyle w:val="Heading2"/>
        <w:keepNext/>
      </w:pPr>
      <w:r>
        <w:t>2.6 Exfiltration</w:t>
      </w:r>
    </w:p>
    <w:p>
      <w:r>
        <w:rPr>
          <w:rFonts w:ascii="Calibri" w:hAnsi="Calibri"/>
          <w:color w:val="12233F"/>
          <w:sz w:val="21"/>
        </w:rPr>
        <w:t>Exfiltration is wastewater leaving the sewer through defects. It is hydraulically and environmentally important but cannot be calculated by simply negating an I&amp;I estimate. Direction depends on the pressure and groundwater relationship at the defect.</w:t>
      </w:r>
    </w:p>
    <w:p>
      <w:pPr>
        <w:pStyle w:val="Heading2"/>
        <w:keepNext/>
      </w:pPr>
      <w:r>
        <w:t>2.7 Physical components and entry paths</w:t>
      </w:r>
    </w:p>
    <w:tbl>
      <w:tblPr>
        <w:tblStyle w:val="TableGrid"/>
        <w:tblW w:type="dxa" w:w="9360"/>
        <w:tblLayout w:type="fixed"/>
        <w:tblLook w:firstColumn="1" w:firstRow="1" w:lastColumn="0" w:lastRow="0" w:noHBand="0" w:noVBand="1" w:val="04A0"/>
        <w:tblInd w:w="120" w:type="dxa"/>
      </w:tblPr>
      <w:tblGrid>
        <w:gridCol w:w="2697"/>
        <w:gridCol w:w="3332"/>
        <w:gridCol w:w="3331"/>
      </w:tblGrid>
      <w:tr>
        <w:trPr>
          <w:tblHeader w:val="true"/>
        </w:trPr>
        <w:tc>
          <w:tcPr>
            <w:tcW w:type="dxa" w:w="2697"/>
            <w:shd w:fill="176B87"/>
            <w:tcMar>
              <w:top w:w="80" w:type="dxa"/>
              <w:start w:w="120" w:type="dxa"/>
              <w:bottom w:w="80" w:type="dxa"/>
              <w:end w:w="120" w:type="dxa"/>
            </w:tcMar>
            <w:vAlign w:val="center"/>
          </w:tcPr>
          <w:p>
            <w:r>
              <w:rPr>
                <w:b/>
                <w:color w:val="FFFFFF"/>
              </w:rPr>
            </w:r>
            <w:r>
              <w:rPr>
                <w:rFonts w:ascii="Calibri" w:hAnsi="Calibri"/>
                <w:b/>
                <w:color w:val="FFFFFF"/>
                <w:sz w:val="18"/>
              </w:rPr>
              <w:t>Component</w:t>
            </w:r>
          </w:p>
        </w:tc>
        <w:tc>
          <w:tcPr>
            <w:tcW w:type="dxa" w:w="3332"/>
            <w:shd w:fill="176B87"/>
            <w:tcMar>
              <w:top w:w="80" w:type="dxa"/>
              <w:start w:w="120" w:type="dxa"/>
              <w:bottom w:w="80" w:type="dxa"/>
              <w:end w:w="120" w:type="dxa"/>
            </w:tcMar>
            <w:vAlign w:val="center"/>
          </w:tcPr>
          <w:p>
            <w:r>
              <w:rPr>
                <w:b/>
                <w:color w:val="FFFFFF"/>
              </w:rPr>
            </w:r>
            <w:r>
              <w:rPr>
                <w:rFonts w:ascii="Calibri" w:hAnsi="Calibri"/>
                <w:b/>
                <w:color w:val="FFFFFF"/>
                <w:sz w:val="18"/>
              </w:rPr>
              <w:t>Potential unwanted-water pathways</w:t>
            </w:r>
          </w:p>
        </w:tc>
        <w:tc>
          <w:tcPr>
            <w:tcW w:type="dxa" w:w="3331"/>
            <w:shd w:fill="176B87"/>
            <w:tcMar>
              <w:top w:w="80" w:type="dxa"/>
              <w:start w:w="120" w:type="dxa"/>
              <w:bottom w:w="80" w:type="dxa"/>
              <w:end w:w="120" w:type="dxa"/>
            </w:tcMar>
            <w:vAlign w:val="center"/>
          </w:tcPr>
          <w:p>
            <w:r>
              <w:rPr>
                <w:b/>
                <w:color w:val="FFFFFF"/>
              </w:rPr>
            </w:r>
            <w:r>
              <w:rPr>
                <w:rFonts w:ascii="Calibri" w:hAnsi="Calibri"/>
                <w:b/>
                <w:color w:val="FFFFFF"/>
                <w:sz w:val="18"/>
              </w:rPr>
              <w:t>Evidence commonly needed</w:t>
            </w:r>
          </w:p>
        </w:tc>
      </w:tr>
      <w:tr>
        <w:tc>
          <w:tcPr>
            <w:tcW w:type="dxa" w:w="2697"/>
            <w:tcMar>
              <w:top w:w="80" w:type="dxa"/>
              <w:start w:w="120" w:type="dxa"/>
              <w:bottom w:w="80" w:type="dxa"/>
              <w:end w:w="120" w:type="dxa"/>
            </w:tcMar>
            <w:vAlign w:val="center"/>
          </w:tcPr>
          <w:p>
            <w:pPr>
              <w:jc w:val="left"/>
            </w:pPr>
            <w:r>
              <w:rPr>
                <w:rFonts w:ascii="Calibri" w:hAnsi="Calibri"/>
                <w:color w:val="12233F"/>
                <w:sz w:val="17"/>
              </w:rPr>
              <w:t>Building sewer and private lateral</w:t>
            </w:r>
          </w:p>
        </w:tc>
        <w:tc>
          <w:tcPr>
            <w:tcW w:type="dxa" w:w="3332"/>
            <w:tcMar>
              <w:top w:w="80" w:type="dxa"/>
              <w:start w:w="120" w:type="dxa"/>
              <w:bottom w:w="80" w:type="dxa"/>
              <w:end w:w="120" w:type="dxa"/>
            </w:tcMar>
            <w:vAlign w:val="center"/>
          </w:tcPr>
          <w:p>
            <w:pPr>
              <w:jc w:val="left"/>
            </w:pPr>
            <w:r>
              <w:rPr>
                <w:rFonts w:ascii="Calibri" w:hAnsi="Calibri"/>
                <w:color w:val="12233F"/>
                <w:sz w:val="17"/>
              </w:rPr>
              <w:t>cracked pipe, defective joint, sump pump, roof or foundation drain</w:t>
            </w:r>
          </w:p>
        </w:tc>
        <w:tc>
          <w:tcPr>
            <w:tcW w:type="dxa" w:w="3331"/>
            <w:tcMar>
              <w:top w:w="80" w:type="dxa"/>
              <w:start w:w="120" w:type="dxa"/>
              <w:bottom w:w="80" w:type="dxa"/>
              <w:end w:w="120" w:type="dxa"/>
            </w:tcMar>
            <w:vAlign w:val="center"/>
          </w:tcPr>
          <w:p>
            <w:pPr>
              <w:jc w:val="left"/>
            </w:pPr>
            <w:r>
              <w:rPr>
                <w:rFonts w:ascii="Calibri" w:hAnsi="Calibri"/>
                <w:color w:val="12233F"/>
                <w:sz w:val="17"/>
              </w:rPr>
              <w:t>private-side CCTV, dye, smoke, plumbing inspection</w:t>
            </w:r>
          </w:p>
        </w:tc>
      </w:tr>
      <w:tr>
        <w:tc>
          <w:tcPr>
            <w:tcW w:type="dxa" w:w="2697"/>
            <w:shd w:fill="F4F7F9"/>
            <w:tcMar>
              <w:top w:w="80" w:type="dxa"/>
              <w:start w:w="120" w:type="dxa"/>
              <w:bottom w:w="80" w:type="dxa"/>
              <w:end w:w="120" w:type="dxa"/>
            </w:tcMar>
            <w:vAlign w:val="center"/>
          </w:tcPr>
          <w:p>
            <w:pPr>
              <w:jc w:val="left"/>
            </w:pPr>
            <w:r>
              <w:rPr>
                <w:rFonts w:ascii="Calibri" w:hAnsi="Calibri"/>
                <w:color w:val="12233F"/>
                <w:sz w:val="17"/>
              </w:rPr>
              <w:t>Public lateral</w:t>
            </w:r>
          </w:p>
        </w:tc>
        <w:tc>
          <w:tcPr>
            <w:tcW w:type="dxa" w:w="3332"/>
            <w:shd w:fill="F4F7F9"/>
            <w:tcMar>
              <w:top w:w="80" w:type="dxa"/>
              <w:start w:w="120" w:type="dxa"/>
              <w:bottom w:w="80" w:type="dxa"/>
              <w:end w:w="120" w:type="dxa"/>
            </w:tcMar>
            <w:vAlign w:val="center"/>
          </w:tcPr>
          <w:p>
            <w:pPr>
              <w:jc w:val="left"/>
            </w:pPr>
            <w:r>
              <w:rPr>
                <w:rFonts w:ascii="Calibri" w:hAnsi="Calibri"/>
                <w:color w:val="12233F"/>
                <w:sz w:val="17"/>
              </w:rPr>
              <w:t>joint leakage, roots, fracture, defective cleanout</w:t>
            </w:r>
          </w:p>
        </w:tc>
        <w:tc>
          <w:tcPr>
            <w:tcW w:type="dxa" w:w="3331"/>
            <w:shd w:fill="F4F7F9"/>
            <w:tcMar>
              <w:top w:w="80" w:type="dxa"/>
              <w:start w:w="120" w:type="dxa"/>
              <w:bottom w:w="80" w:type="dxa"/>
              <w:end w:w="120" w:type="dxa"/>
            </w:tcMar>
            <w:vAlign w:val="center"/>
          </w:tcPr>
          <w:p>
            <w:pPr>
              <w:jc w:val="left"/>
            </w:pPr>
            <w:r>
              <w:rPr>
                <w:rFonts w:ascii="Calibri" w:hAnsi="Calibri"/>
                <w:color w:val="12233F"/>
                <w:sz w:val="17"/>
              </w:rPr>
              <w:t>CCTV, pressure or vacuum test, work history</w:t>
            </w:r>
          </w:p>
        </w:tc>
      </w:tr>
      <w:tr>
        <w:tc>
          <w:tcPr>
            <w:tcW w:type="dxa" w:w="2697"/>
            <w:tcMar>
              <w:top w:w="80" w:type="dxa"/>
              <w:start w:w="120" w:type="dxa"/>
              <w:bottom w:w="80" w:type="dxa"/>
              <w:end w:w="120" w:type="dxa"/>
            </w:tcMar>
            <w:vAlign w:val="center"/>
          </w:tcPr>
          <w:p>
            <w:pPr>
              <w:jc w:val="left"/>
            </w:pPr>
            <w:r>
              <w:rPr>
                <w:rFonts w:ascii="Calibri" w:hAnsi="Calibri"/>
                <w:color w:val="12233F"/>
                <w:sz w:val="17"/>
              </w:rPr>
              <w:t>Gravity main</w:t>
            </w:r>
          </w:p>
        </w:tc>
        <w:tc>
          <w:tcPr>
            <w:tcW w:type="dxa" w:w="3332"/>
            <w:tcMar>
              <w:top w:w="80" w:type="dxa"/>
              <w:start w:w="120" w:type="dxa"/>
              <w:bottom w:w="80" w:type="dxa"/>
              <w:end w:w="120" w:type="dxa"/>
            </w:tcMar>
            <w:vAlign w:val="center"/>
          </w:tcPr>
          <w:p>
            <w:pPr>
              <w:jc w:val="left"/>
            </w:pPr>
            <w:r>
              <w:rPr>
                <w:rFonts w:ascii="Calibri" w:hAnsi="Calibri"/>
                <w:color w:val="12233F"/>
                <w:sz w:val="17"/>
              </w:rPr>
              <w:t>cracks, joints, fractures, abandoned connections</w:t>
            </w:r>
          </w:p>
        </w:tc>
        <w:tc>
          <w:tcPr>
            <w:tcW w:type="dxa" w:w="3331"/>
            <w:tcMar>
              <w:top w:w="80" w:type="dxa"/>
              <w:start w:w="120" w:type="dxa"/>
              <w:bottom w:w="80" w:type="dxa"/>
              <w:end w:w="120" w:type="dxa"/>
            </w:tcMar>
            <w:vAlign w:val="center"/>
          </w:tcPr>
          <w:p>
            <w:pPr>
              <w:jc w:val="left"/>
            </w:pPr>
            <w:r>
              <w:rPr>
                <w:rFonts w:ascii="Calibri" w:hAnsi="Calibri"/>
                <w:color w:val="12233F"/>
                <w:sz w:val="17"/>
              </w:rPr>
              <w:t>CCTV, sonar where surcharged, flow isolation</w:t>
            </w:r>
          </w:p>
        </w:tc>
      </w:tr>
      <w:tr>
        <w:tc>
          <w:tcPr>
            <w:tcW w:type="dxa" w:w="2697"/>
            <w:shd w:fill="F4F7F9"/>
            <w:tcMar>
              <w:top w:w="80" w:type="dxa"/>
              <w:start w:w="120" w:type="dxa"/>
              <w:bottom w:w="80" w:type="dxa"/>
              <w:end w:w="120" w:type="dxa"/>
            </w:tcMar>
            <w:vAlign w:val="center"/>
          </w:tcPr>
          <w:p>
            <w:pPr>
              <w:jc w:val="left"/>
            </w:pPr>
            <w:r>
              <w:rPr>
                <w:rFonts w:ascii="Calibri" w:hAnsi="Calibri"/>
                <w:color w:val="12233F"/>
                <w:sz w:val="17"/>
              </w:rPr>
              <w:t>Manhole</w:t>
            </w:r>
          </w:p>
        </w:tc>
        <w:tc>
          <w:tcPr>
            <w:tcW w:type="dxa" w:w="3332"/>
            <w:shd w:fill="F4F7F9"/>
            <w:tcMar>
              <w:top w:w="80" w:type="dxa"/>
              <w:start w:w="120" w:type="dxa"/>
              <w:bottom w:w="80" w:type="dxa"/>
              <w:end w:w="120" w:type="dxa"/>
            </w:tcMar>
            <w:vAlign w:val="center"/>
          </w:tcPr>
          <w:p>
            <w:pPr>
              <w:jc w:val="left"/>
            </w:pPr>
            <w:r>
              <w:rPr>
                <w:rFonts w:ascii="Calibri" w:hAnsi="Calibri"/>
                <w:color w:val="12233F"/>
                <w:sz w:val="17"/>
              </w:rPr>
              <w:t>lid holes, submerged cover, frame seal, chimney, wall, bench, pipe penetration</w:t>
            </w:r>
          </w:p>
        </w:tc>
        <w:tc>
          <w:tcPr>
            <w:tcW w:type="dxa" w:w="3331"/>
            <w:shd w:fill="F4F7F9"/>
            <w:tcMar>
              <w:top w:w="80" w:type="dxa"/>
              <w:start w:w="120" w:type="dxa"/>
              <w:bottom w:w="80" w:type="dxa"/>
              <w:end w:w="120" w:type="dxa"/>
            </w:tcMar>
            <w:vAlign w:val="center"/>
          </w:tcPr>
          <w:p>
            <w:pPr>
              <w:jc w:val="left"/>
            </w:pPr>
            <w:r>
              <w:rPr>
                <w:rFonts w:ascii="Calibri" w:hAnsi="Calibri"/>
                <w:color w:val="12233F"/>
                <w:sz w:val="17"/>
              </w:rPr>
              <w:t>rainfall inspection, level evidence, smoke, dye</w:t>
            </w:r>
          </w:p>
        </w:tc>
      </w:tr>
      <w:tr>
        <w:tc>
          <w:tcPr>
            <w:tcW w:type="dxa" w:w="2697"/>
            <w:tcMar>
              <w:top w:w="80" w:type="dxa"/>
              <w:start w:w="120" w:type="dxa"/>
              <w:bottom w:w="80" w:type="dxa"/>
              <w:end w:w="120" w:type="dxa"/>
            </w:tcMar>
            <w:vAlign w:val="center"/>
          </w:tcPr>
          <w:p>
            <w:pPr>
              <w:jc w:val="left"/>
            </w:pPr>
            <w:r>
              <w:rPr>
                <w:rFonts w:ascii="Calibri" w:hAnsi="Calibri"/>
                <w:color w:val="12233F"/>
                <w:sz w:val="17"/>
              </w:rPr>
              <w:t>Pump wet well</w:t>
            </w:r>
          </w:p>
        </w:tc>
        <w:tc>
          <w:tcPr>
            <w:tcW w:type="dxa" w:w="3332"/>
            <w:tcMar>
              <w:top w:w="80" w:type="dxa"/>
              <w:start w:w="120" w:type="dxa"/>
              <w:bottom w:w="80" w:type="dxa"/>
              <w:end w:w="120" w:type="dxa"/>
            </w:tcMar>
            <w:vAlign w:val="center"/>
          </w:tcPr>
          <w:p>
            <w:pPr>
              <w:jc w:val="left"/>
            </w:pPr>
            <w:r>
              <w:rPr>
                <w:rFonts w:ascii="Calibri" w:hAnsi="Calibri"/>
                <w:color w:val="12233F"/>
                <w:sz w:val="17"/>
              </w:rPr>
              <w:t>flooded hatch, wall penetration, drain, upstream surcharge</w:t>
            </w:r>
          </w:p>
        </w:tc>
        <w:tc>
          <w:tcPr>
            <w:tcW w:type="dxa" w:w="3331"/>
            <w:tcMar>
              <w:top w:w="80" w:type="dxa"/>
              <w:start w:w="120" w:type="dxa"/>
              <w:bottom w:w="80" w:type="dxa"/>
              <w:end w:w="120" w:type="dxa"/>
            </w:tcMar>
            <w:vAlign w:val="center"/>
          </w:tcPr>
          <w:p>
            <w:pPr>
              <w:jc w:val="left"/>
            </w:pPr>
            <w:r>
              <w:rPr>
                <w:rFonts w:ascii="Calibri" w:hAnsi="Calibri"/>
                <w:color w:val="12233F"/>
                <w:sz w:val="17"/>
              </w:rPr>
              <w:t>level, rainfall, site inspection, pump records</w:t>
            </w:r>
          </w:p>
        </w:tc>
      </w:tr>
      <w:tr>
        <w:tc>
          <w:tcPr>
            <w:tcW w:type="dxa" w:w="2697"/>
            <w:shd w:fill="F4F7F9"/>
            <w:tcMar>
              <w:top w:w="80" w:type="dxa"/>
              <w:start w:w="120" w:type="dxa"/>
              <w:bottom w:w="80" w:type="dxa"/>
              <w:end w:w="120" w:type="dxa"/>
            </w:tcMar>
            <w:vAlign w:val="center"/>
          </w:tcPr>
          <w:p>
            <w:pPr>
              <w:jc w:val="left"/>
            </w:pPr>
            <w:r>
              <w:rPr>
                <w:rFonts w:ascii="Calibri" w:hAnsi="Calibri"/>
                <w:color w:val="12233F"/>
                <w:sz w:val="17"/>
              </w:rPr>
              <w:t>Force main</w:t>
            </w:r>
          </w:p>
        </w:tc>
        <w:tc>
          <w:tcPr>
            <w:tcW w:type="dxa" w:w="3332"/>
            <w:shd w:fill="F4F7F9"/>
            <w:tcMar>
              <w:top w:w="80" w:type="dxa"/>
              <w:start w:w="120" w:type="dxa"/>
              <w:bottom w:w="80" w:type="dxa"/>
              <w:end w:w="120" w:type="dxa"/>
            </w:tcMar>
            <w:vAlign w:val="center"/>
          </w:tcPr>
          <w:p>
            <w:pPr>
              <w:jc w:val="left"/>
            </w:pPr>
            <w:r>
              <w:rPr>
                <w:rFonts w:ascii="Calibri" w:hAnsi="Calibri"/>
                <w:color w:val="12233F"/>
                <w:sz w:val="17"/>
              </w:rPr>
              <w:t>leakage or exfiltration, not normally an I&amp;I entry path while pressurized</w:t>
            </w:r>
          </w:p>
        </w:tc>
        <w:tc>
          <w:tcPr>
            <w:tcW w:type="dxa" w:w="3331"/>
            <w:shd w:fill="F4F7F9"/>
            <w:tcMar>
              <w:top w:w="80" w:type="dxa"/>
              <w:start w:w="120" w:type="dxa"/>
              <w:bottom w:w="80" w:type="dxa"/>
              <w:end w:w="120" w:type="dxa"/>
            </w:tcMar>
            <w:vAlign w:val="center"/>
          </w:tcPr>
          <w:p>
            <w:pPr>
              <w:jc w:val="left"/>
            </w:pPr>
            <w:r>
              <w:rPr>
                <w:rFonts w:ascii="Calibri" w:hAnsi="Calibri"/>
                <w:color w:val="12233F"/>
                <w:sz w:val="17"/>
              </w:rPr>
              <w:t>pressure, transient, leak survey</w:t>
            </w:r>
          </w:p>
        </w:tc>
      </w:tr>
      <w:tr>
        <w:tc>
          <w:tcPr>
            <w:tcW w:type="dxa" w:w="2697"/>
            <w:tcMar>
              <w:top w:w="80" w:type="dxa"/>
              <w:start w:w="120" w:type="dxa"/>
              <w:bottom w:w="80" w:type="dxa"/>
              <w:end w:w="120" w:type="dxa"/>
            </w:tcMar>
            <w:vAlign w:val="center"/>
          </w:tcPr>
          <w:p>
            <w:pPr>
              <w:jc w:val="left"/>
            </w:pPr>
            <w:r>
              <w:rPr>
                <w:rFonts w:ascii="Calibri" w:hAnsi="Calibri"/>
                <w:color w:val="12233F"/>
                <w:sz w:val="17"/>
              </w:rPr>
              <w:t>Satellite connection</w:t>
            </w:r>
          </w:p>
        </w:tc>
        <w:tc>
          <w:tcPr>
            <w:tcW w:type="dxa" w:w="3332"/>
            <w:tcMar>
              <w:top w:w="80" w:type="dxa"/>
              <w:start w:w="120" w:type="dxa"/>
              <w:bottom w:w="80" w:type="dxa"/>
              <w:end w:w="120" w:type="dxa"/>
            </w:tcMar>
            <w:vAlign w:val="center"/>
          </w:tcPr>
          <w:p>
            <w:pPr>
              <w:jc w:val="left"/>
            </w:pPr>
            <w:r>
              <w:rPr>
                <w:rFonts w:ascii="Calibri" w:hAnsi="Calibri"/>
                <w:color w:val="12233F"/>
                <w:sz w:val="17"/>
              </w:rPr>
              <w:t>imported flow and I&amp;I outside direct owner control</w:t>
            </w:r>
          </w:p>
        </w:tc>
        <w:tc>
          <w:tcPr>
            <w:tcW w:type="dxa" w:w="3331"/>
            <w:tcMar>
              <w:top w:w="80" w:type="dxa"/>
              <w:start w:w="120" w:type="dxa"/>
              <w:bottom w:w="80" w:type="dxa"/>
              <w:end w:w="120" w:type="dxa"/>
            </w:tcMar>
            <w:vAlign w:val="center"/>
          </w:tcPr>
          <w:p>
            <w:pPr>
              <w:jc w:val="left"/>
            </w:pPr>
            <w:r>
              <w:rPr>
                <w:rFonts w:ascii="Calibri" w:hAnsi="Calibri"/>
                <w:color w:val="12233F"/>
                <w:sz w:val="17"/>
              </w:rPr>
              <w:t>boundary metering and agreement records</w:t>
            </w:r>
          </w:p>
        </w:tc>
      </w:tr>
    </w:tbl>
    <w:p>
      <w:pPr>
        <w:spacing w:after="20"/>
      </w:pPr>
    </w:p>
    <w:p>
      <w:pPr>
        <w:pStyle w:val="Heading1"/>
        <w:keepNext/>
      </w:pPr>
      <w:r>
        <w:t>3. National architecture and Miami-Dade boundary</w:t>
      </w:r>
    </w:p>
    <w:p>
      <w:r>
        <w:rPr>
          <w:rFonts w:ascii="Calibri" w:hAnsi="Calibri"/>
          <w:color w:val="12233F"/>
          <w:sz w:val="21"/>
        </w:rPr>
        <w:t>The national layer uses current United States federal authority, EPA guidance, transparent engineering derivations, and jurisdiction-neutral data contracts. State and local requirements are loaded only through a separate rule pack.</w:t>
      </w:r>
    </w:p>
    <w:p>
      <w:r>
        <w:rPr>
          <w:rFonts w:ascii="Calibri" w:hAnsi="Calibri"/>
          <w:color w:val="12233F"/>
          <w:sz w:val="21"/>
        </w:rPr>
        <w:t>Miami-Dade is both a useful case and a jurisdiction with specific legal instruments. The 2013 federal consent decree includes pump-station operating-time definitions and criteria [R4]. A 2025 Florida Department of Environmental Protection consent order concerning the Central District Wastewater Treatment Plant includes a dry-weather basin I&amp;I rate of 4,600 gallons per day per inch-diameter-mile and requires a professional engineer to establish an accepted wet-weather maximum for the applicable system [R9]. Those provisions cannot be applied nationwide.</w:t>
      </w:r>
    </w:p>
    <w:p>
      <w:r>
        <w:rPr>
          <w:rFonts w:ascii="Calibri" w:hAnsi="Calibri"/>
          <w:color w:val="12233F"/>
          <w:sz w:val="21"/>
        </w:rPr>
        <w:t>The synthetic example uses coastal, high-groundwater context but no real Miami-Dade basin, meter, pump, force main, control setting, or cost. Its local NAPOT calculation is an implementation example, not a capacity certification.</w:t>
      </w:r>
    </w:p>
    <w:p>
      <w:pPr>
        <w:pStyle w:val="Heading1"/>
        <w:keepNext/>
      </w:pPr>
      <w:r>
        <w:t>4. Required data model</w:t>
      </w:r>
    </w:p>
    <w:p>
      <w:pPr>
        <w:pStyle w:val="Heading2"/>
        <w:keepNext/>
      </w:pPr>
      <w:r>
        <w:t>4.1 Project and boundary</w:t>
      </w:r>
    </w:p>
    <w:p>
      <w:r>
        <w:rPr>
          <w:rFonts w:ascii="Calibri" w:hAnsi="Calibri"/>
          <w:color w:val="12233F"/>
          <w:sz w:val="21"/>
        </w:rPr>
        <w:t>Required fields:</w:t>
      </w:r>
    </w:p>
    <w:p>
      <w:pPr>
        <w:pStyle w:val="ListBullet"/>
      </w:pPr>
      <w:r>
        <w:rPr>
          <w:rFonts w:ascii="Calibri" w:hAnsi="Calibri"/>
          <w:color w:val="12233F"/>
          <w:sz w:val="21"/>
        </w:rPr>
        <w:t>project identifier and version;</w:t>
      </w:r>
    </w:p>
    <w:p>
      <w:pPr>
        <w:pStyle w:val="ListBullet"/>
      </w:pPr>
      <w:r>
        <w:rPr>
          <w:rFonts w:ascii="Calibri" w:hAnsi="Calibri"/>
          <w:color w:val="12233F"/>
          <w:sz w:val="21"/>
        </w:rPr>
        <w:t>owner and accountable reviewer;</w:t>
      </w:r>
    </w:p>
    <w:p>
      <w:pPr>
        <w:pStyle w:val="ListBullet"/>
      </w:pPr>
      <w:r>
        <w:rPr>
          <w:rFonts w:ascii="Calibri" w:hAnsi="Calibri"/>
          <w:color w:val="12233F"/>
          <w:sz w:val="21"/>
        </w:rPr>
        <w:t>jurisdiction and activated rule pack;</w:t>
      </w:r>
    </w:p>
    <w:p>
      <w:pPr>
        <w:pStyle w:val="ListBullet"/>
      </w:pPr>
      <w:r>
        <w:rPr>
          <w:rFonts w:ascii="Calibri" w:hAnsi="Calibri"/>
          <w:color w:val="12233F"/>
          <w:sz w:val="21"/>
        </w:rPr>
        <w:t>upstream and downstream control-volume boundaries;</w:t>
      </w:r>
    </w:p>
    <w:p>
      <w:pPr>
        <w:pStyle w:val="ListBullet"/>
      </w:pPr>
      <w:r>
        <w:rPr>
          <w:rFonts w:ascii="Calibri" w:hAnsi="Calibri"/>
          <w:color w:val="12233F"/>
          <w:sz w:val="21"/>
        </w:rPr>
        <w:t>included public, private, and satellite assets;</w:t>
      </w:r>
    </w:p>
    <w:p>
      <w:pPr>
        <w:pStyle w:val="ListBullet"/>
      </w:pPr>
      <w:r>
        <w:rPr>
          <w:rFonts w:ascii="Calibri" w:hAnsi="Calibri"/>
          <w:color w:val="12233F"/>
          <w:sz w:val="21"/>
        </w:rPr>
        <w:t>time zone and daylight-saving policy;</w:t>
      </w:r>
    </w:p>
    <w:p>
      <w:pPr>
        <w:pStyle w:val="ListBullet"/>
      </w:pPr>
      <w:r>
        <w:rPr>
          <w:rFonts w:ascii="Calibri" w:hAnsi="Calibri"/>
          <w:color w:val="12233F"/>
          <w:sz w:val="21"/>
        </w:rPr>
        <w:t>coordinate reference system;</w:t>
      </w:r>
    </w:p>
    <w:p>
      <w:pPr>
        <w:pStyle w:val="ListBullet"/>
      </w:pPr>
      <w:r>
        <w:rPr>
          <w:rFonts w:ascii="Calibri" w:hAnsi="Calibri"/>
          <w:color w:val="12233F"/>
          <w:sz w:val="21"/>
        </w:rPr>
        <w:t>unit declarations;</w:t>
      </w:r>
    </w:p>
    <w:p>
      <w:pPr>
        <w:pStyle w:val="ListBullet"/>
      </w:pPr>
      <w:r>
        <w:rPr>
          <w:rFonts w:ascii="Calibri" w:hAnsi="Calibri"/>
          <w:color w:val="12233F"/>
          <w:sz w:val="21"/>
        </w:rPr>
        <w:t>analysis purpose;</w:t>
      </w:r>
    </w:p>
    <w:p>
      <w:pPr>
        <w:pStyle w:val="ListBullet"/>
      </w:pPr>
      <w:r>
        <w:rPr>
          <w:rFonts w:ascii="Calibri" w:hAnsi="Calibri"/>
          <w:color w:val="12233F"/>
          <w:sz w:val="21"/>
        </w:rPr>
        <w:t>decision class; and</w:t>
      </w:r>
    </w:p>
    <w:p>
      <w:pPr>
        <w:pStyle w:val="ListBullet"/>
      </w:pPr>
      <w:r>
        <w:rPr>
          <w:rFonts w:ascii="Calibri" w:hAnsi="Calibri"/>
          <w:color w:val="12233F"/>
          <w:sz w:val="21"/>
        </w:rPr>
        <w:t>prohibited uses.</w:t>
      </w:r>
    </w:p>
    <w:p>
      <w:pPr>
        <w:pStyle w:val="Heading2"/>
        <w:keepNext/>
      </w:pPr>
      <w:r>
        <w:t>4.2 Asset inventory</w:t>
      </w:r>
    </w:p>
    <w:p>
      <w:r>
        <w:rPr>
          <w:rFonts w:ascii="Calibri" w:hAnsi="Calibri"/>
          <w:color w:val="12233F"/>
          <w:sz w:val="21"/>
        </w:rPr>
        <w:t>Each pipe segment requires a stable identifier, active status, upstream and downstream nodes, length, diameter basis, material, installation year if known, ownership, and inclusion status. Duplicate geometry, abandoned pipe, missing diameter, and mixed diameter definitions must be resolved before normalized metrics run.</w:t>
      </w:r>
    </w:p>
    <w:p>
      <w:r>
        <w:rPr>
          <w:rFonts w:ascii="Calibri" w:hAnsi="Calibri"/>
          <w:color w:val="12233F"/>
          <w:sz w:val="21"/>
        </w:rPr>
        <w:t>For pump analysis, required data include:</w:t>
      </w:r>
    </w:p>
    <w:p>
      <w:pPr>
        <w:pStyle w:val="ListBullet"/>
      </w:pPr>
      <w:r>
        <w:rPr>
          <w:rFonts w:ascii="Calibri" w:hAnsi="Calibri"/>
          <w:color w:val="12233F"/>
          <w:sz w:val="21"/>
        </w:rPr>
        <w:t>manufacturer or accepted field pump curves;</w:t>
      </w:r>
    </w:p>
    <w:p>
      <w:pPr>
        <w:pStyle w:val="ListBullet"/>
      </w:pPr>
      <w:r>
        <w:rPr>
          <w:rFonts w:ascii="Calibri" w:hAnsi="Calibri"/>
          <w:color w:val="12233F"/>
          <w:sz w:val="21"/>
        </w:rPr>
        <w:t>speed and impeller diameter;</w:t>
      </w:r>
    </w:p>
    <w:p>
      <w:pPr>
        <w:pStyle w:val="ListBullet"/>
      </w:pPr>
      <w:r>
        <w:rPr>
          <w:rFonts w:ascii="Calibri" w:hAnsi="Calibri"/>
          <w:color w:val="12233F"/>
          <w:sz w:val="21"/>
        </w:rPr>
        <w:t>pump and motor efficiency curves;</w:t>
      </w:r>
    </w:p>
    <w:p>
      <w:pPr>
        <w:pStyle w:val="ListBullet"/>
      </w:pPr>
      <w:r>
        <w:rPr>
          <w:rFonts w:ascii="Calibri" w:hAnsi="Calibri"/>
          <w:color w:val="12233F"/>
          <w:sz w:val="21"/>
        </w:rPr>
        <w:t>identical or nonidentical pump status;</w:t>
      </w:r>
    </w:p>
    <w:p>
      <w:pPr>
        <w:pStyle w:val="ListBullet"/>
      </w:pPr>
      <w:r>
        <w:rPr>
          <w:rFonts w:ascii="Calibri" w:hAnsi="Calibri"/>
          <w:color w:val="12233F"/>
          <w:sz w:val="21"/>
        </w:rPr>
        <w:t>available combinations;</w:t>
      </w:r>
    </w:p>
    <w:p>
      <w:pPr>
        <w:pStyle w:val="ListBullet"/>
      </w:pPr>
      <w:r>
        <w:rPr>
          <w:rFonts w:ascii="Calibri" w:hAnsi="Calibri"/>
          <w:color w:val="12233F"/>
          <w:sz w:val="21"/>
        </w:rPr>
        <w:t>suction and discharge elevations;</w:t>
      </w:r>
    </w:p>
    <w:p>
      <w:pPr>
        <w:pStyle w:val="ListBullet"/>
      </w:pPr>
      <w:r>
        <w:rPr>
          <w:rFonts w:ascii="Calibri" w:hAnsi="Calibri"/>
          <w:color w:val="12233F"/>
          <w:sz w:val="21"/>
        </w:rPr>
        <w:t>minimum, nominal, and maximum wet-well levels;</w:t>
      </w:r>
    </w:p>
    <w:p>
      <w:pPr>
        <w:pStyle w:val="ListBullet"/>
      </w:pPr>
      <w:r>
        <w:rPr>
          <w:rFonts w:ascii="Calibri" w:hAnsi="Calibri"/>
          <w:color w:val="12233F"/>
          <w:sz w:val="21"/>
        </w:rPr>
        <w:t>downstream hydraulic grade range;</w:t>
      </w:r>
    </w:p>
    <w:p>
      <w:pPr>
        <w:pStyle w:val="ListBullet"/>
      </w:pPr>
      <w:r>
        <w:rPr>
          <w:rFonts w:ascii="Calibri" w:hAnsi="Calibri"/>
          <w:color w:val="12233F"/>
          <w:sz w:val="21"/>
        </w:rPr>
        <w:t>force-main internal diameter, length, roughness, fittings, and valves;</w:t>
      </w:r>
    </w:p>
    <w:p>
      <w:pPr>
        <w:pStyle w:val="ListBullet"/>
      </w:pPr>
      <w:r>
        <w:rPr>
          <w:rFonts w:ascii="Calibri" w:hAnsi="Calibri"/>
          <w:color w:val="12233F"/>
          <w:sz w:val="21"/>
        </w:rPr>
        <w:t>wet-well level-volume relationship;</w:t>
      </w:r>
    </w:p>
    <w:p>
      <w:pPr>
        <w:pStyle w:val="ListBullet"/>
      </w:pPr>
      <w:r>
        <w:rPr>
          <w:rFonts w:ascii="Calibri" w:hAnsi="Calibri"/>
          <w:color w:val="12233F"/>
          <w:sz w:val="21"/>
        </w:rPr>
        <w:t>controls, setpoints, delays, and alternation;</w:t>
      </w:r>
    </w:p>
    <w:p>
      <w:pPr>
        <w:pStyle w:val="ListBullet"/>
      </w:pPr>
      <w:r>
        <w:rPr>
          <w:rFonts w:ascii="Calibri" w:hAnsi="Calibri"/>
          <w:color w:val="12233F"/>
          <w:sz w:val="21"/>
        </w:rPr>
        <w:t>standby power and emergency response assumptions; and</w:t>
      </w:r>
    </w:p>
    <w:p>
      <w:pPr>
        <w:pStyle w:val="ListBullet"/>
      </w:pPr>
      <w:r>
        <w:rPr>
          <w:rFonts w:ascii="Calibri" w:hAnsi="Calibri"/>
          <w:color w:val="12233F"/>
          <w:sz w:val="21"/>
        </w:rPr>
        <w:t>calibrated flow, pressure, level, power, and run-time records where available.</w:t>
      </w:r>
    </w:p>
    <w:p>
      <w:pPr>
        <w:pStyle w:val="Heading2"/>
        <w:keepNext/>
      </w:pPr>
      <w:r>
        <w:t>4.3 Time series</w:t>
      </w:r>
    </w:p>
    <w:p>
      <w:r>
        <w:rPr>
          <w:rFonts w:ascii="Calibri" w:hAnsi="Calibri"/>
          <w:color w:val="12233F"/>
          <w:sz w:val="21"/>
        </w:rPr>
        <w:t>Every sample requires:</w:t>
      </w:r>
    </w:p>
    <w:p>
      <w:pPr>
        <w:pStyle w:val="ListBullet"/>
      </w:pPr>
      <w:r>
        <w:rPr>
          <w:rFonts w:ascii="Calibri" w:hAnsi="Calibri"/>
          <w:color w:val="12233F"/>
          <w:sz w:val="21"/>
        </w:rPr>
        <w:t>timestamp with time zone;</w:t>
      </w:r>
    </w:p>
    <w:p>
      <w:pPr>
        <w:pStyle w:val="ListBullet"/>
      </w:pPr>
      <w:r>
        <w:rPr>
          <w:rFonts w:ascii="Calibri" w:hAnsi="Calibri"/>
          <w:color w:val="12233F"/>
          <w:sz w:val="21"/>
        </w:rPr>
        <w:t>measured value;</w:t>
      </w:r>
    </w:p>
    <w:p>
      <w:pPr>
        <w:pStyle w:val="ListBullet"/>
      </w:pPr>
      <w:r>
        <w:rPr>
          <w:rFonts w:ascii="Calibri" w:hAnsi="Calibri"/>
          <w:color w:val="12233F"/>
          <w:sz w:val="21"/>
        </w:rPr>
        <w:t>engineering unit;</w:t>
      </w:r>
    </w:p>
    <w:p>
      <w:pPr>
        <w:pStyle w:val="ListBullet"/>
      </w:pPr>
      <w:r>
        <w:rPr>
          <w:rFonts w:ascii="Calibri" w:hAnsi="Calibri"/>
          <w:color w:val="12233F"/>
          <w:sz w:val="21"/>
        </w:rPr>
        <w:t>instrument identifier;</w:t>
      </w:r>
    </w:p>
    <w:p>
      <w:pPr>
        <w:pStyle w:val="ListBullet"/>
      </w:pPr>
      <w:r>
        <w:rPr>
          <w:rFonts w:ascii="Calibri" w:hAnsi="Calibri"/>
          <w:color w:val="12233F"/>
          <w:sz w:val="21"/>
        </w:rPr>
        <w:t>calibration version;</w:t>
      </w:r>
    </w:p>
    <w:p>
      <w:pPr>
        <w:pStyle w:val="ListBullet"/>
      </w:pPr>
      <w:r>
        <w:rPr>
          <w:rFonts w:ascii="Calibri" w:hAnsi="Calibri"/>
          <w:color w:val="12233F"/>
          <w:sz w:val="21"/>
        </w:rPr>
        <w:t>quality flag;</w:t>
      </w:r>
    </w:p>
    <w:p>
      <w:pPr>
        <w:pStyle w:val="ListBullet"/>
      </w:pPr>
      <w:r>
        <w:rPr>
          <w:rFonts w:ascii="Calibri" w:hAnsi="Calibri"/>
          <w:color w:val="12233F"/>
          <w:sz w:val="21"/>
        </w:rPr>
        <w:t>edited or raw status;</w:t>
      </w:r>
    </w:p>
    <w:p>
      <w:pPr>
        <w:pStyle w:val="ListBullet"/>
      </w:pPr>
      <w:r>
        <w:rPr>
          <w:rFonts w:ascii="Calibri" w:hAnsi="Calibri"/>
          <w:color w:val="12233F"/>
          <w:sz w:val="21"/>
        </w:rPr>
        <w:t>gap status;</w:t>
      </w:r>
    </w:p>
    <w:p>
      <w:pPr>
        <w:pStyle w:val="ListBullet"/>
      </w:pPr>
      <w:r>
        <w:rPr>
          <w:rFonts w:ascii="Calibri" w:hAnsi="Calibri"/>
          <w:color w:val="12233F"/>
          <w:sz w:val="21"/>
        </w:rPr>
        <w:t>detection or rating-curve limitation; and</w:t>
      </w:r>
    </w:p>
    <w:p>
      <w:pPr>
        <w:pStyle w:val="ListBullet"/>
      </w:pPr>
      <w:r>
        <w:rPr>
          <w:rFonts w:ascii="Calibri" w:hAnsi="Calibri"/>
          <w:color w:val="12233F"/>
          <w:sz w:val="21"/>
        </w:rPr>
        <w:t>provenance.</w:t>
      </w:r>
    </w:p>
    <w:p>
      <w:r>
        <w:rPr>
          <w:rFonts w:ascii="Calibri" w:hAnsi="Calibri"/>
          <w:color w:val="12233F"/>
          <w:sz w:val="21"/>
        </w:rPr>
        <w:t>Rainfall requires gauge coordinates, interval, clock basis, cumulative or incremental status, gauge maintenance, and spatial-assignment method. Flow requires the original depth, velocity, level, or pump-state evidence from which flow was derived.</w:t>
      </w:r>
    </w:p>
    <w:p>
      <w:pPr>
        <w:pStyle w:val="Heading2"/>
        <w:keepNext/>
      </w:pPr>
      <w:r>
        <w:t>4.4 Cost and economic data</w:t>
      </w:r>
    </w:p>
    <w:p>
      <w:r>
        <w:rPr>
          <w:rFonts w:ascii="Calibri" w:hAnsi="Calibri"/>
          <w:color w:val="12233F"/>
          <w:sz w:val="21"/>
        </w:rPr>
        <w:t>Cost inputs require a price date, constant or nominal dollar basis, analysis life, discount rate, escalation treatment, capital and annual costs, marginal rather than average conveyance and treatment cost where the decision calls for it, residual value policy, and benefit inclusions.</w:t>
      </w:r>
    </w:p>
    <w:p>
      <w:pPr>
        <w:pStyle w:val="Heading1"/>
        <w:keepNext/>
      </w:pPr>
      <w:r>
        <w:t>5. Monitoring, event selection, and quality control</w:t>
      </w:r>
    </w:p>
    <w:p>
      <w:pPr>
        <w:pStyle w:val="Heading2"/>
        <w:keepNext/>
      </w:pPr>
      <w:r>
        <w:t>5.1 Basin boundary confirmation</w:t>
      </w:r>
    </w:p>
    <w:p>
      <w:r>
        <w:rPr>
          <w:rFonts w:ascii="Calibri" w:hAnsi="Calibri"/>
          <w:color w:val="12233F"/>
          <w:sz w:val="21"/>
        </w:rPr>
        <w:t>The upstream inventory must reconcile to the downstream meter. Temporary bypasses, normally closed valves, interbasin connections, pumped transfers, and satellite flows can invalidate the boundary. GIS topology alone is not sufficient where operating configuration differs.</w:t>
      </w:r>
    </w:p>
    <w:p>
      <w:pPr>
        <w:pStyle w:val="Heading2"/>
        <w:keepNext/>
      </w:pPr>
      <w:r>
        <w:t>5.2 Clock and interval control</w:t>
      </w:r>
    </w:p>
    <w:p>
      <w:r>
        <w:rPr>
          <w:rFonts w:ascii="Calibri" w:hAnsi="Calibri"/>
          <w:color w:val="12233F"/>
          <w:sz w:val="21"/>
        </w:rPr>
        <w:t>Rain and flow must share a time basis. The application must:</w:t>
      </w:r>
    </w:p>
    <w:p>
      <w:pPr>
        <w:pStyle w:val="ListNumber"/>
        <w:numPr>
          <w:ilvl w:val="0"/>
          <w:numId w:val="13"/>
        </w:numPr>
      </w:pPr>
      <w:r>
        <w:rPr>
          <w:rFonts w:ascii="Calibri" w:hAnsi="Calibri"/>
          <w:color w:val="12233F"/>
          <w:sz w:val="21"/>
        </w:rPr>
        <w:t>retain raw timestamps;</w:t>
      </w:r>
    </w:p>
    <w:p>
      <w:pPr>
        <w:pStyle w:val="ListNumber"/>
        <w:numPr>
          <w:ilvl w:val="0"/>
          <w:numId w:val="13"/>
        </w:numPr>
      </w:pPr>
      <w:r>
        <w:rPr>
          <w:rFonts w:ascii="Calibri" w:hAnsi="Calibri"/>
          <w:color w:val="12233F"/>
          <w:sz w:val="21"/>
        </w:rPr>
        <w:t>normalize to an explicit analysis time zone;</w:t>
      </w:r>
    </w:p>
    <w:p>
      <w:pPr>
        <w:pStyle w:val="ListNumber"/>
        <w:numPr>
          <w:ilvl w:val="0"/>
          <w:numId w:val="13"/>
        </w:numPr>
      </w:pPr>
      <w:r>
        <w:rPr>
          <w:rFonts w:ascii="Calibri" w:hAnsi="Calibri"/>
          <w:color w:val="12233F"/>
          <w:sz w:val="21"/>
        </w:rPr>
        <w:t>identify daylight-saving changes;</w:t>
      </w:r>
    </w:p>
    <w:p>
      <w:pPr>
        <w:pStyle w:val="ListNumber"/>
        <w:numPr>
          <w:ilvl w:val="0"/>
          <w:numId w:val="13"/>
        </w:numPr>
      </w:pPr>
      <w:r>
        <w:rPr>
          <w:rFonts w:ascii="Calibri" w:hAnsi="Calibri"/>
          <w:color w:val="12233F"/>
          <w:sz w:val="21"/>
        </w:rPr>
        <w:t>detect duplicate and missing timestamps;</w:t>
      </w:r>
    </w:p>
    <w:p>
      <w:pPr>
        <w:pStyle w:val="ListNumber"/>
        <w:numPr>
          <w:ilvl w:val="0"/>
          <w:numId w:val="13"/>
        </w:numPr>
      </w:pPr>
      <w:r>
        <w:rPr>
          <w:rFonts w:ascii="Calibri" w:hAnsi="Calibri"/>
          <w:color w:val="12233F"/>
          <w:sz w:val="21"/>
        </w:rPr>
        <w:t>prohibit interpolation across gaps longer than the method limit; and</w:t>
      </w:r>
    </w:p>
    <w:p>
      <w:pPr>
        <w:pStyle w:val="ListNumber"/>
        <w:numPr>
          <w:ilvl w:val="0"/>
          <w:numId w:val="13"/>
        </w:numPr>
      </w:pPr>
      <w:r>
        <w:rPr>
          <w:rFonts w:ascii="Calibri" w:hAnsi="Calibri"/>
          <w:color w:val="12233F"/>
          <w:sz w:val="21"/>
        </w:rPr>
        <w:t>record every shift or correction.</w:t>
      </w:r>
    </w:p>
    <w:p>
      <w:r>
        <w:rPr>
          <w:rFonts w:ascii="Calibri" w:hAnsi="Calibri"/>
          <w:color w:val="12233F"/>
          <w:sz w:val="21"/>
        </w:rPr>
        <w:t>A one-hour clock error can move a hydrograph peak and corrupt RTK calibration even when volumes appear plausible.</w:t>
      </w:r>
    </w:p>
    <w:p>
      <w:pPr>
        <w:pStyle w:val="Heading2"/>
        <w:keepNext/>
      </w:pPr>
      <w:r>
        <w:t>5.3 Dry-weather selection</w:t>
      </w:r>
    </w:p>
    <w:p>
      <w:r>
        <w:rPr>
          <w:rFonts w:ascii="Calibri" w:hAnsi="Calibri"/>
          <w:color w:val="12233F"/>
          <w:sz w:val="21"/>
        </w:rPr>
        <w:t>An accepted dry-weather day needs explicit rules for:</w:t>
      </w:r>
    </w:p>
    <w:p>
      <w:pPr>
        <w:pStyle w:val="ListBullet"/>
      </w:pPr>
      <w:r>
        <w:rPr>
          <w:rFonts w:ascii="Calibri" w:hAnsi="Calibri"/>
          <w:color w:val="12233F"/>
          <w:sz w:val="21"/>
        </w:rPr>
        <w:t>antecedent rainfall;</w:t>
      </w:r>
    </w:p>
    <w:p>
      <w:pPr>
        <w:pStyle w:val="ListBullet"/>
      </w:pPr>
      <w:r>
        <w:rPr>
          <w:rFonts w:ascii="Calibri" w:hAnsi="Calibri"/>
          <w:color w:val="12233F"/>
          <w:sz w:val="21"/>
        </w:rPr>
        <w:t>groundwater or seasonal state;</w:t>
      </w:r>
    </w:p>
    <w:p>
      <w:pPr>
        <w:pStyle w:val="ListBullet"/>
      </w:pPr>
      <w:r>
        <w:rPr>
          <w:rFonts w:ascii="Calibri" w:hAnsi="Calibri"/>
          <w:color w:val="12233F"/>
          <w:sz w:val="21"/>
        </w:rPr>
        <w:t>weekday, weekend, or holiday class;</w:t>
      </w:r>
    </w:p>
    <w:p>
      <w:pPr>
        <w:pStyle w:val="ListBullet"/>
      </w:pPr>
      <w:r>
        <w:rPr>
          <w:rFonts w:ascii="Calibri" w:hAnsi="Calibri"/>
          <w:color w:val="12233F"/>
          <w:sz w:val="21"/>
        </w:rPr>
        <w:t>industrial schedule;</w:t>
      </w:r>
    </w:p>
    <w:p>
      <w:pPr>
        <w:pStyle w:val="ListBullet"/>
      </w:pPr>
      <w:r>
        <w:rPr>
          <w:rFonts w:ascii="Calibri" w:hAnsi="Calibri"/>
          <w:color w:val="12233F"/>
          <w:sz w:val="21"/>
        </w:rPr>
        <w:t>unusual pumping or treatment operation;</w:t>
      </w:r>
    </w:p>
    <w:p>
      <w:pPr>
        <w:pStyle w:val="ListBullet"/>
      </w:pPr>
      <w:r>
        <w:rPr>
          <w:rFonts w:ascii="Calibri" w:hAnsi="Calibri"/>
          <w:color w:val="12233F"/>
          <w:sz w:val="21"/>
        </w:rPr>
        <w:t>meter quality; and</w:t>
      </w:r>
    </w:p>
    <w:p>
      <w:pPr>
        <w:pStyle w:val="ListBullet"/>
      </w:pPr>
      <w:r>
        <w:rPr>
          <w:rFonts w:ascii="Calibri" w:hAnsi="Calibri"/>
          <w:color w:val="12233F"/>
          <w:sz w:val="21"/>
        </w:rPr>
        <w:t>known construction or bypasses.</w:t>
      </w:r>
    </w:p>
    <w:p>
      <w:r>
        <w:rPr>
          <w:rFonts w:ascii="Calibri" w:hAnsi="Calibri"/>
          <w:color w:val="12233F"/>
          <w:sz w:val="21"/>
        </w:rPr>
        <w:t>The baseline should be time matched. Subtracting a single average from a diurnal wet-weather hydrograph can bias both peak and volume.</w:t>
      </w:r>
    </w:p>
    <w:p>
      <w:pPr>
        <w:pStyle w:val="Heading2"/>
        <w:keepNext/>
      </w:pPr>
      <w:r>
        <w:t>5.4 Event start and end</w:t>
      </w:r>
    </w:p>
    <w:p>
      <w:r>
        <w:rPr>
          <w:rFonts w:ascii="Calibri" w:hAnsi="Calibri"/>
          <w:color w:val="12233F"/>
          <w:sz w:val="21"/>
        </w:rPr>
        <w:t>The event window starts early enough to capture the dry-weather baseline and ends after response returns to a declared recovery criterion. Long-tail RDII must not be truncated merely because rain stopped. Adjacent storms may require continuous simulation or an explicit event-separation method.</w:t>
      </w:r>
    </w:p>
    <w:p>
      <w:pPr>
        <w:pStyle w:val="Heading2"/>
        <w:keepNext/>
      </w:pPr>
      <w:r>
        <w:t>5.5 Minimum automated checks</w:t>
      </w:r>
    </w:p>
    <w:p>
      <w:pPr>
        <w:pStyle w:val="ListBullet"/>
      </w:pPr>
      <w:r>
        <w:rPr>
          <w:rFonts w:ascii="Calibri" w:hAnsi="Calibri"/>
          <w:color w:val="12233F"/>
          <w:sz w:val="21"/>
        </w:rPr>
        <w:t>rainfall increments are nonnegative unless a gauge-reset method is active;</w:t>
      </w:r>
    </w:p>
    <w:p>
      <w:pPr>
        <w:pStyle w:val="ListBullet"/>
      </w:pPr>
      <w:r>
        <w:rPr>
          <w:rFonts w:ascii="Calibri" w:hAnsi="Calibri"/>
          <w:color w:val="12233F"/>
          <w:sz w:val="21"/>
        </w:rPr>
        <w:t>flow and depth are within instrument and hydraulic plausibility;</w:t>
      </w:r>
    </w:p>
    <w:p>
      <w:pPr>
        <w:pStyle w:val="ListBullet"/>
      </w:pPr>
      <w:r>
        <w:rPr>
          <w:rFonts w:ascii="Calibri" w:hAnsi="Calibri"/>
          <w:color w:val="12233F"/>
          <w:sz w:val="21"/>
        </w:rPr>
        <w:t>timestamps are monotonic;</w:t>
      </w:r>
    </w:p>
    <w:p>
      <w:pPr>
        <w:pStyle w:val="ListBullet"/>
      </w:pPr>
      <w:r>
        <w:rPr>
          <w:rFonts w:ascii="Calibri" w:hAnsi="Calibri"/>
          <w:color w:val="12233F"/>
          <w:sz w:val="21"/>
        </w:rPr>
        <w:t>totalized and integrated volumes reconcile;</w:t>
      </w:r>
    </w:p>
    <w:p>
      <w:pPr>
        <w:pStyle w:val="ListBullet"/>
      </w:pPr>
      <w:r>
        <w:rPr>
          <w:rFonts w:ascii="Calibri" w:hAnsi="Calibri"/>
          <w:color w:val="12233F"/>
          <w:sz w:val="21"/>
        </w:rPr>
        <w:t>rainfall gauges are spatially representative;</w:t>
      </w:r>
    </w:p>
    <w:p>
      <w:pPr>
        <w:pStyle w:val="ListBullet"/>
      </w:pPr>
      <w:r>
        <w:rPr>
          <w:rFonts w:ascii="Calibri" w:hAnsi="Calibri"/>
          <w:color w:val="12233F"/>
          <w:sz w:val="21"/>
        </w:rPr>
        <w:t>expected DWF is defined for every event time step;</w:t>
      </w:r>
    </w:p>
    <w:p>
      <w:pPr>
        <w:pStyle w:val="ListBullet"/>
      </w:pPr>
      <w:r>
        <w:rPr>
          <w:rFonts w:ascii="Calibri" w:hAnsi="Calibri"/>
          <w:color w:val="12233F"/>
          <w:sz w:val="21"/>
        </w:rPr>
        <w:t>negative RDII residual handling is explicit;</w:t>
      </w:r>
    </w:p>
    <w:p>
      <w:pPr>
        <w:pStyle w:val="ListBullet"/>
      </w:pPr>
      <w:r>
        <w:rPr>
          <w:rFonts w:ascii="Calibri" w:hAnsi="Calibri"/>
          <w:color w:val="12233F"/>
          <w:sz w:val="21"/>
        </w:rPr>
        <w:t>RTK component R, T, and K remain within approved domains;</w:t>
      </w:r>
    </w:p>
    <w:p>
      <w:pPr>
        <w:pStyle w:val="ListBullet"/>
      </w:pPr>
      <w:r>
        <w:rPr>
          <w:rFonts w:ascii="Calibri" w:hAnsi="Calibri"/>
          <w:color w:val="12233F"/>
          <w:sz w:val="21"/>
        </w:rPr>
        <w:t>model mass balance closes to tolerance;</w:t>
      </w:r>
    </w:p>
    <w:p>
      <w:pPr>
        <w:pStyle w:val="ListBullet"/>
      </w:pPr>
      <w:r>
        <w:rPr>
          <w:rFonts w:ascii="Calibri" w:hAnsi="Calibri"/>
          <w:color w:val="12233F"/>
          <w:sz w:val="21"/>
        </w:rPr>
        <w:t>pump-curve interpolation does not extrapolate;</w:t>
      </w:r>
    </w:p>
    <w:p>
      <w:pPr>
        <w:pStyle w:val="ListBullet"/>
      </w:pPr>
      <w:r>
        <w:rPr>
          <w:rFonts w:ascii="Calibri" w:hAnsi="Calibri"/>
          <w:color w:val="12233F"/>
          <w:sz w:val="21"/>
        </w:rPr>
        <w:t>pump and system curves intersect within the approved curve;</w:t>
      </w:r>
    </w:p>
    <w:p>
      <w:pPr>
        <w:pStyle w:val="ListBullet"/>
      </w:pPr>
      <w:r>
        <w:rPr>
          <w:rFonts w:ascii="Calibri" w:hAnsi="Calibri"/>
          <w:color w:val="12233F"/>
          <w:sz w:val="21"/>
        </w:rPr>
        <w:t>efficiency is greater than zero and no greater than one;</w:t>
      </w:r>
    </w:p>
    <w:p>
      <w:pPr>
        <w:pStyle w:val="ListBullet"/>
      </w:pPr>
      <w:r>
        <w:rPr>
          <w:rFonts w:ascii="Calibri" w:hAnsi="Calibri"/>
          <w:color w:val="12233F"/>
          <w:sz w:val="21"/>
        </w:rPr>
        <w:t>friction solver convergence is recorded;</w:t>
      </w:r>
    </w:p>
    <w:p>
      <w:pPr>
        <w:pStyle w:val="ListBullet"/>
      </w:pPr>
      <w:r>
        <w:rPr>
          <w:rFonts w:ascii="Calibri" w:hAnsi="Calibri"/>
          <w:color w:val="12233F"/>
          <w:sz w:val="21"/>
        </w:rPr>
        <w:t>storage and overflow conserve volume; and</w:t>
      </w:r>
    </w:p>
    <w:p>
      <w:pPr>
        <w:pStyle w:val="ListBullet"/>
      </w:pPr>
      <w:r>
        <w:rPr>
          <w:rFonts w:ascii="Calibri" w:hAnsi="Calibri"/>
          <w:color w:val="12233F"/>
          <w:sz w:val="21"/>
        </w:rPr>
        <w:t>all displayed rounding occurs after computation.</w:t>
      </w:r>
    </w:p>
    <w:p>
      <w:r>
        <w:br w:type="page"/>
      </w:r>
    </w:p>
    <w:p>
      <w:pPr>
        <w:pStyle w:val="Heading1"/>
        <w:keepNext/>
      </w:pPr>
      <w:r>
        <w:t>6. Universal calculation library</w:t>
      </w:r>
    </w:p>
    <w:p>
      <w:pPr>
        <w:pStyle w:val="Heading2"/>
        <w:keepNext/>
      </w:pPr>
      <w:r>
        <w:t>6.1 Units and conversions</w:t>
      </w:r>
    </w:p>
    <w:p>
      <w:r>
        <w:rPr>
          <w:rFonts w:ascii="Calibri" w:hAnsi="Calibri"/>
          <w:color w:val="12233F"/>
          <w:sz w:val="21"/>
        </w:rPr>
        <w:t>The system uses exact or declared conversion constants and stores units with every value.</w:t>
      </w:r>
    </w:p>
    <w:p>
      <w:r>
        <w:rPr>
          <w:rFonts w:ascii="Calibri" w:hAnsi="Calibri"/>
          <w:color w:val="12233F"/>
          <w:sz w:val="21"/>
        </w:rPr>
        <w:t>One acre-inch is:</w:t>
      </w:r>
    </w:p>
    <w:p>
      <w:pPr>
        <w:pStyle w:val="EquationBlock"/>
        <w:jc w:val="center"/>
        <w:shd w:fill="F1F5F7"/>
      </w:pPr>
      <w:r>
        <w:t>43,560 (ft^2) / (acre)</w:t>
        <w:br/>
        <w:t>×</w:t>
        <w:br/>
        <w:t>(1) / (12) (ft) / (in)</w:t>
        <w:br/>
        <w:t>×</w:t>
        <w:br/>
        <w:t>7.48051948051948 (gal) / (ft^3)</w:t>
        <w:br/>
        <w:t>=27,154.285714285714 (gal) / (acre-in)</w:t>
      </w:r>
    </w:p>
    <w:p>
      <w:r>
        <w:rPr>
          <w:rFonts w:ascii="Calibri" w:hAnsi="Calibri"/>
          <w:color w:val="12233F"/>
          <w:sz w:val="21"/>
        </w:rPr>
        <w:t>Therefore, formula F-UNIT-001 is:</w:t>
      </w:r>
    </w:p>
    <w:p>
      <w:pPr>
        <w:pStyle w:val="EquationBlock"/>
        <w:jc w:val="center"/>
        <w:shd w:fill="F1F5F7"/>
      </w:pPr>
      <w:r>
        <w:t>V_(rain,gal)</w:t>
        <w:br/>
        <w:t>=P_inA_acre(27,154.285714285714)</w:t>
      </w:r>
    </w:p>
    <w:p>
      <w:r>
        <w:rPr>
          <w:rFonts w:ascii="Calibri" w:hAnsi="Calibri"/>
          <w:color w:val="12233F"/>
          <w:sz w:val="21"/>
        </w:rPr>
        <w:t>Common flow conversions in F-CONV-001 include:</w:t>
      </w:r>
    </w:p>
    <w:p>
      <w:pPr>
        <w:pStyle w:val="EquationBlock"/>
        <w:jc w:val="center"/>
        <w:shd w:fill="F1F5F7"/>
      </w:pPr>
      <w:r>
        <w:t>Q_gpm=(Q_MGD(1,000,000)) / (1,440)</w:t>
      </w:r>
    </w:p>
    <w:p>
      <w:pPr>
        <w:pStyle w:val="EquationBlock"/>
        <w:jc w:val="center"/>
        <w:shd w:fill="F1F5F7"/>
      </w:pPr>
      <w:r>
        <w:t>Q_MGD=Q_gpm(0.00144)</w:t>
      </w:r>
    </w:p>
    <w:p>
      <w:pPr>
        <w:pStyle w:val="EquationBlock"/>
        <w:jc w:val="center"/>
        <w:shd w:fill="F1F5F7"/>
      </w:pPr>
      <w:r>
        <w:t>Q_cfs=(Q_gpm) / (448.8311688311688)</w:t>
      </w:r>
    </w:p>
    <w:p>
      <w:r>
        <w:rPr>
          <w:rFonts w:ascii="Calibri" w:hAnsi="Calibri"/>
          <w:color w:val="12233F"/>
          <w:sz w:val="21"/>
        </w:rPr>
        <w:t>For irregular time samples, F-FLOW-001 uses trapezoidal integration:</w:t>
      </w:r>
    </w:p>
    <w:p>
      <w:pPr>
        <w:pStyle w:val="EquationBlock"/>
        <w:jc w:val="center"/>
        <w:shd w:fill="F1F5F7"/>
      </w:pPr>
      <w:r>
        <w:t>V=SUM_(i=0)^n-1</w:t>
        <w:br/>
        <w:t>((Q_i+Q_(i+1)) / (2))Δ t_i</w:t>
      </w:r>
    </w:p>
    <w:p>
      <w:r>
        <w:rPr>
          <w:rFonts w:ascii="Calibri" w:hAnsi="Calibri"/>
          <w:color w:val="12233F"/>
          <w:sz w:val="21"/>
        </w:rPr>
        <w:t>Flow and time units must be converted so the result is a volume. Intermediate rounding is prohibited.</w:t>
      </w:r>
    </w:p>
    <w:p>
      <w:pPr>
        <w:pStyle w:val="Heading2"/>
        <w:keepNext/>
      </w:pPr>
      <w:r>
        <w:t>6.2 Dry-weather flow and groundwater infiltration</w:t>
      </w:r>
    </w:p>
    <w:p>
      <w:r>
        <w:rPr>
          <w:rFonts w:ascii="Calibri" w:hAnsi="Calibri"/>
          <w:color w:val="12233F"/>
          <w:sz w:val="21"/>
        </w:rPr>
        <w:t>F-DWF-001 defines a time-weighted average:</w:t>
      </w:r>
    </w:p>
    <w:p>
      <w:pPr>
        <w:pStyle w:val="EquationBlock"/>
        <w:jc w:val="center"/>
        <w:shd w:fill="F1F5F7"/>
      </w:pPr>
      <w:r>
        <w:t>average(Q)_DWF</w:t>
        <w:br/>
        <w:t>=</w:t>
        <w:br/>
        <w:t>(SUM_i Q_iΔ t_i) / (SUM_iΔ t_i)</w:t>
      </w:r>
    </w:p>
    <w:p>
      <w:r>
        <w:rPr>
          <w:rFonts w:ascii="Calibri" w:hAnsi="Calibri"/>
          <w:color w:val="12233F"/>
          <w:sz w:val="21"/>
        </w:rPr>
        <w:t>F-GWI-001 defines groundwater infiltration by residual:</w:t>
      </w:r>
    </w:p>
    <w:p>
      <w:pPr>
        <w:pStyle w:val="EquationBlock"/>
        <w:jc w:val="center"/>
        <w:shd w:fill="F1F5F7"/>
      </w:pPr>
      <w:r>
        <w:t>Q_GWI</w:t>
        <w:br/>
        <w:t>=Q_(DWF,measured)-Q_(BWF,estimated)</w:t>
      </w:r>
    </w:p>
    <w:p>
      <w:r>
        <w:rPr>
          <w:rFonts w:ascii="Calibri" w:hAnsi="Calibri"/>
          <w:color w:val="12233F"/>
          <w:sz w:val="21"/>
        </w:rPr>
        <w:t>This is an estimate because BWF is estimated. Acceptable BWF methods can include a calibrated diurnal pattern, water-use and return-factor analysis, minimum-night analysis with an explicit sanitary nighttime allowance, or statistical separation. Each method requires its own uncertainty.</w:t>
      </w:r>
    </w:p>
    <w:p>
      <w:r>
        <w:rPr>
          <w:rFonts w:ascii="Calibri" w:hAnsi="Calibri"/>
          <w:color w:val="12233F"/>
          <w:sz w:val="21"/>
        </w:rPr>
        <w:t>If the residual is negative beyond accepted uncertainty, the application must not set GWI to zero silently. It must flag baseline inconsistency, meter bias, export flow, timing error, or method failure.</w:t>
      </w:r>
    </w:p>
    <w:p>
      <w:pPr>
        <w:pStyle w:val="Heading2"/>
        <w:keepNext/>
      </w:pPr>
      <w:r>
        <w:t>6.3 RDII residual and event volume</w:t>
      </w:r>
    </w:p>
    <w:p>
      <w:r>
        <w:rPr>
          <w:rFonts w:ascii="Calibri" w:hAnsi="Calibri"/>
          <w:color w:val="12233F"/>
          <w:sz w:val="21"/>
        </w:rPr>
        <w:t>F-RDII-001:</w:t>
      </w:r>
    </w:p>
    <w:p>
      <w:pPr>
        <w:pStyle w:val="EquationBlock"/>
        <w:jc w:val="center"/>
        <w:shd w:fill="F1F5F7"/>
      </w:pPr>
      <w:r>
        <w:t>Q_RDII(t)</w:t>
        <w:br/>
        <w:t>=Q_observed(t)-Q_(DWF,expected)(t)</w:t>
      </w:r>
    </w:p>
    <w:p>
      <w:r>
        <w:rPr>
          <w:rFonts w:ascii="Calibri" w:hAnsi="Calibri"/>
          <w:color w:val="12233F"/>
          <w:sz w:val="21"/>
        </w:rPr>
        <w:t>F-RDII-002:</w:t>
      </w:r>
    </w:p>
    <w:p>
      <w:pPr>
        <w:pStyle w:val="EquationBlock"/>
        <w:jc w:val="center"/>
        <w:shd w:fill="F1F5F7"/>
      </w:pPr>
      <w:r>
        <w:t>V_RDII</w:t>
        <w:br/>
        <w:t>=INTEGRAL_(t_0)^(t_1)Q_RDII(t) dt</w:t>
      </w:r>
    </w:p>
    <w:p>
      <w:r>
        <w:rPr>
          <w:rFonts w:ascii="Calibri" w:hAnsi="Calibri"/>
          <w:color w:val="12233F"/>
          <w:sz w:val="21"/>
        </w:rPr>
        <w:t>The discrete implementation uses F-FLOW-001. The event window, baseline, data gaps, and treatment of small negative residuals must be recorded. A modeled RTK volume is separate from an observed-residual volume, even when both are called RDII.</w:t>
      </w:r>
    </w:p>
    <w:p>
      <w:pPr>
        <w:pStyle w:val="Heading2"/>
        <w:keepNext/>
      </w:pPr>
      <w:r>
        <w:t>6.4 Inventory-normalized metrics</w:t>
      </w:r>
    </w:p>
    <w:p>
      <w:r>
        <w:rPr>
          <w:rFonts w:ascii="Calibri" w:hAnsi="Calibri"/>
          <w:color w:val="12233F"/>
          <w:sz w:val="21"/>
        </w:rPr>
        <w:t>F-IDM-001 defines the inventory denominator:</w:t>
      </w:r>
    </w:p>
    <w:p>
      <w:pPr>
        <w:pStyle w:val="EquationBlock"/>
        <w:jc w:val="center"/>
        <w:shd w:fill="F1F5F7"/>
      </w:pPr>
      <w:r>
        <w:t>IDM=SUM_j D_jL_j</w:t>
      </w:r>
    </w:p>
    <w:p>
      <w:r>
        <w:rPr>
          <w:rFonts w:ascii="Calibri" w:hAnsi="Calibri"/>
          <w:color w:val="12233F"/>
          <w:sz w:val="21"/>
        </w:rPr>
        <w:t>where D_j is diameter in inches and L_j is length in miles.</w:t>
      </w:r>
    </w:p>
    <w:p>
      <w:r>
        <w:rPr>
          <w:rFonts w:ascii="Calibri" w:hAnsi="Calibri"/>
          <w:color w:val="12233F"/>
          <w:sz w:val="21"/>
        </w:rPr>
        <w:t>F-NORM-001 defines:</w:t>
      </w:r>
    </w:p>
    <w:p>
      <w:pPr>
        <w:pStyle w:val="EquationBlock"/>
        <w:jc w:val="center"/>
        <w:shd w:fill="F1F5F7"/>
      </w:pPr>
      <w:r>
        <w:t>q_IDM</w:t>
        <w:br/>
        <w:t>=(Q_(I\ I,gpd)) / (IDM)</w:t>
      </w:r>
    </w:p>
    <w:p>
      <w:r>
        <w:rPr>
          <w:rFonts w:ascii="Calibri" w:hAnsi="Calibri"/>
          <w:color w:val="12233F"/>
          <w:sz w:val="21"/>
        </w:rPr>
        <w:t>Other transparent normalizations include:</w:t>
      </w:r>
    </w:p>
    <w:p>
      <w:pPr>
        <w:pStyle w:val="EquationBlock"/>
        <w:jc w:val="center"/>
        <w:shd w:fill="F1F5F7"/>
      </w:pPr>
      <w:r>
        <w:t>q_gpcd=(Q_gpd) / (population)</w:t>
      </w:r>
    </w:p>
    <w:p>
      <w:pPr>
        <w:pStyle w:val="EquationBlock"/>
        <w:jc w:val="center"/>
        <w:shd w:fill="F1F5F7"/>
      </w:pPr>
      <w:r>
        <w:t>q_connection</w:t>
        <w:br/>
        <w:t>=(Q_gpd) / (N_connections)</w:t>
      </w:r>
    </w:p>
    <w:p>
      <w:r>
        <w:rPr>
          <w:rFonts w:ascii="Calibri" w:hAnsi="Calibri"/>
          <w:color w:val="12233F"/>
          <w:sz w:val="21"/>
        </w:rPr>
        <w:t>These are comparison metrics, not universal acceptable limits. IDM is sensitive to inventory scope: mainline only, public lateral, private lateral, active pipe, nominal diameter, and internal diameter cannot be mixed without disclosure.</w:t>
      </w:r>
    </w:p>
    <w:p>
      <w:pPr>
        <w:pStyle w:val="Heading2"/>
        <w:keepNext/>
      </w:pPr>
      <w:r>
        <w:t>6.5 Rainfall capture fraction</w:t>
      </w:r>
    </w:p>
    <w:p>
      <w:r>
        <w:rPr>
          <w:rFonts w:ascii="Calibri" w:hAnsi="Calibri"/>
          <w:color w:val="12233F"/>
          <w:sz w:val="21"/>
        </w:rPr>
        <w:t>F-RDII-003:</w:t>
      </w:r>
    </w:p>
    <w:p>
      <w:pPr>
        <w:pStyle w:val="EquationBlock"/>
        <w:jc w:val="center"/>
        <w:shd w:fill="F1F5F7"/>
      </w:pPr>
      <w:r>
        <w:t>R_event</w:t>
        <w:br/>
        <w:t>=(V_RDII) / (V_rain)</w:t>
      </w:r>
    </w:p>
    <w:p>
      <w:r>
        <w:rPr>
          <w:rFonts w:ascii="Calibri" w:hAnsi="Calibri"/>
          <w:color w:val="12233F"/>
          <w:sz w:val="21"/>
        </w:rPr>
        <w:t>Both volumes must use the same tributary-area boundary. R is dimensionless. It is the fraction of rainfall volume over the declared sewer area represented as RDII, not percent imperviousness and not the fraction of rain entering a particular defect.</w:t>
      </w:r>
    </w:p>
    <w:p>
      <w:pPr>
        <w:pStyle w:val="Heading2"/>
        <w:keepNext/>
      </w:pPr>
      <w:r>
        <w:t>6.6 RTK unit hydrographs</w:t>
      </w:r>
    </w:p>
    <w:p>
      <w:r>
        <w:rPr>
          <w:rFonts w:ascii="Calibri" w:hAnsi="Calibri"/>
          <w:color w:val="12233F"/>
          <w:sz w:val="21"/>
        </w:rPr>
        <w:t>EPA SWMM represents RDII with up to three triangular unit hydrographs for short, intermediate, and long response [R1, R2]. Each component has:</w:t>
      </w:r>
    </w:p>
    <w:p>
      <w:pPr>
        <w:pStyle w:val="ListBullet"/>
      </w:pPr>
      <w:r>
        <w:rPr>
          <w:rFonts w:ascii="Calibri" w:hAnsi="Calibri"/>
          <w:color w:val="12233F"/>
          <w:sz w:val="21"/>
        </w:rPr>
        <w:t>R_i: fraction of rainfall volume entering the sewer through component i;</w:t>
      </w:r>
    </w:p>
    <w:p>
      <w:pPr>
        <w:pStyle w:val="ListBullet"/>
      </w:pPr>
      <w:r>
        <w:rPr>
          <w:rFonts w:ascii="Calibri" w:hAnsi="Calibri"/>
          <w:color w:val="12233F"/>
          <w:sz w:val="21"/>
        </w:rPr>
        <w:t>T_i: time from rainfall increment onset to component peak; and</w:t>
      </w:r>
    </w:p>
    <w:p>
      <w:pPr>
        <w:pStyle w:val="ListBullet"/>
      </w:pPr>
      <w:r>
        <w:rPr>
          <w:rFonts w:ascii="Calibri" w:hAnsi="Calibri"/>
          <w:color w:val="12233F"/>
          <w:sz w:val="21"/>
        </w:rPr>
        <w:t>K_i: ratio of recession time to T_i.</w:t>
      </w:r>
    </w:p>
    <w:p>
      <w:r>
        <w:rPr>
          <w:rFonts w:ascii="Calibri" w:hAnsi="Calibri"/>
          <w:color w:val="12233F"/>
          <w:sz w:val="21"/>
        </w:rPr>
        <w:t>F-RTK-001 gives component volume and base duration:</w:t>
      </w:r>
    </w:p>
    <w:p>
      <w:pPr>
        <w:pStyle w:val="EquationBlock"/>
        <w:jc w:val="center"/>
        <w:shd w:fill="F1F5F7"/>
      </w:pPr>
      <w:r>
        <w:t>V_i=R_iP A(27,154.285714285714)</w:t>
      </w:r>
    </w:p>
    <w:p>
      <w:pPr>
        <w:pStyle w:val="EquationBlock"/>
        <w:jc w:val="center"/>
        <w:shd w:fill="F1F5F7"/>
      </w:pPr>
      <w:r>
        <w:t>B_i=T_i(1+K_i)</w:t>
      </w:r>
    </w:p>
    <w:p>
      <w:r>
        <w:rPr>
          <w:rFonts w:ascii="Calibri" w:hAnsi="Calibri"/>
          <w:color w:val="12233F"/>
          <w:sz w:val="21"/>
        </w:rPr>
        <w:t>Because a triangular hydrograph has area V_i, F-RTK-002 gives peak flow:</w:t>
      </w:r>
    </w:p>
    <w:p>
      <w:pPr>
        <w:pStyle w:val="EquationBlock"/>
        <w:jc w:val="center"/>
        <w:shd w:fill="F1F5F7"/>
      </w:pPr>
      <w:r>
        <w:t>Q_(p,i)=(2V_i) / (B_i)</w:t>
      </w:r>
    </w:p>
    <w:p>
      <w:r>
        <w:rPr>
          <w:rFonts w:ascii="Calibri" w:hAnsi="Calibri"/>
          <w:color w:val="12233F"/>
          <w:sz w:val="21"/>
        </w:rPr>
        <w:t>For elapsed time τ after the rainfall increment:</w:t>
      </w:r>
    </w:p>
    <w:p>
      <w:pPr>
        <w:pStyle w:val="EquationBlock"/>
        <w:jc w:val="center"/>
        <w:shd w:fill="F1F5F7"/>
      </w:pPr>
      <w:r>
        <w:t>Q_i(τ)=</w:t>
        <w:br/>
        <w:t>0, τ&lt;0</w:t>
        <w:br/>
        <w:t>Q_(p,i)(τ) / (T_i), 0 ≤ τ ≤ T_i</w:t>
        <w:br/>
        <w:t>Q_(p,i)[1-(τ-T_i) / (K_iT_i)],</w:t>
        <w:br/>
        <w:t>T_i&lt;τ ≤ T_i(1+K_i)</w:t>
        <w:br/>
        <w:t>0, τ&gt;T_i(1+K_i)</w:t>
      </w:r>
    </w:p>
    <w:p>
      <w:r>
        <w:rPr>
          <w:rFonts w:ascii="Calibri" w:hAnsi="Calibri"/>
          <w:color w:val="12233F"/>
          <w:sz w:val="21"/>
        </w:rPr>
        <w:t>F-RTK-003 superposes responses from every rainfall increment m and component i:</w:t>
      </w:r>
    </w:p>
    <w:p>
      <w:pPr>
        <w:pStyle w:val="EquationBlock"/>
        <w:jc w:val="center"/>
        <w:shd w:fill="F1F5F7"/>
      </w:pPr>
      <w:r>
        <w:t>Q_RDII(t)=SUM_mSUM_iQ_(i,m)(t-t_m)</w:t>
      </w:r>
    </w:p>
    <w:p>
      <w:r>
        <w:rPr>
          <w:rFonts w:ascii="Calibri" w:hAnsi="Calibri"/>
          <w:color w:val="12233F"/>
          <w:sz w:val="21"/>
        </w:rPr>
        <w:t>Initial abstraction, antecedent moisture, monthly parameter sets, snowmelt, groundwater dependence, and separate area assignment may be needed in real applications. The synthetic example sets initial abstraction to zero only to isolate the RTK arithmetic.</w:t>
      </w:r>
    </w:p>
    <w:p>
      <w:pPr>
        <w:pStyle w:val="Heading2"/>
        <w:keepNext/>
      </w:pPr>
      <w:r>
        <w:t>6.7 Force-main hydraulics</w:t>
      </w:r>
    </w:p>
    <w:p>
      <w:pPr>
        <w:pStyle w:val="Heading3"/>
        <w:keepNext/>
      </w:pPr>
      <w:r>
        <w:t>6.7.1 Geometry, velocity, and Reynolds number</w:t>
      </w:r>
    </w:p>
    <w:p>
      <w:r>
        <w:rPr>
          <w:rFonts w:ascii="Calibri" w:hAnsi="Calibri"/>
          <w:color w:val="12233F"/>
          <w:sz w:val="21"/>
        </w:rPr>
        <w:t>F-HYD-001:</w:t>
      </w:r>
    </w:p>
    <w:p>
      <w:pPr>
        <w:pStyle w:val="EquationBlock"/>
        <w:jc w:val="center"/>
        <w:shd w:fill="F1F5F7"/>
      </w:pPr>
      <w:r>
        <w:t>D_ft=(D_in) / (12)</w:t>
      </w:r>
    </w:p>
    <w:p>
      <w:pPr>
        <w:pStyle w:val="EquationBlock"/>
        <w:jc w:val="center"/>
        <w:shd w:fill="F1F5F7"/>
      </w:pPr>
      <w:r>
        <w:t>A=(π D^2) / (4)</w:t>
      </w:r>
    </w:p>
    <w:p>
      <w:pPr>
        <w:pStyle w:val="EquationBlock"/>
        <w:jc w:val="center"/>
        <w:shd w:fill="F1F5F7"/>
      </w:pPr>
      <w:r>
        <w:t>v=(Q) / (A)</w:t>
      </w:r>
    </w:p>
    <w:p>
      <w:pPr>
        <w:pStyle w:val="EquationBlock"/>
        <w:jc w:val="center"/>
        <w:shd w:fill="F1F5F7"/>
      </w:pPr>
      <w:r>
        <w:t>Re=(vD) / (ν)</w:t>
      </w:r>
    </w:p>
    <w:p>
      <w:r>
        <w:rPr>
          <w:rFonts w:ascii="Calibri" w:hAnsi="Calibri"/>
          <w:color w:val="12233F"/>
          <w:sz w:val="21"/>
        </w:rPr>
        <w:t>where ν is kinematic viscosity. The flow and area units must be consistent.</w:t>
      </w:r>
    </w:p>
    <w:p>
      <w:pPr>
        <w:pStyle w:val="Heading3"/>
        <w:keepNext/>
      </w:pPr>
      <w:r>
        <w:t>6.7.2 Darcy friction factor</w:t>
      </w:r>
    </w:p>
    <w:p>
      <w:r>
        <w:rPr>
          <w:rFonts w:ascii="Calibri" w:hAnsi="Calibri"/>
          <w:color w:val="12233F"/>
          <w:sz w:val="21"/>
        </w:rPr>
        <w:t>F-HYD-002 uses:</w:t>
      </w:r>
    </w:p>
    <w:p>
      <w:pPr>
        <w:pStyle w:val="EquationBlock"/>
        <w:jc w:val="center"/>
        <w:shd w:fill="F1F5F7"/>
      </w:pPr>
      <w:r>
        <w:t>f=(64) / (Re)</w:t>
        <w:br/>
        <w:t>for laminar flow</w:t>
      </w:r>
    </w:p>
    <w:p>
      <w:r>
        <w:rPr>
          <w:rFonts w:ascii="Calibri" w:hAnsi="Calibri"/>
          <w:color w:val="12233F"/>
          <w:sz w:val="21"/>
        </w:rPr>
        <w:t>For turbulent flow, the example solves the implicit Colebrook-White equation:</w:t>
      </w:r>
    </w:p>
    <w:p>
      <w:pPr>
        <w:pStyle w:val="EquationBlock"/>
        <w:jc w:val="center"/>
        <w:shd w:fill="F1F5F7"/>
      </w:pPr>
      <w:r>
        <w:t>(1) / (sqrt(f))</w:t>
        <w:br/>
        <w:t>=-2log_10</w:t>
        <w:br/>
        <w:t>(</w:t>
        <w:br/>
        <w:t>(ε) / (3.7D)</w:t>
        <w:br/>
        <w:t>+</w:t>
        <w:br/>
        <w:t>(2.51) / (Re sqrt(f))</w:t>
        <w:br/>
        <w:t>)</w:t>
      </w:r>
    </w:p>
    <w:p>
      <w:r>
        <w:rPr>
          <w:rFonts w:ascii="Calibri" w:hAnsi="Calibri"/>
          <w:color w:val="12233F"/>
          <w:sz w:val="21"/>
        </w:rPr>
        <w:t>EPA's SWMM hydraulics reference describes Darcy-Weisbach force mains and uses a Swamee-Jain approximation to Colebrook-White, with an interpolation policy in the transition range [R5]. This example instead solves the implicit equation and fails closed for 2,000 ≤ Re&lt;4,000. That implementation difference is intentional and versioned.</w:t>
      </w:r>
    </w:p>
    <w:p>
      <w:pPr>
        <w:pStyle w:val="Heading3"/>
        <w:keepNext/>
      </w:pPr>
      <w:r>
        <w:t>6.7.3 Major and minor losses</w:t>
      </w:r>
    </w:p>
    <w:p>
      <w:r>
        <w:rPr>
          <w:rFonts w:ascii="Calibri" w:hAnsi="Calibri"/>
          <w:color w:val="12233F"/>
          <w:sz w:val="21"/>
        </w:rPr>
        <w:t>F-HYD-003:</w:t>
      </w:r>
    </w:p>
    <w:p>
      <w:pPr>
        <w:pStyle w:val="EquationBlock"/>
        <w:jc w:val="center"/>
        <w:shd w:fill="F1F5F7"/>
      </w:pPr>
      <w:r>
        <w:t>h_f=f(L) / (D)(v^2) / (2g)</w:t>
      </w:r>
    </w:p>
    <w:p>
      <w:r>
        <w:rPr>
          <w:rFonts w:ascii="Calibri" w:hAnsi="Calibri"/>
          <w:color w:val="12233F"/>
          <w:sz w:val="21"/>
        </w:rPr>
        <w:t>F-HYD-004:</w:t>
      </w:r>
    </w:p>
    <w:p>
      <w:pPr>
        <w:pStyle w:val="EquationBlock"/>
        <w:jc w:val="center"/>
        <w:shd w:fill="F1F5F7"/>
      </w:pPr>
      <w:r>
        <w:t>h_m=K_total(v^2) / (2g)</w:t>
      </w:r>
    </w:p>
    <w:p>
      <w:r>
        <w:rPr>
          <w:rFonts w:ascii="Calibri" w:hAnsi="Calibri"/>
          <w:color w:val="12233F"/>
          <w:sz w:val="21"/>
        </w:rPr>
        <w:t>F-HYD-005 gives the system head:</w:t>
      </w:r>
    </w:p>
    <w:p>
      <w:pPr>
        <w:pStyle w:val="EquationBlock"/>
        <w:jc w:val="center"/>
        <w:shd w:fill="F1F5F7"/>
      </w:pPr>
      <w:r>
        <w:t>H_system(Q)</w:t>
        <w:br/>
        <w:t>=H_static+h_f(Q)+h_m(Q)+H_other(Q)</w:t>
      </w:r>
    </w:p>
    <w:p>
      <w:r>
        <w:rPr>
          <w:rFonts w:ascii="Calibri" w:hAnsi="Calibri"/>
          <w:color w:val="12233F"/>
          <w:sz w:val="21"/>
        </w:rPr>
        <w:t>Static head must be evaluated across the material wet-well and downstream hydraulic-grade range. Roughness, internal diameter, valve state, fouling, and future configuration require sensitivity cases where they are uncertain.</w:t>
      </w:r>
    </w:p>
    <w:p>
      <w:pPr>
        <w:pStyle w:val="Heading2"/>
        <w:keepNext/>
      </w:pPr>
      <w:r>
        <w:t>6.8 Pump operating points and capacity</w:t>
      </w:r>
    </w:p>
    <w:p>
      <w:r>
        <w:rPr>
          <w:rFonts w:ascii="Calibri" w:hAnsi="Calibri"/>
          <w:color w:val="12233F"/>
          <w:sz w:val="21"/>
        </w:rPr>
        <w:t>A centrifugal pump does not deliver its nameplate flow independently of the system. The operating point is the intersection of the pump head curve and the system head curve [R6, R7].</w:t>
      </w:r>
    </w:p>
    <w:p>
      <w:r>
        <w:rPr>
          <w:rFonts w:ascii="Calibri" w:hAnsi="Calibri"/>
          <w:color w:val="12233F"/>
          <w:sz w:val="21"/>
        </w:rPr>
        <w:t>For N identical pumps in parallel, F-PUMP-001 solves:</w:t>
      </w:r>
    </w:p>
    <w:p>
      <w:pPr>
        <w:pStyle w:val="EquationBlock"/>
        <w:jc w:val="center"/>
        <w:shd w:fill="F1F5F7"/>
      </w:pPr>
      <w:r>
        <w:t>H_(pump,single)((Q_total) / (N))</w:t>
        <w:br/>
        <w:t>=H_system(Q_total)</w:t>
      </w:r>
    </w:p>
    <w:p>
      <w:r>
        <w:rPr>
          <w:rFonts w:ascii="Calibri" w:hAnsi="Calibri"/>
          <w:color w:val="12233F"/>
          <w:sz w:val="21"/>
        </w:rPr>
        <w:t>The implementation linearly interpolates only between supplied pump-curve points and rejects extrapolation. Nonidentical pumps require head-by-head composition of the individual modified curves and cannot use the identical-pump shortcut.</w:t>
      </w:r>
    </w:p>
    <w:p>
      <w:r>
        <w:rPr>
          <w:rFonts w:ascii="Calibri" w:hAnsi="Calibri"/>
          <w:color w:val="12233F"/>
          <w:sz w:val="21"/>
        </w:rPr>
        <w:t>F-PUMP-002 defines:</w:t>
      </w:r>
    </w:p>
    <w:p>
      <w:pPr>
        <w:pStyle w:val="EquationBlock"/>
        <w:jc w:val="center"/>
        <w:shd w:fill="F1F5F7"/>
      </w:pPr>
      <w:r>
        <w:t>Q_margin=Q_available-Q_inflow</w:t>
      </w:r>
    </w:p>
    <w:p>
      <w:pPr>
        <w:pStyle w:val="EquationBlock"/>
        <w:jc w:val="center"/>
        <w:shd w:fill="F1F5F7"/>
      </w:pPr>
      <w:r>
        <w:t>margin fraction</w:t>
        <w:br/>
        <w:t>=(Q_margin) / (Q_available)</w:t>
      </w:r>
    </w:p>
    <w:p>
      <w:pPr>
        <w:pStyle w:val="EquationBlock"/>
        <w:jc w:val="center"/>
        <w:shd w:fill="F1F5F7"/>
      </w:pPr>
      <w:r>
        <w:t>utilization</w:t>
        <w:br/>
        <w:t>=(Q_inflow) / (Q_available)</w:t>
      </w:r>
    </w:p>
    <w:p>
      <w:r>
        <w:rPr>
          <w:rFonts w:ascii="Calibri" w:hAnsi="Calibri"/>
          <w:color w:val="12233F"/>
          <w:sz w:val="21"/>
        </w:rPr>
        <w:t>The result must state whether available capacity means normal, firm, emergency, tested, rated, or modeled capacity. This example uses two duty pumps at maximum static head as conservative firm capacity and retains one installed standby pump.</w:t>
      </w:r>
    </w:p>
    <w:p>
      <w:pPr>
        <w:keepNext/>
        <w:spacing w:before="140" w:after="40"/>
        <w:jc w:val="center"/>
      </w:pPr>
      <w:r>
        <w:drawing>
          <wp:inline xmlns:a="http://schemas.openxmlformats.org/drawingml/2006/main" xmlns:pic="http://schemas.openxmlformats.org/drawingml/2006/picture">
            <wp:extent cx="5806440" cy="3290316"/>
            <wp:docPr id="2" name="Picture 2" descr="Pump and system curves"/>
            <wp:cNvGraphicFramePr>
              <a:graphicFrameLocks noChangeAspect="1"/>
            </wp:cNvGraphicFramePr>
            <a:graphic>
              <a:graphicData uri="http://schemas.openxmlformats.org/drawingml/2006/picture">
                <pic:pic>
                  <pic:nvPicPr>
                    <pic:cNvPr id="0" name="03-pump-system-curves.png"/>
                    <pic:cNvPicPr/>
                  </pic:nvPicPr>
                  <pic:blipFill>
                    <a:blip r:embed="rId12"/>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Pump and system curves</w:t>
      </w:r>
    </w:p>
    <w:p>
      <w:pPr>
        <w:pStyle w:val="Heading2"/>
        <w:keepNext/>
      </w:pPr>
      <w:r>
        <w:t>6.9 Storage, outage, and cycling</w:t>
      </w:r>
    </w:p>
    <w:p>
      <w:r>
        <w:rPr>
          <w:rFonts w:ascii="Calibri" w:hAnsi="Calibri"/>
          <w:color w:val="12233F"/>
          <w:sz w:val="21"/>
        </w:rPr>
        <w:t>For constant inflow and capacity, F-PUMP-003 gives time to exhaust usable storage:</w:t>
      </w:r>
    </w:p>
    <w:p>
      <w:pPr>
        <w:pStyle w:val="EquationBlock"/>
        <w:jc w:val="center"/>
        <w:shd w:fill="F1F5F7"/>
      </w:pPr>
      <w:r>
        <w:t>t_storage</w:t>
        <w:br/>
        <w:t>=(V_usable) / (Q_in-Q_available)</w:t>
        <w:br/>
        <w:t>when Q_in&gt;Q_available</w:t>
      </w:r>
    </w:p>
    <w:p>
      <w:r>
        <w:rPr>
          <w:rFonts w:ascii="Calibri" w:hAnsi="Calibri"/>
          <w:color w:val="12233F"/>
          <w:sz w:val="21"/>
        </w:rPr>
        <w:t>F-PUMP-004 gives storage needed for a response interval:</w:t>
      </w:r>
    </w:p>
    <w:p>
      <w:pPr>
        <w:pStyle w:val="EquationBlock"/>
        <w:jc w:val="center"/>
        <w:shd w:fill="F1F5F7"/>
      </w:pPr>
      <w:r>
        <w:t>V_required</w:t>
        <w:br/>
        <w:t>=max(0,Q_in-Q_available)t_response</w:t>
      </w:r>
    </w:p>
    <w:p>
      <w:r>
        <w:rPr>
          <w:rFonts w:ascii="Calibri" w:hAnsi="Calibri"/>
          <w:color w:val="12233F"/>
          <w:sz w:val="21"/>
        </w:rPr>
        <w:t>For variable inflow, F-PUMP-007 routes storage. With trapezoidal inflow over interval i:</w:t>
      </w:r>
    </w:p>
    <w:p>
      <w:pPr>
        <w:pStyle w:val="EquationBlock"/>
        <w:jc w:val="center"/>
        <w:shd w:fill="F1F5F7"/>
      </w:pPr>
      <w:r>
        <w:t>Δ V_i=</w:t>
        <w:br/>
        <w:t>[</w:t>
        <w:br/>
        <w:t>(Q_(in,i)+Q_(in,i+1)) / (2)</w:t>
        <w:br/>
        <w:t>-Q_(available,i)</w:t>
        <w:br/>
        <w:t>]Δ t_i</w:t>
      </w:r>
    </w:p>
    <w:p>
      <w:r>
        <w:rPr>
          <w:rFonts w:ascii="Calibri" w:hAnsi="Calibri"/>
          <w:color w:val="12233F"/>
          <w:sz w:val="21"/>
        </w:rPr>
        <w:t>The theoretical storage requirement is:</w:t>
      </w:r>
    </w:p>
    <w:p>
      <w:pPr>
        <w:pStyle w:val="EquationBlock"/>
        <w:jc w:val="center"/>
        <w:shd w:fill="F1F5F7"/>
      </w:pPr>
      <w:r>
        <w:t>S^req_(i+1)</w:t>
        <w:br/>
        <w:t>=max(0,S^req_i+Δ V_i)</w:t>
      </w:r>
    </w:p>
    <w:p>
      <w:r>
        <w:rPr>
          <w:rFonts w:ascii="Calibri" w:hAnsi="Calibri"/>
          <w:color w:val="12233F"/>
          <w:sz w:val="21"/>
        </w:rPr>
        <w:t>Actual storage and interval overflow are:</w:t>
      </w:r>
    </w:p>
    <w:p>
      <w:pPr>
        <w:pStyle w:val="EquationBlock"/>
        <w:jc w:val="center"/>
        <w:shd w:fill="F1F5F7"/>
      </w:pPr>
      <w:r>
        <w:t>S^actual_(i+1)</w:t>
        <w:br/>
        <w:t>=min[V_usable,max(0,S^actual_i+Δ V_i)]</w:t>
      </w:r>
    </w:p>
    <w:p>
      <w:pPr>
        <w:pStyle w:val="EquationBlock"/>
        <w:jc w:val="center"/>
        <w:shd w:fill="F1F5F7"/>
      </w:pPr>
      <w:r>
        <w:t>V_(overflow,i)</w:t>
        <w:br/>
        <w:t>=max(0,S^actual_i+Δ V_i-V_usable)</w:t>
      </w:r>
    </w:p>
    <w:p>
      <w:r>
        <w:rPr>
          <w:rFonts w:ascii="Calibri" w:hAnsi="Calibri"/>
          <w:color w:val="12233F"/>
          <w:sz w:val="21"/>
        </w:rPr>
        <w:t>This is a control-volume mass balance. A real station may require smaller time steps, level-volume curves, pump start delays, multiple setpoints, variable speed, backwater, upstream sewer storage, and dynamic hydraulic routing.</w:t>
      </w:r>
    </w:p>
    <w:p>
      <w:r>
        <w:rPr>
          <w:rFonts w:ascii="Calibri" w:hAnsi="Calibri"/>
          <w:color w:val="12233F"/>
          <w:sz w:val="21"/>
        </w:rPr>
        <w:t>F-PUMP-005 describes a limited constant-speed cycle. For working volume V_w, constant inflow Q_in, and one-pump capacity Q_p&gt;Q_in:</w:t>
      </w:r>
    </w:p>
    <w:p>
      <w:pPr>
        <w:pStyle w:val="EquationBlock"/>
        <w:jc w:val="center"/>
        <w:shd w:fill="F1F5F7"/>
      </w:pPr>
      <w:r>
        <w:t>t_fill=(V_w) / (Q_in)</w:t>
      </w:r>
    </w:p>
    <w:p>
      <w:pPr>
        <w:pStyle w:val="EquationBlock"/>
        <w:jc w:val="center"/>
        <w:shd w:fill="F1F5F7"/>
      </w:pPr>
      <w:r>
        <w:t>t_draw=(V_w) / (Q_p-Q_in)</w:t>
      </w:r>
    </w:p>
    <w:p>
      <w:pPr>
        <w:pStyle w:val="EquationBlock"/>
        <w:jc w:val="center"/>
        <w:shd w:fill="F1F5F7"/>
      </w:pPr>
      <w:r>
        <w:t>t_cycle=t_fill+t_draw</w:t>
      </w:r>
    </w:p>
    <w:p>
      <w:pPr>
        <w:pStyle w:val="EquationBlock"/>
        <w:jc w:val="center"/>
        <w:shd w:fill="F1F5F7"/>
      </w:pPr>
      <w:r>
        <w:t>N_(cycles/hr)=(60) / (t_(cycle,min))</w:t>
      </w:r>
    </w:p>
    <w:p>
      <w:r>
        <w:rPr>
          <w:rFonts w:ascii="Calibri" w:hAnsi="Calibri"/>
          <w:color w:val="12233F"/>
          <w:sz w:val="21"/>
        </w:rPr>
        <w:t>USACE presents the equivalent maximum-cycle relationship V=tq/4 for the stated design conditions [R6]. Manufacturer motor-start limits and the actual control sequence govern production use.</w:t>
      </w:r>
    </w:p>
    <w:p>
      <w:pPr>
        <w:pStyle w:val="Heading2"/>
        <w:keepNext/>
      </w:pPr>
      <w:r>
        <w:t>6.10 Pump operating time and Miami-Dade NAPOT</w:t>
      </w:r>
    </w:p>
    <w:p>
      <w:r>
        <w:rPr>
          <w:rFonts w:ascii="Calibri" w:hAnsi="Calibri"/>
          <w:color w:val="12233F"/>
          <w:sz w:val="21"/>
        </w:rPr>
        <w:t>F-PUMP-006 estimates:</w:t>
      </w:r>
    </w:p>
    <w:p>
      <w:pPr>
        <w:pStyle w:val="EquationBlock"/>
        <w:jc w:val="center"/>
        <w:shd w:fill="F1F5F7"/>
      </w:pPr>
      <w:r>
        <w:t>H_aggregate</w:t>
        <w:br/>
        <w:t>=(V_(pumped,gal)) / (Q_(single,gpm)(60))</w:t>
      </w:r>
    </w:p>
    <w:p>
      <w:pPr>
        <w:pStyle w:val="EquationBlock"/>
        <w:jc w:val="center"/>
        <w:shd w:fill="F1F5F7"/>
      </w:pPr>
      <w:r>
        <w:t>H_(firm equivalent)</w:t>
        <w:br/>
        <w:t>=(V_(pumped,gal)) / (Q_(firm,gpm)(60))</w:t>
      </w:r>
    </w:p>
    <w:p>
      <w:r>
        <w:rPr>
          <w:rFonts w:ascii="Calibri" w:hAnsi="Calibri"/>
          <w:color w:val="12233F"/>
          <w:sz w:val="21"/>
        </w:rPr>
        <w:t>These are generic operating-time metrics.</w:t>
      </w:r>
    </w:p>
    <w:p>
      <w:r>
        <w:rPr>
          <w:rFonts w:ascii="Calibri" w:hAnsi="Calibri"/>
          <w:color w:val="12233F"/>
          <w:sz w:val="21"/>
        </w:rPr>
        <w:t>F-MDC-NAPOT-001 is jurisdiction specific. The 2013 Miami-Dade federal consent decree defines Yearly Nominal Daily Average Pump Operating Time, or NAPOT, using the average daily average pump operating time for months within the preceding 365 days, divided by one less than the number of installed pumps [R4]:</w:t>
      </w:r>
    </w:p>
    <w:p>
      <w:pPr>
        <w:pStyle w:val="EquationBlock"/>
        <w:jc w:val="center"/>
        <w:shd w:fill="F1F5F7"/>
      </w:pPr>
      <w:r>
        <w:t>Yearly NAPOT</w:t>
        <w:br/>
        <w:t>=(average monthly daily aggregate pump hours) / (N_installed-1)</w:t>
      </w:r>
    </w:p>
    <w:p>
      <w:r>
        <w:rPr>
          <w:rFonts w:ascii="Calibri" w:hAnsi="Calibri"/>
          <w:color w:val="12233F"/>
          <w:sz w:val="21"/>
        </w:rPr>
        <w:t>The source contains additional power-equivalence provisions for multispeed and variable-speed stations. The 10-hour criterion in that decree is not a universal pump-station formula. Current legal status and applicability must be verified before use.</w:t>
      </w:r>
    </w:p>
    <w:p>
      <w:pPr>
        <w:pStyle w:val="Heading2"/>
        <w:keepNext/>
      </w:pPr>
      <w:r>
        <w:t>6.11 Energy</w:t>
      </w:r>
    </w:p>
    <w:p>
      <w:r>
        <w:rPr>
          <w:rFonts w:ascii="Calibri" w:hAnsi="Calibri"/>
          <w:color w:val="12233F"/>
          <w:sz w:val="21"/>
        </w:rPr>
        <w:t>For water-like specific gravity of one, F-ENERGY-001:</w:t>
      </w:r>
    </w:p>
    <w:p>
      <w:pPr>
        <w:pStyle w:val="EquationBlock"/>
        <w:jc w:val="center"/>
        <w:shd w:fill="F1F5F7"/>
      </w:pPr>
      <w:r>
        <w:t>water hp=(Q_gpmH_ft) / (3960)</w:t>
      </w:r>
    </w:p>
    <w:p>
      <w:pPr>
        <w:pStyle w:val="EquationBlock"/>
        <w:jc w:val="center"/>
        <w:shd w:fill="F1F5F7"/>
      </w:pPr>
      <w:r>
        <w:t>input hp</w:t>
        <w:br/>
        <w:t>=(water hp) / (η_pη_m)</w:t>
      </w:r>
    </w:p>
    <w:p>
      <w:pPr>
        <w:pStyle w:val="EquationBlock"/>
        <w:jc w:val="center"/>
        <w:shd w:fill="F1F5F7"/>
      </w:pPr>
      <w:r>
        <w:t>P_kW=input hp(0.745699872)</w:t>
      </w:r>
    </w:p>
    <w:p>
      <w:r>
        <w:rPr>
          <w:rFonts w:ascii="Calibri" w:hAnsi="Calibri"/>
          <w:color w:val="12233F"/>
          <w:sz w:val="21"/>
        </w:rPr>
        <w:t>Efficiency must match the operating point. A fixed assumed efficiency is not acceptable where the pump operates across a material range.</w:t>
      </w:r>
    </w:p>
    <w:p>
      <w:r>
        <w:rPr>
          <w:rFonts w:ascii="Calibri" w:hAnsi="Calibri"/>
          <w:color w:val="12233F"/>
          <w:sz w:val="21"/>
        </w:rPr>
        <w:t>F-ENERGY-002:</w:t>
      </w:r>
    </w:p>
    <w:p>
      <w:pPr>
        <w:pStyle w:val="EquationBlock"/>
        <w:jc w:val="center"/>
        <w:shd w:fill="F1F5F7"/>
      </w:pPr>
      <w:r>
        <w:t>E_kWh=INTEGRAL P_kW(t) dt</w:t>
      </w:r>
    </w:p>
    <w:p>
      <w:pPr>
        <w:pStyle w:val="EquationBlock"/>
        <w:jc w:val="center"/>
        <w:shd w:fill="F1F5F7"/>
      </w:pPr>
      <w:r>
        <w:t>C_energy=E_kWhc_($/kWh)</w:t>
      </w:r>
    </w:p>
    <w:p>
      <w:r>
        <w:rPr>
          <w:rFonts w:ascii="Calibri" w:hAnsi="Calibri"/>
          <w:color w:val="12233F"/>
          <w:sz w:val="21"/>
        </w:rPr>
        <w:t>The tariff must include time-of-use, demand, power-factor, and other material charges when those affect the decision. EPA identifies pumping as a major wastewater energy use and emphasizes system, pump, motor, and control efficiency [R8].</w:t>
      </w:r>
    </w:p>
    <w:p>
      <w:pPr>
        <w:pStyle w:val="Heading2"/>
        <w:keepNext/>
      </w:pPr>
      <w:r>
        <w:t>6.12 Rehabilitation and economics</w:t>
      </w:r>
    </w:p>
    <w:p>
      <w:r>
        <w:rPr>
          <w:rFonts w:ascii="Calibri" w:hAnsi="Calibri"/>
          <w:color w:val="12233F"/>
          <w:sz w:val="21"/>
        </w:rPr>
        <w:t>F-ECON-002:</w:t>
      </w:r>
    </w:p>
    <w:p>
      <w:pPr>
        <w:pStyle w:val="EquationBlock"/>
        <w:jc w:val="center"/>
        <w:shd w:fill="F1F5F7"/>
      </w:pPr>
      <w:r>
        <w:t>V_(annual,MG)</w:t>
        <w:br/>
        <w:t>=Q_(average,MGD)N_days</w:t>
      </w:r>
    </w:p>
    <w:p>
      <w:r>
        <w:rPr>
          <w:rFonts w:ascii="Calibri" w:hAnsi="Calibri"/>
          <w:color w:val="12233F"/>
          <w:sz w:val="21"/>
        </w:rPr>
        <w:t>F-COST-001:</w:t>
      </w:r>
    </w:p>
    <w:p>
      <w:pPr>
        <w:pStyle w:val="EquationBlock"/>
        <w:jc w:val="center"/>
        <w:shd w:fill="F1F5F7"/>
      </w:pPr>
      <w:r>
        <w:t>C_annual</w:t>
        <w:br/>
        <w:t>=V_(I\ I,annual,MG)c_(marginal,$/MG)</w:t>
      </w:r>
    </w:p>
    <w:p>
      <w:r>
        <w:rPr>
          <w:rFonts w:ascii="Calibri" w:hAnsi="Calibri"/>
          <w:color w:val="12233F"/>
          <w:sz w:val="21"/>
        </w:rPr>
        <w:t>F-PV-001:</w:t>
      </w:r>
    </w:p>
    <w:p>
      <w:pPr>
        <w:pStyle w:val="EquationBlock"/>
        <w:jc w:val="center"/>
        <w:shd w:fill="F1F5F7"/>
      </w:pPr>
      <w:r>
        <w:t>PV=SUM_(t=0)^N(CF_t) / ((1+r)^t)</w:t>
      </w:r>
    </w:p>
    <w:p>
      <w:r>
        <w:rPr>
          <w:rFonts w:ascii="Calibri" w:hAnsi="Calibri"/>
          <w:color w:val="12233F"/>
          <w:sz w:val="21"/>
        </w:rPr>
        <w:t>F-ECON-003:</w:t>
      </w:r>
    </w:p>
    <w:p>
      <w:pPr>
        <w:pStyle w:val="EquationBlock"/>
        <w:jc w:val="center"/>
        <w:shd w:fill="F1F5F7"/>
      </w:pPr>
      <w:r>
        <w:t>NPV=PV_benefits-PV_costs</w:t>
      </w:r>
    </w:p>
    <w:p>
      <w:r>
        <w:rPr>
          <w:rFonts w:ascii="Calibri" w:hAnsi="Calibri"/>
          <w:color w:val="12233F"/>
          <w:sz w:val="21"/>
        </w:rPr>
        <w:t>F-BCR-001:</w:t>
      </w:r>
    </w:p>
    <w:p>
      <w:pPr>
        <w:pStyle w:val="EquationBlock"/>
        <w:jc w:val="center"/>
        <w:shd w:fill="F1F5F7"/>
      </w:pPr>
      <w:r>
        <w:t>BCR</w:t>
        <w:br/>
        <w:t>=(PV_benefits) / (PV_costs)</w:t>
      </w:r>
    </w:p>
    <w:p>
      <w:r>
        <w:rPr>
          <w:rFonts w:ascii="Calibri" w:hAnsi="Calibri"/>
          <w:color w:val="12233F"/>
          <w:sz w:val="21"/>
        </w:rPr>
        <w:t>F-ECON-004:</w:t>
      </w:r>
    </w:p>
    <w:p>
      <w:pPr>
        <w:pStyle w:val="EquationBlock"/>
        <w:jc w:val="center"/>
        <w:shd w:fill="F1F5F7"/>
      </w:pPr>
      <w:r>
        <w:t>simple payback</w:t>
        <w:br/>
        <w:t>=(C_initial) / (B_(annual,net))</w:t>
      </w:r>
    </w:p>
    <w:p>
      <w:r>
        <w:rPr>
          <w:rFonts w:ascii="Calibri" w:hAnsi="Calibri"/>
          <w:color w:val="12233F"/>
          <w:sz w:val="21"/>
        </w:rPr>
        <w:t>Simple payback is undefined when annual net benefit is zero or negative. It ignores discounting and post-payback cash flow and cannot replace lifecycle analysis.</w:t>
      </w:r>
    </w:p>
    <w:p>
      <w:r>
        <w:rPr>
          <w:rFonts w:ascii="Calibri" w:hAnsi="Calibri"/>
          <w:color w:val="12233F"/>
          <w:sz w:val="21"/>
        </w:rPr>
        <w:t>Benefits may include:</w:t>
      </w:r>
    </w:p>
    <w:p>
      <w:pPr>
        <w:pStyle w:val="ListBullet"/>
      </w:pPr>
      <w:r>
        <w:rPr>
          <w:rFonts w:ascii="Calibri" w:hAnsi="Calibri"/>
          <w:color w:val="12233F"/>
          <w:sz w:val="21"/>
        </w:rPr>
        <w:t>marginal pumping and treatment cost;</w:t>
      </w:r>
    </w:p>
    <w:p>
      <w:pPr>
        <w:pStyle w:val="ListBullet"/>
      </w:pPr>
      <w:r>
        <w:rPr>
          <w:rFonts w:ascii="Calibri" w:hAnsi="Calibri"/>
          <w:color w:val="12233F"/>
          <w:sz w:val="21"/>
        </w:rPr>
        <w:t>avoided or deferred conveyance and treatment capacity;</w:t>
      </w:r>
    </w:p>
    <w:p>
      <w:pPr>
        <w:pStyle w:val="ListBullet"/>
      </w:pPr>
      <w:r>
        <w:rPr>
          <w:rFonts w:ascii="Calibri" w:hAnsi="Calibri"/>
          <w:color w:val="12233F"/>
          <w:sz w:val="21"/>
        </w:rPr>
        <w:t>avoided overflow response and damage;</w:t>
      </w:r>
    </w:p>
    <w:p>
      <w:pPr>
        <w:pStyle w:val="ListBullet"/>
      </w:pPr>
      <w:r>
        <w:rPr>
          <w:rFonts w:ascii="Calibri" w:hAnsi="Calibri"/>
          <w:color w:val="12233F"/>
          <w:sz w:val="21"/>
        </w:rPr>
        <w:t>reliability and resilience;</w:t>
      </w:r>
    </w:p>
    <w:p>
      <w:pPr>
        <w:pStyle w:val="ListBullet"/>
      </w:pPr>
      <w:r>
        <w:rPr>
          <w:rFonts w:ascii="Calibri" w:hAnsi="Calibri"/>
          <w:color w:val="12233F"/>
          <w:sz w:val="21"/>
        </w:rPr>
        <w:t>compliance-risk reduction;</w:t>
      </w:r>
    </w:p>
    <w:p>
      <w:pPr>
        <w:pStyle w:val="ListBullet"/>
      </w:pPr>
      <w:r>
        <w:rPr>
          <w:rFonts w:ascii="Calibri" w:hAnsi="Calibri"/>
          <w:color w:val="12233F"/>
          <w:sz w:val="21"/>
        </w:rPr>
        <w:t>environmental and public-health value;</w:t>
      </w:r>
    </w:p>
    <w:p>
      <w:pPr>
        <w:pStyle w:val="ListBullet"/>
      </w:pPr>
      <w:r>
        <w:rPr>
          <w:rFonts w:ascii="Calibri" w:hAnsi="Calibri"/>
          <w:color w:val="12233F"/>
          <w:sz w:val="21"/>
        </w:rPr>
        <w:t>customer and community disruption avoided; and</w:t>
      </w:r>
    </w:p>
    <w:p>
      <w:pPr>
        <w:pStyle w:val="ListBullet"/>
      </w:pPr>
      <w:r>
        <w:rPr>
          <w:rFonts w:ascii="Calibri" w:hAnsi="Calibri"/>
          <w:color w:val="12233F"/>
          <w:sz w:val="21"/>
        </w:rPr>
        <w:t>residual asset value.</w:t>
      </w:r>
    </w:p>
    <w:p>
      <w:r>
        <w:rPr>
          <w:rFonts w:ascii="Calibri" w:hAnsi="Calibri"/>
          <w:color w:val="12233F"/>
          <w:sz w:val="21"/>
        </w:rPr>
        <w:t>Each must have its own evidence and uncertainty. Avoided-capacity value cannot be claimed unless a real capacity constraint, timing effect, and deferrable project are documented.</w:t>
      </w:r>
    </w:p>
    <w:p>
      <w:pPr>
        <w:pStyle w:val="Heading2"/>
        <w:keepNext/>
      </w:pPr>
      <w:r>
        <w:t>6.13 Uncertainty and verification</w:t>
      </w:r>
    </w:p>
    <w:p>
      <w:r>
        <w:rPr>
          <w:rFonts w:ascii="Calibri" w:hAnsi="Calibri"/>
          <w:color w:val="12233F"/>
          <w:sz w:val="21"/>
        </w:rPr>
        <w:t>A scalar without uncertainty can overstate precision. At minimum, the engine carries input uncertainties, method uncertainty, calibration error, scenario uncertainty, and output sensitivity.</w:t>
      </w:r>
    </w:p>
    <w:p>
      <w:r>
        <w:rPr>
          <w:rFonts w:ascii="Calibri" w:hAnsi="Calibri"/>
          <w:color w:val="12233F"/>
          <w:sz w:val="21"/>
        </w:rPr>
        <w:t>For a differentiable function y=f(x), F-UNC-001 provides first-order covariance propagation:</w:t>
      </w:r>
    </w:p>
    <w:p>
      <w:pPr>
        <w:pStyle w:val="EquationBlock"/>
        <w:jc w:val="center"/>
        <w:shd w:fill="F1F5F7"/>
      </w:pPr>
      <w:r>
        <w:t>Var(y) ≈</w:t>
        <w:br/>
        <w:t>JΣ_xJ^T</w:t>
      </w:r>
    </w:p>
    <w:p>
      <w:r>
        <w:rPr>
          <w:rFonts w:ascii="Calibri" w:hAnsi="Calibri"/>
          <w:color w:val="12233F"/>
          <w:sz w:val="21"/>
        </w:rPr>
        <w:t>where J is the Jacobian. Monte Carlo simulation is appropriate when the model is nonlinear, bounded, discontinuous, or driven by distributions.</w:t>
      </w:r>
    </w:p>
    <w:p>
      <w:r>
        <w:rPr>
          <w:rFonts w:ascii="Calibri" w:hAnsi="Calibri"/>
          <w:color w:val="12233F"/>
          <w:sz w:val="21"/>
        </w:rPr>
        <w:t>Post-rehabilitation verification must compare like hydrologic and operating conditions. F-VERIFY-001 defines reduction relative to a counterfactual:</w:t>
      </w:r>
    </w:p>
    <w:p>
      <w:pPr>
        <w:pStyle w:val="EquationBlock"/>
        <w:jc w:val="center"/>
        <w:shd w:fill="F1F5F7"/>
      </w:pPr>
      <w:r>
        <w:t>reduction</w:t>
        <w:br/>
        <w:t>=predicted post response without rehabilitation</w:t>
        <w:br/>
        <w:t>-observed post response</w:t>
      </w:r>
    </w:p>
    <w:p>
      <w:r>
        <w:rPr>
          <w:rFonts w:ascii="Calibri" w:hAnsi="Calibri"/>
          <w:color w:val="12233F"/>
          <w:sz w:val="21"/>
        </w:rPr>
        <w:t>The counterfactual should control for rainfall, antecedent moisture, groundwater, season, basin changes, meter configuration, and wastewater demand. One before event and one after event rarely support a causal conclusion.</w:t>
      </w:r>
    </w:p>
    <w:p>
      <w:r>
        <w:br w:type="page"/>
      </w:r>
    </w:p>
    <w:p>
      <w:pPr>
        <w:pStyle w:val="Heading1"/>
        <w:keepNext/>
      </w:pPr>
      <w:r>
        <w:t>7. Complete worked basin and pump-station example</w:t>
      </w:r>
    </w:p>
    <w:p>
      <w:pPr>
        <w:pStyle w:val="Heading2"/>
        <w:keepNext/>
      </w:pPr>
      <w:r>
        <w:t>7.1 Example boundary and inputs</w:t>
      </w:r>
    </w:p>
    <w:p>
      <w:r>
        <w:rPr>
          <w:rFonts w:ascii="Calibri" w:hAnsi="Calibri"/>
          <w:color w:val="12233F"/>
          <w:sz w:val="21"/>
        </w:rPr>
        <w:t>MD-EX-01 is synthetic. It represents a coastal, high-groundwater context without claiming to be an actual Miami-Dade basin.</w:t>
      </w:r>
    </w:p>
    <w:tbl>
      <w:tblPr>
        <w:tblStyle w:val="TableGrid"/>
        <w:tblW w:type="dxa" w:w="9360"/>
        <w:tblLayout w:type="fixed"/>
        <w:tblLook w:firstColumn="1" w:firstRow="1" w:lastColumn="0" w:lastRow="0" w:noHBand="0" w:noVBand="1" w:val="04A0"/>
        <w:tblInd w:w="120" w:type="dxa"/>
      </w:tblPr>
      <w:tblGrid>
        <w:gridCol w:w="4746"/>
        <w:gridCol w:w="4614"/>
      </w:tblGrid>
      <w:tr>
        <w:trPr>
          <w:tblHeader w:val="true"/>
        </w:trPr>
        <w:tc>
          <w:tcPr>
            <w:tcW w:type="dxa" w:w="4746"/>
            <w:shd w:fill="176B87"/>
            <w:tcMar>
              <w:top w:w="80" w:type="dxa"/>
              <w:start w:w="120" w:type="dxa"/>
              <w:bottom w:w="80" w:type="dxa"/>
              <w:end w:w="120" w:type="dxa"/>
            </w:tcMar>
            <w:vAlign w:val="center"/>
          </w:tcPr>
          <w:p>
            <w:r>
              <w:rPr>
                <w:b/>
                <w:color w:val="FFFFFF"/>
              </w:rPr>
            </w:r>
            <w:r>
              <w:rPr>
                <w:rFonts w:ascii="Calibri" w:hAnsi="Calibri"/>
                <w:b/>
                <w:color w:val="FFFFFF"/>
                <w:sz w:val="18"/>
              </w:rPr>
              <w:t>Input</w:t>
            </w:r>
          </w:p>
        </w:tc>
        <w:tc>
          <w:tcPr>
            <w:tcW w:type="dxa" w:w="4614"/>
            <w:shd w:fill="176B87"/>
            <w:tcMar>
              <w:top w:w="80" w:type="dxa"/>
              <w:start w:w="120" w:type="dxa"/>
              <w:bottom w:w="80" w:type="dxa"/>
              <w:end w:w="120" w:type="dxa"/>
            </w:tcMar>
            <w:vAlign w:val="center"/>
          </w:tcPr>
          <w:p>
            <w:r>
              <w:rPr>
                <w:b/>
                <w:color w:val="FFFFFF"/>
              </w:rPr>
            </w:r>
            <w:r>
              <w:rPr>
                <w:rFonts w:ascii="Calibri" w:hAnsi="Calibri"/>
                <w:b/>
                <w:color w:val="FFFFFF"/>
                <w:sz w:val="18"/>
              </w:rPr>
              <w:t>Value</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Tributary area</w:t>
            </w:r>
          </w:p>
        </w:tc>
        <w:tc>
          <w:tcPr>
            <w:tcW w:type="dxa" w:w="4614"/>
            <w:tcMar>
              <w:top w:w="80" w:type="dxa"/>
              <w:start w:w="120" w:type="dxa"/>
              <w:bottom w:w="80" w:type="dxa"/>
              <w:end w:w="120" w:type="dxa"/>
            </w:tcMar>
            <w:vAlign w:val="center"/>
          </w:tcPr>
          <w:p>
            <w:pPr>
              <w:jc w:val="left"/>
            </w:pPr>
            <w:r>
              <w:rPr>
                <w:rFonts w:ascii="Calibri" w:hAnsi="Calibri"/>
                <w:color w:val="12233F"/>
                <w:sz w:val="17"/>
              </w:rPr>
              <w:t>640 acres</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Population</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12,000 persons</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Service connections</w:t>
            </w:r>
          </w:p>
        </w:tc>
        <w:tc>
          <w:tcPr>
            <w:tcW w:type="dxa" w:w="4614"/>
            <w:tcMar>
              <w:top w:w="80" w:type="dxa"/>
              <w:start w:w="120" w:type="dxa"/>
              <w:bottom w:w="80" w:type="dxa"/>
              <w:end w:w="120" w:type="dxa"/>
            </w:tcMar>
            <w:vAlign w:val="center"/>
          </w:tcPr>
          <w:p>
            <w:pPr>
              <w:jc w:val="right"/>
            </w:pPr>
            <w:r>
              <w:rPr>
                <w:rFonts w:ascii="Calibri" w:hAnsi="Calibri"/>
                <w:color w:val="12233F"/>
                <w:sz w:val="17"/>
              </w:rPr>
              <w:t>4,200</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Average BWF</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1.000 MGD</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Average GWI</w:t>
            </w:r>
          </w:p>
        </w:tc>
        <w:tc>
          <w:tcPr>
            <w:tcW w:type="dxa" w:w="4614"/>
            <w:tcMar>
              <w:top w:w="80" w:type="dxa"/>
              <w:start w:w="120" w:type="dxa"/>
              <w:bottom w:w="80" w:type="dxa"/>
              <w:end w:w="120" w:type="dxa"/>
            </w:tcMar>
            <w:vAlign w:val="center"/>
          </w:tcPr>
          <w:p>
            <w:pPr>
              <w:jc w:val="left"/>
            </w:pPr>
            <w:r>
              <w:rPr>
                <w:rFonts w:ascii="Calibri" w:hAnsi="Calibri"/>
                <w:color w:val="12233F"/>
                <w:sz w:val="17"/>
              </w:rPr>
              <w:t>0.250 MGD</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Gravity main</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44 miles</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Rainfall</w:t>
            </w:r>
          </w:p>
        </w:tc>
        <w:tc>
          <w:tcPr>
            <w:tcW w:type="dxa" w:w="4614"/>
            <w:tcMar>
              <w:top w:w="80" w:type="dxa"/>
              <w:start w:w="120" w:type="dxa"/>
              <w:bottom w:w="80" w:type="dxa"/>
              <w:end w:w="120" w:type="dxa"/>
            </w:tcMar>
            <w:vAlign w:val="center"/>
          </w:tcPr>
          <w:p>
            <w:pPr>
              <w:jc w:val="left"/>
            </w:pPr>
            <w:r>
              <w:rPr>
                <w:rFonts w:ascii="Calibri" w:hAnsi="Calibri"/>
                <w:color w:val="12233F"/>
                <w:sz w:val="17"/>
              </w:rPr>
              <w:t>3.2 inches over 6 hours</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Calculation interval</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15 minutes</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Short RTK</w:t>
            </w:r>
          </w:p>
        </w:tc>
        <w:tc>
          <w:tcPr>
            <w:tcW w:type="dxa" w:w="4614"/>
            <w:tcMar>
              <w:top w:w="80" w:type="dxa"/>
              <w:start w:w="120" w:type="dxa"/>
              <w:bottom w:w="80" w:type="dxa"/>
              <w:end w:w="120" w:type="dxa"/>
            </w:tcMar>
            <w:vAlign w:val="center"/>
          </w:tcPr>
          <w:p>
            <w:pPr>
              <w:jc w:val="left"/>
            </w:pPr>
            <w:r>
              <w:rPr>
                <w:rFonts w:ascii="Calibri" w:hAnsi="Calibri"/>
                <w:color w:val="12233F"/>
                <w:sz w:val="17"/>
              </w:rPr>
              <w:t>R=0.006, T=1 hr, K=2</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Medium RTK</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R=0.010, T=4 hr, K=3</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Long RTK</w:t>
            </w:r>
          </w:p>
        </w:tc>
        <w:tc>
          <w:tcPr>
            <w:tcW w:type="dxa" w:w="4614"/>
            <w:tcMar>
              <w:top w:w="80" w:type="dxa"/>
              <w:start w:w="120" w:type="dxa"/>
              <w:bottom w:w="80" w:type="dxa"/>
              <w:end w:w="120" w:type="dxa"/>
            </w:tcMar>
            <w:vAlign w:val="center"/>
          </w:tcPr>
          <w:p>
            <w:pPr>
              <w:jc w:val="left"/>
            </w:pPr>
            <w:r>
              <w:rPr>
                <w:rFonts w:ascii="Calibri" w:hAnsi="Calibri"/>
                <w:color w:val="12233F"/>
                <w:sz w:val="17"/>
              </w:rPr>
              <w:t>R=0.016, T=12 hr, K=4</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Installed pumps</w:t>
            </w:r>
          </w:p>
        </w:tc>
        <w:tc>
          <w:tcPr>
            <w:tcW w:type="dxa" w:w="4614"/>
            <w:shd w:fill="F4F7F9"/>
            <w:tcMar>
              <w:top w:w="80" w:type="dxa"/>
              <w:start w:w="120" w:type="dxa"/>
              <w:bottom w:w="80" w:type="dxa"/>
              <w:end w:w="120" w:type="dxa"/>
            </w:tcMar>
            <w:vAlign w:val="center"/>
          </w:tcPr>
          <w:p>
            <w:pPr>
              <w:jc w:val="right"/>
            </w:pPr>
            <w:r>
              <w:rPr>
                <w:rFonts w:ascii="Calibri" w:hAnsi="Calibri"/>
                <w:color w:val="12233F"/>
                <w:sz w:val="17"/>
              </w:rPr>
              <w:t>3</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Normal duty and standby</w:t>
            </w:r>
          </w:p>
        </w:tc>
        <w:tc>
          <w:tcPr>
            <w:tcW w:type="dxa" w:w="4614"/>
            <w:tcMar>
              <w:top w:w="80" w:type="dxa"/>
              <w:start w:w="120" w:type="dxa"/>
              <w:bottom w:w="80" w:type="dxa"/>
              <w:end w:w="120" w:type="dxa"/>
            </w:tcMar>
            <w:vAlign w:val="center"/>
          </w:tcPr>
          <w:p>
            <w:pPr>
              <w:jc w:val="left"/>
            </w:pPr>
            <w:r>
              <w:rPr>
                <w:rFonts w:ascii="Calibri" w:hAnsi="Calibri"/>
                <w:color w:val="12233F"/>
                <w:sz w:val="17"/>
              </w:rPr>
              <w:t>2 duty, 1 standby</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Force main</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16-inch internal diameter, 9,500 ft</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Absolute roughness</w:t>
            </w:r>
          </w:p>
        </w:tc>
        <w:tc>
          <w:tcPr>
            <w:tcW w:type="dxa" w:w="4614"/>
            <w:tcMar>
              <w:top w:w="80" w:type="dxa"/>
              <w:start w:w="120" w:type="dxa"/>
              <w:bottom w:w="80" w:type="dxa"/>
              <w:end w:w="120" w:type="dxa"/>
            </w:tcMar>
            <w:vAlign w:val="center"/>
          </w:tcPr>
          <w:p>
            <w:pPr>
              <w:jc w:val="left"/>
            </w:pPr>
            <w:r>
              <w:rPr>
                <w:rFonts w:ascii="Calibri" w:hAnsi="Calibri"/>
                <w:color w:val="12233F"/>
                <w:sz w:val="17"/>
              </w:rPr>
              <w:t>0.0005 ft</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Sum of minor-loss coefficients</w:t>
            </w:r>
          </w:p>
        </w:tc>
        <w:tc>
          <w:tcPr>
            <w:tcW w:type="dxa" w:w="4614"/>
            <w:shd w:fill="F4F7F9"/>
            <w:tcMar>
              <w:top w:w="80" w:type="dxa"/>
              <w:start w:w="120" w:type="dxa"/>
              <w:bottom w:w="80" w:type="dxa"/>
              <w:end w:w="120" w:type="dxa"/>
            </w:tcMar>
            <w:vAlign w:val="center"/>
          </w:tcPr>
          <w:p>
            <w:pPr>
              <w:jc w:val="right"/>
            </w:pPr>
            <w:r>
              <w:rPr>
                <w:rFonts w:ascii="Calibri" w:hAnsi="Calibri"/>
                <w:color w:val="12233F"/>
                <w:sz w:val="17"/>
              </w:rPr>
              <w:t>8</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Static head range</w:t>
            </w:r>
          </w:p>
        </w:tc>
        <w:tc>
          <w:tcPr>
            <w:tcW w:type="dxa" w:w="4614"/>
            <w:tcMar>
              <w:top w:w="80" w:type="dxa"/>
              <w:start w:w="120" w:type="dxa"/>
              <w:bottom w:w="80" w:type="dxa"/>
              <w:end w:w="120" w:type="dxa"/>
            </w:tcMar>
            <w:vAlign w:val="center"/>
          </w:tcPr>
          <w:p>
            <w:pPr>
              <w:jc w:val="left"/>
            </w:pPr>
            <w:r>
              <w:rPr>
                <w:rFonts w:ascii="Calibri" w:hAnsi="Calibri"/>
                <w:color w:val="12233F"/>
                <w:sz w:val="17"/>
              </w:rPr>
              <w:t>19 to 25 ft</w:t>
            </w:r>
          </w:p>
        </w:tc>
      </w:tr>
      <w:tr>
        <w:tc>
          <w:tcPr>
            <w:tcW w:type="dxa" w:w="4746"/>
            <w:shd w:fill="F4F7F9"/>
            <w:tcMar>
              <w:top w:w="80" w:type="dxa"/>
              <w:start w:w="120" w:type="dxa"/>
              <w:bottom w:w="80" w:type="dxa"/>
              <w:end w:w="120" w:type="dxa"/>
            </w:tcMar>
            <w:vAlign w:val="center"/>
          </w:tcPr>
          <w:p>
            <w:pPr>
              <w:jc w:val="left"/>
            </w:pPr>
            <w:r>
              <w:rPr>
                <w:rFonts w:ascii="Calibri" w:hAnsi="Calibri"/>
                <w:color w:val="12233F"/>
                <w:sz w:val="17"/>
              </w:rPr>
              <w:t>Wet-well working volume</w:t>
            </w:r>
          </w:p>
        </w:tc>
        <w:tc>
          <w:tcPr>
            <w:tcW w:type="dxa" w:w="4614"/>
            <w:shd w:fill="F4F7F9"/>
            <w:tcMar>
              <w:top w:w="80" w:type="dxa"/>
              <w:start w:w="120" w:type="dxa"/>
              <w:bottom w:w="80" w:type="dxa"/>
              <w:end w:w="120" w:type="dxa"/>
            </w:tcMar>
            <w:vAlign w:val="center"/>
          </w:tcPr>
          <w:p>
            <w:pPr>
              <w:jc w:val="left"/>
            </w:pPr>
            <w:r>
              <w:rPr>
                <w:rFonts w:ascii="Calibri" w:hAnsi="Calibri"/>
                <w:color w:val="12233F"/>
                <w:sz w:val="17"/>
              </w:rPr>
              <w:t>15,000 gal</w:t>
            </w:r>
          </w:p>
        </w:tc>
      </w:tr>
      <w:tr>
        <w:tc>
          <w:tcPr>
            <w:tcW w:type="dxa" w:w="4746"/>
            <w:tcMar>
              <w:top w:w="80" w:type="dxa"/>
              <w:start w:w="120" w:type="dxa"/>
              <w:bottom w:w="80" w:type="dxa"/>
              <w:end w:w="120" w:type="dxa"/>
            </w:tcMar>
            <w:vAlign w:val="center"/>
          </w:tcPr>
          <w:p>
            <w:pPr>
              <w:jc w:val="left"/>
            </w:pPr>
            <w:r>
              <w:rPr>
                <w:rFonts w:ascii="Calibri" w:hAnsi="Calibri"/>
                <w:color w:val="12233F"/>
                <w:sz w:val="17"/>
              </w:rPr>
              <w:t>Usable high-alarm-to-overflow volume</w:t>
            </w:r>
          </w:p>
        </w:tc>
        <w:tc>
          <w:tcPr>
            <w:tcW w:type="dxa" w:w="4614"/>
            <w:tcMar>
              <w:top w:w="80" w:type="dxa"/>
              <w:start w:w="120" w:type="dxa"/>
              <w:bottom w:w="80" w:type="dxa"/>
              <w:end w:w="120" w:type="dxa"/>
            </w:tcMar>
            <w:vAlign w:val="center"/>
          </w:tcPr>
          <w:p>
            <w:pPr>
              <w:jc w:val="left"/>
            </w:pPr>
            <w:r>
              <w:rPr>
                <w:rFonts w:ascii="Calibri" w:hAnsi="Calibri"/>
                <w:color w:val="12233F"/>
                <w:sz w:val="17"/>
              </w:rPr>
              <w:t>45,000 gal</w:t>
            </w:r>
          </w:p>
        </w:tc>
      </w:tr>
    </w:tbl>
    <w:p>
      <w:pPr>
        <w:spacing w:after="20"/>
      </w:pPr>
    </w:p>
    <w:p>
      <w:r>
        <w:rPr>
          <w:rFonts w:ascii="Calibri" w:hAnsi="Calibri"/>
          <w:color w:val="12233F"/>
          <w:sz w:val="21"/>
        </w:rPr>
        <w:t>The pump curve is:</w:t>
      </w:r>
    </w:p>
    <w:tbl>
      <w:tblPr>
        <w:tblStyle w:val="TableGrid"/>
        <w:tblW w:type="dxa" w:w="9360"/>
        <w:tblLayout w:type="fixed"/>
        <w:tblLook w:firstColumn="1" w:firstRow="1" w:lastColumn="0" w:lastRow="0" w:noHBand="0" w:noVBand="1" w:val="04A0"/>
        <w:tblInd w:w="120" w:type="dxa"/>
      </w:tblPr>
      <w:tblGrid>
        <w:gridCol w:w="3510"/>
        <w:gridCol w:w="1560"/>
        <w:gridCol w:w="4290"/>
      </w:tblGrid>
      <w:tr>
        <w:trPr>
          <w:tblHeader w:val="true"/>
        </w:trPr>
        <w:tc>
          <w:tcPr>
            <w:tcW w:type="dxa" w:w="3510"/>
            <w:shd w:fill="176B87"/>
            <w:tcMar>
              <w:top w:w="80" w:type="dxa"/>
              <w:start w:w="120" w:type="dxa"/>
              <w:bottom w:w="80" w:type="dxa"/>
              <w:end w:w="120" w:type="dxa"/>
            </w:tcMar>
            <w:vAlign w:val="center"/>
          </w:tcPr>
          <w:p>
            <w:r>
              <w:rPr>
                <w:b/>
                <w:color w:val="FFFFFF"/>
              </w:rPr>
            </w:r>
            <w:r>
              <w:rPr>
                <w:rFonts w:ascii="Calibri" w:hAnsi="Calibri"/>
                <w:b/>
                <w:color w:val="FFFFFF"/>
                <w:sz w:val="18"/>
              </w:rPr>
              <w:t>Per-pump flow, gpm</w:t>
            </w:r>
          </w:p>
        </w:tc>
        <w:tc>
          <w:tcPr>
            <w:tcW w:type="dxa" w:w="1560"/>
            <w:shd w:fill="176B87"/>
            <w:tcMar>
              <w:top w:w="80" w:type="dxa"/>
              <w:start w:w="120" w:type="dxa"/>
              <w:bottom w:w="80" w:type="dxa"/>
              <w:end w:w="120" w:type="dxa"/>
            </w:tcMar>
            <w:vAlign w:val="center"/>
          </w:tcPr>
          <w:p>
            <w:r>
              <w:rPr>
                <w:b/>
                <w:color w:val="FFFFFF"/>
              </w:rPr>
            </w:r>
            <w:r>
              <w:rPr>
                <w:rFonts w:ascii="Calibri" w:hAnsi="Calibri"/>
                <w:b/>
                <w:color w:val="FFFFFF"/>
                <w:sz w:val="18"/>
              </w:rPr>
              <w:t>Head, ft</w:t>
            </w:r>
          </w:p>
        </w:tc>
        <w:tc>
          <w:tcPr>
            <w:tcW w:type="dxa" w:w="4290"/>
            <w:shd w:fill="176B87"/>
            <w:tcMar>
              <w:top w:w="80" w:type="dxa"/>
              <w:start w:w="120" w:type="dxa"/>
              <w:bottom w:w="80" w:type="dxa"/>
              <w:end w:w="120" w:type="dxa"/>
            </w:tcMar>
            <w:vAlign w:val="center"/>
          </w:tcPr>
          <w:p>
            <w:r>
              <w:rPr>
                <w:b/>
                <w:color w:val="FFFFFF"/>
              </w:rPr>
            </w:r>
            <w:r>
              <w:rPr>
                <w:rFonts w:ascii="Calibri" w:hAnsi="Calibri"/>
                <w:b/>
                <w:color w:val="FFFFFF"/>
                <w:sz w:val="18"/>
              </w:rPr>
              <w:t>Pump efficiency</w:t>
            </w:r>
          </w:p>
        </w:tc>
      </w:tr>
      <w:tr>
        <w:tc>
          <w:tcPr>
            <w:tcW w:type="dxa" w:w="3510"/>
            <w:tcMar>
              <w:top w:w="80" w:type="dxa"/>
              <w:start w:w="120" w:type="dxa"/>
              <w:bottom w:w="80" w:type="dxa"/>
              <w:end w:w="120" w:type="dxa"/>
            </w:tcMar>
            <w:vAlign w:val="center"/>
          </w:tcPr>
          <w:p>
            <w:pPr>
              <w:jc w:val="right"/>
            </w:pPr>
            <w:r>
              <w:rPr>
                <w:rFonts w:ascii="Calibri" w:hAnsi="Calibri"/>
                <w:color w:val="12233F"/>
                <w:sz w:val="17"/>
              </w:rPr>
              <w:t>0</w:t>
            </w:r>
          </w:p>
        </w:tc>
        <w:tc>
          <w:tcPr>
            <w:tcW w:type="dxa" w:w="1560"/>
            <w:tcMar>
              <w:top w:w="80" w:type="dxa"/>
              <w:start w:w="120" w:type="dxa"/>
              <w:bottom w:w="80" w:type="dxa"/>
              <w:end w:w="120" w:type="dxa"/>
            </w:tcMar>
            <w:vAlign w:val="center"/>
          </w:tcPr>
          <w:p>
            <w:pPr>
              <w:jc w:val="right"/>
            </w:pPr>
            <w:r>
              <w:rPr>
                <w:rFonts w:ascii="Calibri" w:hAnsi="Calibri"/>
                <w:color w:val="12233F"/>
                <w:sz w:val="17"/>
              </w:rPr>
              <w:t>140</w:t>
            </w:r>
          </w:p>
        </w:tc>
        <w:tc>
          <w:tcPr>
            <w:tcW w:type="dxa" w:w="4290"/>
            <w:tcMar>
              <w:top w:w="80" w:type="dxa"/>
              <w:start w:w="120" w:type="dxa"/>
              <w:bottom w:w="80" w:type="dxa"/>
              <w:end w:w="120" w:type="dxa"/>
            </w:tcMar>
            <w:vAlign w:val="center"/>
          </w:tcPr>
          <w:p>
            <w:pPr>
              <w:jc w:val="left"/>
            </w:pPr>
            <w:r>
              <w:rPr>
                <w:rFonts w:ascii="Calibri" w:hAnsi="Calibri"/>
                <w:color w:val="12233F"/>
                <w:sz w:val="17"/>
              </w:rPr>
              <w:t>not defined at shutoff</w:t>
            </w:r>
          </w:p>
        </w:tc>
      </w:tr>
      <w:tr>
        <w:tc>
          <w:tcPr>
            <w:tcW w:type="dxa" w:w="3510"/>
            <w:shd w:fill="F4F7F9"/>
            <w:tcMar>
              <w:top w:w="80" w:type="dxa"/>
              <w:start w:w="120" w:type="dxa"/>
              <w:bottom w:w="80" w:type="dxa"/>
              <w:end w:w="120" w:type="dxa"/>
            </w:tcMar>
            <w:vAlign w:val="center"/>
          </w:tcPr>
          <w:p>
            <w:pPr>
              <w:jc w:val="right"/>
            </w:pPr>
            <w:r>
              <w:rPr>
                <w:rFonts w:ascii="Calibri" w:hAnsi="Calibri"/>
                <w:color w:val="12233F"/>
                <w:sz w:val="17"/>
              </w:rPr>
              <w:t>1,000</w:t>
            </w:r>
          </w:p>
        </w:tc>
        <w:tc>
          <w:tcPr>
            <w:tcW w:type="dxa" w:w="1560"/>
            <w:shd w:fill="F4F7F9"/>
            <w:tcMar>
              <w:top w:w="80" w:type="dxa"/>
              <w:start w:w="120" w:type="dxa"/>
              <w:bottom w:w="80" w:type="dxa"/>
              <w:end w:w="120" w:type="dxa"/>
            </w:tcMar>
            <w:vAlign w:val="center"/>
          </w:tcPr>
          <w:p>
            <w:pPr>
              <w:jc w:val="right"/>
            </w:pPr>
            <w:r>
              <w:rPr>
                <w:rFonts w:ascii="Calibri" w:hAnsi="Calibri"/>
                <w:color w:val="12233F"/>
                <w:sz w:val="17"/>
              </w:rPr>
              <w:t>132</w:t>
            </w:r>
          </w:p>
        </w:tc>
        <w:tc>
          <w:tcPr>
            <w:tcW w:type="dxa" w:w="4290"/>
            <w:shd w:fill="F4F7F9"/>
            <w:tcMar>
              <w:top w:w="80" w:type="dxa"/>
              <w:start w:w="120" w:type="dxa"/>
              <w:bottom w:w="80" w:type="dxa"/>
              <w:end w:w="120" w:type="dxa"/>
            </w:tcMar>
            <w:vAlign w:val="center"/>
          </w:tcPr>
          <w:p>
            <w:pPr>
              <w:jc w:val="right"/>
            </w:pPr>
            <w:r>
              <w:rPr>
                <w:rFonts w:ascii="Calibri" w:hAnsi="Calibri"/>
                <w:color w:val="12233F"/>
                <w:sz w:val="17"/>
              </w:rPr>
              <w:t>0.68</w:t>
            </w:r>
          </w:p>
        </w:tc>
      </w:tr>
      <w:tr>
        <w:tc>
          <w:tcPr>
            <w:tcW w:type="dxa" w:w="3510"/>
            <w:tcMar>
              <w:top w:w="80" w:type="dxa"/>
              <w:start w:w="120" w:type="dxa"/>
              <w:bottom w:w="80" w:type="dxa"/>
              <w:end w:w="120" w:type="dxa"/>
            </w:tcMar>
            <w:vAlign w:val="center"/>
          </w:tcPr>
          <w:p>
            <w:pPr>
              <w:jc w:val="right"/>
            </w:pPr>
            <w:r>
              <w:rPr>
                <w:rFonts w:ascii="Calibri" w:hAnsi="Calibri"/>
                <w:color w:val="12233F"/>
                <w:sz w:val="17"/>
              </w:rPr>
              <w:t>2,000</w:t>
            </w:r>
          </w:p>
        </w:tc>
        <w:tc>
          <w:tcPr>
            <w:tcW w:type="dxa" w:w="1560"/>
            <w:tcMar>
              <w:top w:w="80" w:type="dxa"/>
              <w:start w:w="120" w:type="dxa"/>
              <w:bottom w:w="80" w:type="dxa"/>
              <w:end w:w="120" w:type="dxa"/>
            </w:tcMar>
            <w:vAlign w:val="center"/>
          </w:tcPr>
          <w:p>
            <w:pPr>
              <w:jc w:val="right"/>
            </w:pPr>
            <w:r>
              <w:rPr>
                <w:rFonts w:ascii="Calibri" w:hAnsi="Calibri"/>
                <w:color w:val="12233F"/>
                <w:sz w:val="17"/>
              </w:rPr>
              <w:t>112</w:t>
            </w:r>
          </w:p>
        </w:tc>
        <w:tc>
          <w:tcPr>
            <w:tcW w:type="dxa" w:w="4290"/>
            <w:tcMar>
              <w:top w:w="80" w:type="dxa"/>
              <w:start w:w="120" w:type="dxa"/>
              <w:bottom w:w="80" w:type="dxa"/>
              <w:end w:w="120" w:type="dxa"/>
            </w:tcMar>
            <w:vAlign w:val="center"/>
          </w:tcPr>
          <w:p>
            <w:pPr>
              <w:jc w:val="right"/>
            </w:pPr>
            <w:r>
              <w:rPr>
                <w:rFonts w:ascii="Calibri" w:hAnsi="Calibri"/>
                <w:color w:val="12233F"/>
                <w:sz w:val="17"/>
              </w:rPr>
              <w:t>0.80</w:t>
            </w:r>
          </w:p>
        </w:tc>
      </w:tr>
      <w:tr>
        <w:tc>
          <w:tcPr>
            <w:tcW w:type="dxa" w:w="3510"/>
            <w:shd w:fill="F4F7F9"/>
            <w:tcMar>
              <w:top w:w="80" w:type="dxa"/>
              <w:start w:w="120" w:type="dxa"/>
              <w:bottom w:w="80" w:type="dxa"/>
              <w:end w:w="120" w:type="dxa"/>
            </w:tcMar>
            <w:vAlign w:val="center"/>
          </w:tcPr>
          <w:p>
            <w:pPr>
              <w:jc w:val="right"/>
            </w:pPr>
            <w:r>
              <w:rPr>
                <w:rFonts w:ascii="Calibri" w:hAnsi="Calibri"/>
                <w:color w:val="12233F"/>
                <w:sz w:val="17"/>
              </w:rPr>
              <w:t>2,500</w:t>
            </w:r>
          </w:p>
        </w:tc>
        <w:tc>
          <w:tcPr>
            <w:tcW w:type="dxa" w:w="1560"/>
            <w:shd w:fill="F4F7F9"/>
            <w:tcMar>
              <w:top w:w="80" w:type="dxa"/>
              <w:start w:w="120" w:type="dxa"/>
              <w:bottom w:w="80" w:type="dxa"/>
              <w:end w:w="120" w:type="dxa"/>
            </w:tcMar>
            <w:vAlign w:val="center"/>
          </w:tcPr>
          <w:p>
            <w:pPr>
              <w:jc w:val="right"/>
            </w:pPr>
            <w:r>
              <w:rPr>
                <w:rFonts w:ascii="Calibri" w:hAnsi="Calibri"/>
                <w:color w:val="12233F"/>
                <w:sz w:val="17"/>
              </w:rPr>
              <w:t>95</w:t>
            </w:r>
          </w:p>
        </w:tc>
        <w:tc>
          <w:tcPr>
            <w:tcW w:type="dxa" w:w="4290"/>
            <w:shd w:fill="F4F7F9"/>
            <w:tcMar>
              <w:top w:w="80" w:type="dxa"/>
              <w:start w:w="120" w:type="dxa"/>
              <w:bottom w:w="80" w:type="dxa"/>
              <w:end w:w="120" w:type="dxa"/>
            </w:tcMar>
            <w:vAlign w:val="center"/>
          </w:tcPr>
          <w:p>
            <w:pPr>
              <w:jc w:val="right"/>
            </w:pPr>
            <w:r>
              <w:rPr>
                <w:rFonts w:ascii="Calibri" w:hAnsi="Calibri"/>
                <w:color w:val="12233F"/>
                <w:sz w:val="17"/>
              </w:rPr>
              <w:t>0.82</w:t>
            </w:r>
          </w:p>
        </w:tc>
      </w:tr>
      <w:tr>
        <w:tc>
          <w:tcPr>
            <w:tcW w:type="dxa" w:w="3510"/>
            <w:tcMar>
              <w:top w:w="80" w:type="dxa"/>
              <w:start w:w="120" w:type="dxa"/>
              <w:bottom w:w="80" w:type="dxa"/>
              <w:end w:w="120" w:type="dxa"/>
            </w:tcMar>
            <w:vAlign w:val="center"/>
          </w:tcPr>
          <w:p>
            <w:pPr>
              <w:jc w:val="right"/>
            </w:pPr>
            <w:r>
              <w:rPr>
                <w:rFonts w:ascii="Calibri" w:hAnsi="Calibri"/>
                <w:color w:val="12233F"/>
                <w:sz w:val="17"/>
              </w:rPr>
              <w:t>3,000</w:t>
            </w:r>
          </w:p>
        </w:tc>
        <w:tc>
          <w:tcPr>
            <w:tcW w:type="dxa" w:w="1560"/>
            <w:tcMar>
              <w:top w:w="80" w:type="dxa"/>
              <w:start w:w="120" w:type="dxa"/>
              <w:bottom w:w="80" w:type="dxa"/>
              <w:end w:w="120" w:type="dxa"/>
            </w:tcMar>
            <w:vAlign w:val="center"/>
          </w:tcPr>
          <w:p>
            <w:pPr>
              <w:jc w:val="right"/>
            </w:pPr>
            <w:r>
              <w:rPr>
                <w:rFonts w:ascii="Calibri" w:hAnsi="Calibri"/>
                <w:color w:val="12233F"/>
                <w:sz w:val="17"/>
              </w:rPr>
              <w:t>70</w:t>
            </w:r>
          </w:p>
        </w:tc>
        <w:tc>
          <w:tcPr>
            <w:tcW w:type="dxa" w:w="4290"/>
            <w:tcMar>
              <w:top w:w="80" w:type="dxa"/>
              <w:start w:w="120" w:type="dxa"/>
              <w:bottom w:w="80" w:type="dxa"/>
              <w:end w:w="120" w:type="dxa"/>
            </w:tcMar>
            <w:vAlign w:val="center"/>
          </w:tcPr>
          <w:p>
            <w:pPr>
              <w:jc w:val="right"/>
            </w:pPr>
            <w:r>
              <w:rPr>
                <w:rFonts w:ascii="Calibri" w:hAnsi="Calibri"/>
                <w:color w:val="12233F"/>
                <w:sz w:val="17"/>
              </w:rPr>
              <w:t>0.75</w:t>
            </w:r>
          </w:p>
        </w:tc>
      </w:tr>
      <w:tr>
        <w:tc>
          <w:tcPr>
            <w:tcW w:type="dxa" w:w="3510"/>
            <w:shd w:fill="F4F7F9"/>
            <w:tcMar>
              <w:top w:w="80" w:type="dxa"/>
              <w:start w:w="120" w:type="dxa"/>
              <w:bottom w:w="80" w:type="dxa"/>
              <w:end w:w="120" w:type="dxa"/>
            </w:tcMar>
            <w:vAlign w:val="center"/>
          </w:tcPr>
          <w:p>
            <w:pPr>
              <w:jc w:val="right"/>
            </w:pPr>
            <w:r>
              <w:rPr>
                <w:rFonts w:ascii="Calibri" w:hAnsi="Calibri"/>
                <w:color w:val="12233F"/>
                <w:sz w:val="17"/>
              </w:rPr>
              <w:t>3,300</w:t>
            </w:r>
          </w:p>
        </w:tc>
        <w:tc>
          <w:tcPr>
            <w:tcW w:type="dxa" w:w="1560"/>
            <w:shd w:fill="F4F7F9"/>
            <w:tcMar>
              <w:top w:w="80" w:type="dxa"/>
              <w:start w:w="120" w:type="dxa"/>
              <w:bottom w:w="80" w:type="dxa"/>
              <w:end w:w="120" w:type="dxa"/>
            </w:tcMar>
            <w:vAlign w:val="center"/>
          </w:tcPr>
          <w:p>
            <w:pPr>
              <w:jc w:val="right"/>
            </w:pPr>
            <w:r>
              <w:rPr>
                <w:rFonts w:ascii="Calibri" w:hAnsi="Calibri"/>
                <w:color w:val="12233F"/>
                <w:sz w:val="17"/>
              </w:rPr>
              <w:t>45</w:t>
            </w:r>
          </w:p>
        </w:tc>
        <w:tc>
          <w:tcPr>
            <w:tcW w:type="dxa" w:w="4290"/>
            <w:shd w:fill="F4F7F9"/>
            <w:tcMar>
              <w:top w:w="80" w:type="dxa"/>
              <w:start w:w="120" w:type="dxa"/>
              <w:bottom w:w="80" w:type="dxa"/>
              <w:end w:w="120" w:type="dxa"/>
            </w:tcMar>
            <w:vAlign w:val="center"/>
          </w:tcPr>
          <w:p>
            <w:pPr>
              <w:jc w:val="right"/>
            </w:pPr>
            <w:r>
              <w:rPr>
                <w:rFonts w:ascii="Calibri" w:hAnsi="Calibri"/>
                <w:color w:val="12233F"/>
                <w:sz w:val="17"/>
              </w:rPr>
              <w:t>0.65</w:t>
            </w:r>
          </w:p>
        </w:tc>
      </w:tr>
    </w:tbl>
    <w:p>
      <w:pPr>
        <w:spacing w:after="20"/>
      </w:pPr>
    </w:p>
    <w:p>
      <w:r>
        <w:rPr>
          <w:rFonts w:ascii="Calibri" w:hAnsi="Calibri"/>
          <w:color w:val="12233F"/>
          <w:sz w:val="21"/>
        </w:rPr>
        <w:t>Motor efficiency is 0.94.</w:t>
      </w:r>
    </w:p>
    <w:p>
      <w:pPr>
        <w:pStyle w:val="Heading2"/>
        <w:keepNext/>
      </w:pPr>
      <w:r>
        <w:t>7.2 Inventory calculation</w:t>
      </w:r>
    </w:p>
    <w:p>
      <w:r>
        <w:rPr>
          <w:rFonts w:ascii="Calibri" w:hAnsi="Calibri"/>
          <w:color w:val="12233F"/>
          <w:sz w:val="21"/>
        </w:rPr>
        <w:t>The gravity inventory is:</w:t>
      </w:r>
    </w:p>
    <w:p>
      <w:pPr>
        <w:pStyle w:val="EquationBlock"/>
        <w:jc w:val="center"/>
        <w:shd w:fill="F1F5F7"/>
      </w:pPr>
      <w:r>
        <w:t>IDM</w:t>
        <w:br/>
        <w:t>=(8)(28)+(10)(8)+(12)(5)+(15)(2)+(18)(1)</w:t>
        <w:br/>
        <w:t>=224+80+60+30+18</w:t>
        <w:br/>
        <w:t>=412 inch-diameter-miles</w:t>
      </w:r>
    </w:p>
    <w:p>
      <w:r>
        <w:rPr>
          <w:rFonts w:ascii="Calibri" w:hAnsi="Calibri"/>
          <w:color w:val="12233F"/>
          <w:sz w:val="21"/>
        </w:rPr>
        <w:t>Average GWI:</w:t>
      </w:r>
    </w:p>
    <w:p>
      <w:pPr>
        <w:pStyle w:val="EquationBlock"/>
        <w:jc w:val="center"/>
        <w:shd w:fill="F1F5F7"/>
      </w:pPr>
      <w:r>
        <w:t>0.250 MGD × 1,000,000</w:t>
        <w:br/>
        <w:t>=250,000 gpd</w:t>
      </w:r>
    </w:p>
    <w:p>
      <w:r>
        <w:rPr>
          <w:rFonts w:ascii="Calibri" w:hAnsi="Calibri"/>
          <w:color w:val="12233F"/>
          <w:sz w:val="21"/>
        </w:rPr>
        <w:t>Normalized GWI:</w:t>
      </w:r>
    </w:p>
    <w:p>
      <w:pPr>
        <w:pStyle w:val="EquationBlock"/>
        <w:jc w:val="center"/>
        <w:shd w:fill="F1F5F7"/>
      </w:pPr>
      <w:r>
        <w:t>(250,000 gpd) / (412 IDM)</w:t>
        <w:br/>
        <w:t>=606.796 gpd/IDM</w:t>
      </w:r>
    </w:p>
    <w:p>
      <w:r>
        <w:rPr>
          <w:rFonts w:ascii="Calibri" w:hAnsi="Calibri"/>
          <w:color w:val="12233F"/>
          <w:sz w:val="21"/>
        </w:rPr>
        <w:t>Per-capita GWI:</w:t>
      </w:r>
    </w:p>
    <w:p>
      <w:pPr>
        <w:pStyle w:val="EquationBlock"/>
        <w:jc w:val="center"/>
        <w:shd w:fill="F1F5F7"/>
      </w:pPr>
      <w:r>
        <w:t>(250,000) / (12,000)</w:t>
        <w:br/>
        <w:t>=20.833 gpcd</w:t>
      </w:r>
    </w:p>
    <w:p>
      <w:r>
        <w:rPr>
          <w:rFonts w:ascii="Calibri" w:hAnsi="Calibri"/>
          <w:color w:val="12233F"/>
          <w:sz w:val="21"/>
        </w:rPr>
        <w:t>Average dry-weather flow:</w:t>
      </w:r>
    </w:p>
    <w:p>
      <w:pPr>
        <w:pStyle w:val="EquationBlock"/>
        <w:jc w:val="center"/>
        <w:shd w:fill="F1F5F7"/>
      </w:pPr>
      <w:r>
        <w:t>ADWF=1.000+0.250=1.250 MGD</w:t>
      </w:r>
    </w:p>
    <w:p>
      <w:r>
        <w:rPr>
          <w:rFonts w:ascii="Calibri" w:hAnsi="Calibri"/>
          <w:color w:val="12233F"/>
          <w:sz w:val="21"/>
        </w:rPr>
        <w:t>Per-capita ADWF:</w:t>
      </w:r>
    </w:p>
    <w:p>
      <w:pPr>
        <w:pStyle w:val="EquationBlock"/>
        <w:jc w:val="center"/>
        <w:shd w:fill="F1F5F7"/>
      </w:pPr>
      <w:r>
        <w:t>(1.250(1,000,000)) / (12,000)</w:t>
        <w:br/>
        <w:t>=104.167 gpcd</w:t>
      </w:r>
    </w:p>
    <w:p>
      <w:pPr>
        <w:pStyle w:val="Heading2"/>
        <w:keepNext/>
      </w:pPr>
      <w:r>
        <w:t>7.3 Rainfall volume</w:t>
      </w:r>
    </w:p>
    <w:p>
      <w:pPr>
        <w:pStyle w:val="EquationBlock"/>
        <w:jc w:val="center"/>
        <w:shd w:fill="F1F5F7"/>
      </w:pPr>
      <w:r>
        <w:t>V_rain</w:t>
        <w:br/>
        <w:t>=3.2 in</w:t>
        <w:br/>
        <w:t>× 640 acre</w:t>
        <w:br/>
        <w:t>× 27,154.285714 (gal) / (acre-in)</w:t>
        <w:br/>
        <w:t>=55,611,977.143 gal</w:t>
      </w:r>
    </w:p>
    <w:p>
      <w:pPr>
        <w:pStyle w:val="Heading2"/>
        <w:keepNext/>
      </w:pPr>
      <w:r>
        <w:t>7.4 RTK component volumes</w:t>
      </w:r>
    </w:p>
    <w:p>
      <w:r>
        <w:rPr>
          <w:rFonts w:ascii="Calibri" w:hAnsi="Calibri"/>
          <w:color w:val="12233F"/>
          <w:sz w:val="21"/>
        </w:rPr>
        <w:t>Short response:</w:t>
      </w:r>
    </w:p>
    <w:p>
      <w:pPr>
        <w:pStyle w:val="EquationBlock"/>
        <w:jc w:val="center"/>
        <w:shd w:fill="F1F5F7"/>
      </w:pPr>
      <w:r>
        <w:t>V_s=0.006(55,611,977.143)</w:t>
        <w:br/>
        <w:t>=333,671.863 gal</w:t>
      </w:r>
    </w:p>
    <w:p>
      <w:r>
        <w:rPr>
          <w:rFonts w:ascii="Calibri" w:hAnsi="Calibri"/>
          <w:color w:val="12233F"/>
          <w:sz w:val="21"/>
        </w:rPr>
        <w:t>Medium response:</w:t>
      </w:r>
    </w:p>
    <w:p>
      <w:pPr>
        <w:pStyle w:val="EquationBlock"/>
        <w:jc w:val="center"/>
        <w:shd w:fill="F1F5F7"/>
      </w:pPr>
      <w:r>
        <w:t>V_m=0.010(55,611,977.143)</w:t>
        <w:br/>
        <w:t>=556,119.771 gal</w:t>
      </w:r>
    </w:p>
    <w:p>
      <w:r>
        <w:rPr>
          <w:rFonts w:ascii="Calibri" w:hAnsi="Calibri"/>
          <w:color w:val="12233F"/>
          <w:sz w:val="21"/>
        </w:rPr>
        <w:t>Long response:</w:t>
      </w:r>
    </w:p>
    <w:p>
      <w:pPr>
        <w:pStyle w:val="EquationBlock"/>
        <w:jc w:val="center"/>
        <w:shd w:fill="F1F5F7"/>
      </w:pPr>
      <w:r>
        <w:t>V_l=0.016(55,611,977.143)</w:t>
        <w:br/>
        <w:t>=889,791.634 gal</w:t>
      </w:r>
    </w:p>
    <w:p>
      <w:r>
        <w:rPr>
          <w:rFonts w:ascii="Calibri" w:hAnsi="Calibri"/>
          <w:color w:val="12233F"/>
          <w:sz w:val="21"/>
        </w:rPr>
        <w:t>Total:</w:t>
      </w:r>
    </w:p>
    <w:p>
      <w:pPr>
        <w:pStyle w:val="EquationBlock"/>
        <w:jc w:val="center"/>
        <w:shd w:fill="F1F5F7"/>
      </w:pPr>
      <w:r>
        <w:t>V_RDII</w:t>
        <w:br/>
        <w:t>=333,671.863+556,119.771+889,791.634</w:t>
        <w:br/>
        <w:t>=1,779,583.269 gal</w:t>
      </w:r>
    </w:p>
    <w:p>
      <w:pPr>
        <w:pStyle w:val="EquationBlock"/>
        <w:jc w:val="center"/>
        <w:shd w:fill="F1F5F7"/>
      </w:pPr>
      <w:r>
        <w:t>R_total=0.006+0.010+0.016=0.032</w:t>
      </w:r>
    </w:p>
    <w:p>
      <w:r>
        <w:rPr>
          <w:rFonts w:ascii="Calibri" w:hAnsi="Calibri"/>
          <w:color w:val="12233F"/>
          <w:sz w:val="21"/>
        </w:rPr>
        <w:t>Check:</w:t>
      </w:r>
    </w:p>
    <w:p>
      <w:pPr>
        <w:pStyle w:val="EquationBlock"/>
        <w:jc w:val="center"/>
        <w:shd w:fill="F1F5F7"/>
      </w:pPr>
      <w:r>
        <w:t>(1,779,583.269) / (55,611,977.143)=0.032</w:t>
      </w:r>
    </w:p>
    <w:p>
      <w:r>
        <w:rPr>
          <w:rFonts w:ascii="Calibri" w:hAnsi="Calibri"/>
          <w:color w:val="12233F"/>
          <w:sz w:val="21"/>
        </w:rPr>
        <w:t>The executable convolution integrates to 1,779,583.269 gallons. Relative mass-closure error is 2.62 × 10^-16, which passes the example tolerance of 10^-10.</w:t>
      </w:r>
    </w:p>
    <w:p>
      <w:pPr>
        <w:pStyle w:val="Heading2"/>
        <w:keepNext/>
      </w:pPr>
      <w:r>
        <w:t>7.5 Component shape example</w:t>
      </w:r>
    </w:p>
    <w:p>
      <w:r>
        <w:rPr>
          <w:rFonts w:ascii="Calibri" w:hAnsi="Calibri"/>
          <w:color w:val="12233F"/>
          <w:sz w:val="21"/>
        </w:rPr>
        <w:t>For the total short-response volume and its T=1 hour, K=2 shape:</w:t>
      </w:r>
    </w:p>
    <w:p>
      <w:pPr>
        <w:pStyle w:val="EquationBlock"/>
        <w:jc w:val="center"/>
        <w:shd w:fill="F1F5F7"/>
      </w:pPr>
      <w:r>
        <w:t>B_s=1(1+2)=3 hr</w:t>
      </w:r>
    </w:p>
    <w:p>
      <w:pPr>
        <w:pStyle w:val="EquationBlock"/>
        <w:jc w:val="center"/>
        <w:shd w:fill="F1F5F7"/>
      </w:pPr>
      <w:r>
        <w:t>Q_(p,s)</w:t>
        <w:br/>
        <w:t>=(2(333,671.863)) / (3)</w:t>
        <w:br/>
        <w:t>=222,447.909 gal/hr</w:t>
      </w:r>
    </w:p>
    <w:p>
      <w:pPr>
        <w:pStyle w:val="EquationBlock"/>
        <w:jc w:val="center"/>
        <w:shd w:fill="F1F5F7"/>
      </w:pPr>
      <w:r>
        <w:t>Q_(p,s)</w:t>
        <w:br/>
        <w:t>=222,447.909(24) / (1,000,000)</w:t>
        <w:br/>
        <w:t>=5.33875 MGD</w:t>
      </w:r>
    </w:p>
    <w:p>
      <w:r>
        <w:rPr>
          <w:rFonts w:ascii="Calibri" w:hAnsi="Calibri"/>
          <w:color w:val="12233F"/>
          <w:sz w:val="21"/>
        </w:rPr>
        <w:t>That value describes one triangle built from the aggregate component volume. The implemented model builds and superposes a triangle for every 15-minute rainfall increment, so its event peak is not equal to the single aggregate-triangle peak.</w:t>
      </w:r>
    </w:p>
    <w:p>
      <w:pPr>
        <w:pStyle w:val="Heading2"/>
        <w:keepNext/>
      </w:pPr>
      <w:r>
        <w:t>7.6 Hydrograph result</w:t>
      </w:r>
    </w:p>
    <w:p>
      <w:r>
        <w:rPr>
          <w:rFonts w:ascii="Calibri" w:hAnsi="Calibri"/>
          <w:color w:val="12233F"/>
          <w:sz w:val="21"/>
        </w:rPr>
        <w:t>The normalized hourly BWF pattern has an average of one. GWI remains 0.250 MGD in the synthetic event. The resulting values are:</w:t>
      </w:r>
    </w:p>
    <w:tbl>
      <w:tblPr>
        <w:tblStyle w:val="TableGrid"/>
        <w:tblW w:type="dxa" w:w="9360"/>
        <w:tblLayout w:type="fixed"/>
        <w:tblLook w:firstColumn="1" w:firstRow="1" w:lastColumn="0" w:lastRow="0" w:noHBand="0" w:noVBand="1" w:val="04A0"/>
        <w:tblInd w:w="120" w:type="dxa"/>
      </w:tblPr>
      <w:tblGrid>
        <w:gridCol w:w="3789"/>
        <w:gridCol w:w="5571"/>
      </w:tblGrid>
      <w:tr>
        <w:trPr>
          <w:tblHeader w:val="true"/>
        </w:trPr>
        <w:tc>
          <w:tcPr>
            <w:tcW w:type="dxa" w:w="3789"/>
            <w:shd w:fill="176B87"/>
            <w:tcMar>
              <w:top w:w="80" w:type="dxa"/>
              <w:start w:w="120" w:type="dxa"/>
              <w:bottom w:w="80" w:type="dxa"/>
              <w:end w:w="120" w:type="dxa"/>
            </w:tcMar>
            <w:vAlign w:val="center"/>
          </w:tcPr>
          <w:p>
            <w:r>
              <w:rPr>
                <w:b/>
                <w:color w:val="FFFFFF"/>
              </w:rPr>
            </w:r>
            <w:r>
              <w:rPr>
                <w:rFonts w:ascii="Calibri" w:hAnsi="Calibri"/>
                <w:b/>
                <w:color w:val="FFFFFF"/>
                <w:sz w:val="18"/>
              </w:rPr>
              <w:t>Result</w:t>
            </w:r>
          </w:p>
        </w:tc>
        <w:tc>
          <w:tcPr>
            <w:tcW w:type="dxa" w:w="5571"/>
            <w:shd w:fill="176B87"/>
            <w:tcMar>
              <w:top w:w="80" w:type="dxa"/>
              <w:start w:w="120" w:type="dxa"/>
              <w:bottom w:w="80" w:type="dxa"/>
              <w:end w:w="120" w:type="dxa"/>
            </w:tcMar>
            <w:vAlign w:val="center"/>
          </w:tcPr>
          <w:p>
            <w:r>
              <w:rPr>
                <w:b/>
                <w:color w:val="FFFFFF"/>
              </w:rPr>
            </w:r>
            <w:r>
              <w:rPr>
                <w:rFonts w:ascii="Calibri" w:hAnsi="Calibri"/>
                <w:b/>
                <w:color w:val="FFFFFF"/>
                <w:sz w:val="18"/>
              </w:rPr>
              <w:t>Value</w:t>
            </w:r>
          </w:p>
        </w:tc>
      </w:tr>
      <w:tr>
        <w:tc>
          <w:tcPr>
            <w:tcW w:type="dxa" w:w="3789"/>
            <w:tcMar>
              <w:top w:w="80" w:type="dxa"/>
              <w:start w:w="120" w:type="dxa"/>
              <w:bottom w:w="80" w:type="dxa"/>
              <w:end w:w="120" w:type="dxa"/>
            </w:tcMar>
            <w:vAlign w:val="center"/>
          </w:tcPr>
          <w:p>
            <w:pPr>
              <w:jc w:val="left"/>
            </w:pPr>
            <w:r>
              <w:rPr>
                <w:rFonts w:ascii="Calibri" w:hAnsi="Calibri"/>
                <w:color w:val="12233F"/>
                <w:sz w:val="17"/>
              </w:rPr>
              <w:t>Peak RDII</w:t>
            </w:r>
          </w:p>
        </w:tc>
        <w:tc>
          <w:tcPr>
            <w:tcW w:type="dxa" w:w="5571"/>
            <w:tcMar>
              <w:top w:w="80" w:type="dxa"/>
              <w:start w:w="120" w:type="dxa"/>
              <w:bottom w:w="80" w:type="dxa"/>
              <w:end w:w="120" w:type="dxa"/>
            </w:tcMar>
            <w:vAlign w:val="center"/>
          </w:tcPr>
          <w:p>
            <w:pPr>
              <w:jc w:val="left"/>
            </w:pPr>
            <w:r>
              <w:rPr>
                <w:rFonts w:ascii="Calibri" w:hAnsi="Calibri"/>
                <w:color w:val="12233F"/>
                <w:sz w:val="17"/>
              </w:rPr>
              <w:t>2.704132 MGD at hour 4.75</w:t>
            </w:r>
          </w:p>
        </w:tc>
      </w:tr>
      <w:tr>
        <w:tc>
          <w:tcPr>
            <w:tcW w:type="dxa" w:w="3789"/>
            <w:shd w:fill="F4F7F9"/>
            <w:tcMar>
              <w:top w:w="80" w:type="dxa"/>
              <w:start w:w="120" w:type="dxa"/>
              <w:bottom w:w="80" w:type="dxa"/>
              <w:end w:w="120" w:type="dxa"/>
            </w:tcMar>
            <w:vAlign w:val="center"/>
          </w:tcPr>
          <w:p>
            <w:pPr>
              <w:jc w:val="left"/>
            </w:pPr>
            <w:r>
              <w:rPr>
                <w:rFonts w:ascii="Calibri" w:hAnsi="Calibri"/>
                <w:color w:val="12233F"/>
                <w:sz w:val="17"/>
              </w:rPr>
              <w:t>Peak expected DWF</w:t>
            </w:r>
          </w:p>
        </w:tc>
        <w:tc>
          <w:tcPr>
            <w:tcW w:type="dxa" w:w="5571"/>
            <w:shd w:fill="F4F7F9"/>
            <w:tcMar>
              <w:top w:w="80" w:type="dxa"/>
              <w:start w:w="120" w:type="dxa"/>
              <w:bottom w:w="80" w:type="dxa"/>
              <w:end w:w="120" w:type="dxa"/>
            </w:tcMar>
            <w:vAlign w:val="center"/>
          </w:tcPr>
          <w:p>
            <w:pPr>
              <w:jc w:val="left"/>
            </w:pPr>
            <w:r>
              <w:rPr>
                <w:rFonts w:ascii="Calibri" w:hAnsi="Calibri"/>
                <w:color w:val="12233F"/>
                <w:sz w:val="17"/>
              </w:rPr>
              <w:t>1.726923 MGD</w:t>
            </w:r>
          </w:p>
        </w:tc>
      </w:tr>
      <w:tr>
        <w:tc>
          <w:tcPr>
            <w:tcW w:type="dxa" w:w="3789"/>
            <w:tcMar>
              <w:top w:w="80" w:type="dxa"/>
              <w:start w:w="120" w:type="dxa"/>
              <w:bottom w:w="80" w:type="dxa"/>
              <w:end w:w="120" w:type="dxa"/>
            </w:tcMar>
            <w:vAlign w:val="center"/>
          </w:tcPr>
          <w:p>
            <w:pPr>
              <w:jc w:val="left"/>
            </w:pPr>
            <w:r>
              <w:rPr>
                <w:rFonts w:ascii="Calibri" w:hAnsi="Calibri"/>
                <w:color w:val="12233F"/>
                <w:sz w:val="17"/>
              </w:rPr>
              <w:t>Peak total flow</w:t>
            </w:r>
          </w:p>
        </w:tc>
        <w:tc>
          <w:tcPr>
            <w:tcW w:type="dxa" w:w="5571"/>
            <w:tcMar>
              <w:top w:w="80" w:type="dxa"/>
              <w:start w:w="120" w:type="dxa"/>
              <w:bottom w:w="80" w:type="dxa"/>
              <w:end w:w="120" w:type="dxa"/>
            </w:tcMar>
            <w:vAlign w:val="center"/>
          </w:tcPr>
          <w:p>
            <w:pPr>
              <w:jc w:val="left"/>
            </w:pPr>
            <w:r>
              <w:rPr>
                <w:rFonts w:ascii="Calibri" w:hAnsi="Calibri"/>
                <w:color w:val="12233F"/>
                <w:sz w:val="17"/>
              </w:rPr>
              <w:t>3.928701 MGD at hour 6.00</w:t>
            </w:r>
          </w:p>
        </w:tc>
      </w:tr>
      <w:tr>
        <w:tc>
          <w:tcPr>
            <w:tcW w:type="dxa" w:w="3789"/>
            <w:shd w:fill="F4F7F9"/>
            <w:tcMar>
              <w:top w:w="80" w:type="dxa"/>
              <w:start w:w="120" w:type="dxa"/>
              <w:bottom w:w="80" w:type="dxa"/>
              <w:end w:w="120" w:type="dxa"/>
            </w:tcMar>
            <w:vAlign w:val="center"/>
          </w:tcPr>
          <w:p>
            <w:pPr>
              <w:jc w:val="left"/>
            </w:pPr>
            <w:r>
              <w:rPr>
                <w:rFonts w:ascii="Calibri" w:hAnsi="Calibri"/>
                <w:color w:val="12233F"/>
                <w:sz w:val="17"/>
              </w:rPr>
              <w:t>Peak total flow</w:t>
            </w:r>
          </w:p>
        </w:tc>
        <w:tc>
          <w:tcPr>
            <w:tcW w:type="dxa" w:w="5571"/>
            <w:shd w:fill="F4F7F9"/>
            <w:tcMar>
              <w:top w:w="80" w:type="dxa"/>
              <w:start w:w="120" w:type="dxa"/>
              <w:bottom w:w="80" w:type="dxa"/>
              <w:end w:w="120" w:type="dxa"/>
            </w:tcMar>
            <w:vAlign w:val="center"/>
          </w:tcPr>
          <w:p>
            <w:pPr>
              <w:jc w:val="left"/>
            </w:pPr>
            <w:r>
              <w:rPr>
                <w:rFonts w:ascii="Calibri" w:hAnsi="Calibri"/>
                <w:color w:val="12233F"/>
                <w:sz w:val="17"/>
              </w:rPr>
              <w:t>2,728.264 gpm</w:t>
            </w:r>
          </w:p>
        </w:tc>
      </w:tr>
    </w:tbl>
    <w:p>
      <w:pPr>
        <w:spacing w:after="20"/>
      </w:pPr>
    </w:p>
    <w:p>
      <w:r>
        <w:rPr>
          <w:rFonts w:ascii="Calibri" w:hAnsi="Calibri"/>
          <w:color w:val="12233F"/>
          <w:sz w:val="21"/>
        </w:rPr>
        <w:t>The peak total flow conversion is:</w:t>
      </w:r>
    </w:p>
    <w:p>
      <w:pPr>
        <w:pStyle w:val="EquationBlock"/>
        <w:jc w:val="center"/>
        <w:shd w:fill="F1F5F7"/>
      </w:pPr>
      <w:r>
        <w:t>3.928700758 MGD</w:t>
        <w:br/>
        <w:t>× (1,000,000) / (1,440)</w:t>
        <w:br/>
        <w:t>=2,728.264 gpm</w:t>
      </w:r>
    </w:p>
    <w:p>
      <w:pPr>
        <w:keepNext/>
        <w:spacing w:before="140" w:after="40"/>
        <w:jc w:val="center"/>
      </w:pPr>
      <w:r>
        <w:drawing>
          <wp:inline xmlns:a="http://schemas.openxmlformats.org/drawingml/2006/main" xmlns:pic="http://schemas.openxmlformats.org/drawingml/2006/picture">
            <wp:extent cx="5806440" cy="3290316"/>
            <wp:docPr id="3" name="Picture 3" descr="Event hydrograph"/>
            <wp:cNvGraphicFramePr>
              <a:graphicFrameLocks noChangeAspect="1"/>
            </wp:cNvGraphicFramePr>
            <a:graphic>
              <a:graphicData uri="http://schemas.openxmlformats.org/drawingml/2006/picture">
                <pic:pic>
                  <pic:nvPicPr>
                    <pic:cNvPr id="0" name="02-event-hydrograph.png"/>
                    <pic:cNvPicPr/>
                  </pic:nvPicPr>
                  <pic:blipFill>
                    <a:blip r:embed="rId13"/>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Event hydrograph</w:t>
      </w:r>
    </w:p>
    <w:p>
      <w:pPr>
        <w:pStyle w:val="Heading2"/>
        <w:keepNext/>
      </w:pPr>
      <w:r>
        <w:t>7.7 One-pump operating point at maximum static head</w:t>
      </w:r>
    </w:p>
    <w:p>
      <w:r>
        <w:rPr>
          <w:rFonts w:ascii="Calibri" w:hAnsi="Calibri"/>
          <w:color w:val="12233F"/>
          <w:sz w:val="21"/>
        </w:rPr>
        <w:t>The solver evaluates trial total flow, converts it to force-main velocity, solves friction, adds major and minor loss to 25 ft static head, interpolates the pump head, and finds the zero of:</w:t>
      </w:r>
    </w:p>
    <w:p>
      <w:pPr>
        <w:pStyle w:val="EquationBlock"/>
        <w:jc w:val="center"/>
        <w:shd w:fill="F1F5F7"/>
      </w:pPr>
      <w:r>
        <w:t>F(Q)=H_pump(Q)-H_system(Q)</w:t>
      </w:r>
    </w:p>
    <w:p>
      <w:r>
        <w:rPr>
          <w:rFonts w:ascii="Calibri" w:hAnsi="Calibri"/>
          <w:color w:val="12233F"/>
          <w:sz w:val="21"/>
        </w:rPr>
        <w:t>The result is:</w:t>
      </w:r>
    </w:p>
    <w:tbl>
      <w:tblPr>
        <w:tblStyle w:val="TableGrid"/>
        <w:tblW w:type="dxa" w:w="9360"/>
        <w:tblLayout w:type="fixed"/>
        <w:tblLook w:firstColumn="1" w:firstRow="1" w:lastColumn="0" w:lastRow="0" w:noHBand="0" w:noVBand="1" w:val="04A0"/>
        <w:tblInd w:w="120" w:type="dxa"/>
      </w:tblPr>
      <w:tblGrid>
        <w:gridCol w:w="5040"/>
        <w:gridCol w:w="4320"/>
      </w:tblGrid>
      <w:tr>
        <w:trPr>
          <w:tblHeader w:val="true"/>
        </w:trPr>
        <w:tc>
          <w:tcPr>
            <w:tcW w:type="dxa" w:w="5040"/>
            <w:shd w:fill="176B87"/>
            <w:tcMar>
              <w:top w:w="80" w:type="dxa"/>
              <w:start w:w="120" w:type="dxa"/>
              <w:bottom w:w="80" w:type="dxa"/>
              <w:end w:w="120" w:type="dxa"/>
            </w:tcMar>
            <w:vAlign w:val="center"/>
          </w:tcPr>
          <w:p>
            <w:r>
              <w:rPr>
                <w:b/>
                <w:color w:val="FFFFFF"/>
              </w:rPr>
            </w:r>
            <w:r>
              <w:rPr>
                <w:rFonts w:ascii="Calibri" w:hAnsi="Calibri"/>
                <w:b/>
                <w:color w:val="FFFFFF"/>
                <w:sz w:val="18"/>
              </w:rPr>
              <w:t>Quantity</w:t>
            </w:r>
          </w:p>
        </w:tc>
        <w:tc>
          <w:tcPr>
            <w:tcW w:type="dxa" w:w="4320"/>
            <w:shd w:fill="176B87"/>
            <w:tcMar>
              <w:top w:w="80" w:type="dxa"/>
              <w:start w:w="120" w:type="dxa"/>
              <w:bottom w:w="80" w:type="dxa"/>
              <w:end w:w="120" w:type="dxa"/>
            </w:tcMar>
            <w:vAlign w:val="center"/>
          </w:tcPr>
          <w:p>
            <w:r>
              <w:rPr>
                <w:b/>
                <w:color w:val="FFFFFF"/>
              </w:rPr>
            </w:r>
            <w:r>
              <w:rPr>
                <w:rFonts w:ascii="Calibri" w:hAnsi="Calibri"/>
                <w:b/>
                <w:color w:val="FFFFFF"/>
                <w:sz w:val="18"/>
              </w:rPr>
              <w:t>One pump, maximum static</w:t>
            </w:r>
          </w:p>
        </w:tc>
      </w:tr>
      <w:tr>
        <w:tc>
          <w:tcPr>
            <w:tcW w:type="dxa" w:w="5040"/>
            <w:tcMar>
              <w:top w:w="80" w:type="dxa"/>
              <w:start w:w="120" w:type="dxa"/>
              <w:bottom w:w="80" w:type="dxa"/>
              <w:end w:w="120" w:type="dxa"/>
            </w:tcMar>
            <w:vAlign w:val="center"/>
          </w:tcPr>
          <w:p>
            <w:pPr>
              <w:jc w:val="left"/>
            </w:pPr>
            <w:r>
              <w:rPr>
                <w:rFonts w:ascii="Calibri" w:hAnsi="Calibri"/>
                <w:color w:val="12233F"/>
                <w:sz w:val="17"/>
              </w:rPr>
              <w:t>Flow</w:t>
            </w:r>
          </w:p>
        </w:tc>
        <w:tc>
          <w:tcPr>
            <w:tcW w:type="dxa" w:w="4320"/>
            <w:tcMar>
              <w:top w:w="80" w:type="dxa"/>
              <w:start w:w="120" w:type="dxa"/>
              <w:bottom w:w="80" w:type="dxa"/>
              <w:end w:w="120" w:type="dxa"/>
            </w:tcMar>
            <w:vAlign w:val="center"/>
          </w:tcPr>
          <w:p>
            <w:pPr>
              <w:jc w:val="left"/>
            </w:pPr>
            <w:r>
              <w:rPr>
                <w:rFonts w:ascii="Calibri" w:hAnsi="Calibri"/>
                <w:color w:val="12233F"/>
                <w:sz w:val="17"/>
              </w:rPr>
              <w:t>2,994.250 gpm</w:t>
            </w:r>
          </w:p>
        </w:tc>
      </w:tr>
      <w:tr>
        <w:tc>
          <w:tcPr>
            <w:tcW w:type="dxa" w:w="5040"/>
            <w:shd w:fill="F4F7F9"/>
            <w:tcMar>
              <w:top w:w="80" w:type="dxa"/>
              <w:start w:w="120" w:type="dxa"/>
              <w:bottom w:w="80" w:type="dxa"/>
              <w:end w:w="120" w:type="dxa"/>
            </w:tcMar>
            <w:vAlign w:val="center"/>
          </w:tcPr>
          <w:p>
            <w:pPr>
              <w:jc w:val="left"/>
            </w:pPr>
            <w:r>
              <w:rPr>
                <w:rFonts w:ascii="Calibri" w:hAnsi="Calibri"/>
                <w:color w:val="12233F"/>
                <w:sz w:val="17"/>
              </w:rPr>
              <w:t>Total dynamic head</w:t>
            </w:r>
          </w:p>
        </w:tc>
        <w:tc>
          <w:tcPr>
            <w:tcW w:type="dxa" w:w="4320"/>
            <w:shd w:fill="F4F7F9"/>
            <w:tcMar>
              <w:top w:w="80" w:type="dxa"/>
              <w:start w:w="120" w:type="dxa"/>
              <w:bottom w:w="80" w:type="dxa"/>
              <w:end w:w="120" w:type="dxa"/>
            </w:tcMar>
            <w:vAlign w:val="center"/>
          </w:tcPr>
          <w:p>
            <w:pPr>
              <w:jc w:val="left"/>
            </w:pPr>
            <w:r>
              <w:rPr>
                <w:rFonts w:ascii="Calibri" w:hAnsi="Calibri"/>
                <w:color w:val="12233F"/>
                <w:sz w:val="17"/>
              </w:rPr>
              <w:t>70.279 ft</w:t>
            </w:r>
          </w:p>
        </w:tc>
      </w:tr>
      <w:tr>
        <w:tc>
          <w:tcPr>
            <w:tcW w:type="dxa" w:w="5040"/>
            <w:tcMar>
              <w:top w:w="80" w:type="dxa"/>
              <w:start w:w="120" w:type="dxa"/>
              <w:bottom w:w="80" w:type="dxa"/>
              <w:end w:w="120" w:type="dxa"/>
            </w:tcMar>
            <w:vAlign w:val="center"/>
          </w:tcPr>
          <w:p>
            <w:pPr>
              <w:jc w:val="left"/>
            </w:pPr>
            <w:r>
              <w:rPr>
                <w:rFonts w:ascii="Calibri" w:hAnsi="Calibri"/>
                <w:color w:val="12233F"/>
                <w:sz w:val="17"/>
              </w:rPr>
              <w:t>Interpolated pump efficiency</w:t>
            </w:r>
          </w:p>
        </w:tc>
        <w:tc>
          <w:tcPr>
            <w:tcW w:type="dxa" w:w="4320"/>
            <w:tcMar>
              <w:top w:w="80" w:type="dxa"/>
              <w:start w:w="120" w:type="dxa"/>
              <w:bottom w:w="80" w:type="dxa"/>
              <w:end w:w="120" w:type="dxa"/>
            </w:tcMar>
            <w:vAlign w:val="center"/>
          </w:tcPr>
          <w:p>
            <w:pPr>
              <w:jc w:val="right"/>
            </w:pPr>
            <w:r>
              <w:rPr>
                <w:rFonts w:ascii="Calibri" w:hAnsi="Calibri"/>
                <w:color w:val="12233F"/>
                <w:sz w:val="17"/>
              </w:rPr>
              <w:t>0.750805</w:t>
            </w:r>
          </w:p>
        </w:tc>
      </w:tr>
      <w:tr>
        <w:tc>
          <w:tcPr>
            <w:tcW w:type="dxa" w:w="5040"/>
            <w:shd w:fill="F4F7F9"/>
            <w:tcMar>
              <w:top w:w="80" w:type="dxa"/>
              <w:start w:w="120" w:type="dxa"/>
              <w:bottom w:w="80" w:type="dxa"/>
              <w:end w:w="120" w:type="dxa"/>
            </w:tcMar>
            <w:vAlign w:val="center"/>
          </w:tcPr>
          <w:p>
            <w:pPr>
              <w:jc w:val="left"/>
            </w:pPr>
            <w:r>
              <w:rPr>
                <w:rFonts w:ascii="Calibri" w:hAnsi="Calibri"/>
                <w:color w:val="12233F"/>
                <w:sz w:val="17"/>
              </w:rPr>
              <w:t>Motor efficiency</w:t>
            </w:r>
          </w:p>
        </w:tc>
        <w:tc>
          <w:tcPr>
            <w:tcW w:type="dxa" w:w="4320"/>
            <w:shd w:fill="F4F7F9"/>
            <w:tcMar>
              <w:top w:w="80" w:type="dxa"/>
              <w:start w:w="120" w:type="dxa"/>
              <w:bottom w:w="80" w:type="dxa"/>
              <w:end w:w="120" w:type="dxa"/>
            </w:tcMar>
            <w:vAlign w:val="center"/>
          </w:tcPr>
          <w:p>
            <w:pPr>
              <w:jc w:val="right"/>
            </w:pPr>
            <w:r>
              <w:rPr>
                <w:rFonts w:ascii="Calibri" w:hAnsi="Calibri"/>
                <w:color w:val="12233F"/>
                <w:sz w:val="17"/>
              </w:rPr>
              <w:t>0.94</w:t>
            </w:r>
          </w:p>
        </w:tc>
      </w:tr>
      <w:tr>
        <w:tc>
          <w:tcPr>
            <w:tcW w:type="dxa" w:w="5040"/>
            <w:tcMar>
              <w:top w:w="80" w:type="dxa"/>
              <w:start w:w="120" w:type="dxa"/>
              <w:bottom w:w="80" w:type="dxa"/>
              <w:end w:w="120" w:type="dxa"/>
            </w:tcMar>
            <w:vAlign w:val="center"/>
          </w:tcPr>
          <w:p>
            <w:pPr>
              <w:jc w:val="left"/>
            </w:pPr>
            <w:r>
              <w:rPr>
                <w:rFonts w:ascii="Calibri" w:hAnsi="Calibri"/>
                <w:color w:val="12233F"/>
                <w:sz w:val="17"/>
              </w:rPr>
              <w:t>Input power</w:t>
            </w:r>
          </w:p>
        </w:tc>
        <w:tc>
          <w:tcPr>
            <w:tcW w:type="dxa" w:w="4320"/>
            <w:tcMar>
              <w:top w:w="80" w:type="dxa"/>
              <w:start w:w="120" w:type="dxa"/>
              <w:bottom w:w="80" w:type="dxa"/>
              <w:end w:w="120" w:type="dxa"/>
            </w:tcMar>
            <w:vAlign w:val="center"/>
          </w:tcPr>
          <w:p>
            <w:pPr>
              <w:jc w:val="left"/>
            </w:pPr>
            <w:r>
              <w:rPr>
                <w:rFonts w:ascii="Calibri" w:hAnsi="Calibri"/>
                <w:color w:val="12233F"/>
                <w:sz w:val="17"/>
              </w:rPr>
              <w:t>56.147 kW</w:t>
            </w:r>
          </w:p>
        </w:tc>
      </w:tr>
      <w:tr>
        <w:tc>
          <w:tcPr>
            <w:tcW w:type="dxa" w:w="5040"/>
            <w:shd w:fill="F4F7F9"/>
            <w:tcMar>
              <w:top w:w="80" w:type="dxa"/>
              <w:start w:w="120" w:type="dxa"/>
              <w:bottom w:w="80" w:type="dxa"/>
              <w:end w:w="120" w:type="dxa"/>
            </w:tcMar>
            <w:vAlign w:val="center"/>
          </w:tcPr>
          <w:p>
            <w:pPr>
              <w:jc w:val="left"/>
            </w:pPr>
            <w:r>
              <w:rPr>
                <w:rFonts w:ascii="Calibri" w:hAnsi="Calibri"/>
                <w:color w:val="12233F"/>
                <w:sz w:val="17"/>
              </w:rPr>
              <w:t>Specific energy</w:t>
            </w:r>
          </w:p>
        </w:tc>
        <w:tc>
          <w:tcPr>
            <w:tcW w:type="dxa" w:w="4320"/>
            <w:shd w:fill="F4F7F9"/>
            <w:tcMar>
              <w:top w:w="80" w:type="dxa"/>
              <w:start w:w="120" w:type="dxa"/>
              <w:bottom w:w="80" w:type="dxa"/>
              <w:end w:w="120" w:type="dxa"/>
            </w:tcMar>
            <w:vAlign w:val="center"/>
          </w:tcPr>
          <w:p>
            <w:pPr>
              <w:jc w:val="left"/>
            </w:pPr>
            <w:r>
              <w:rPr>
                <w:rFonts w:ascii="Calibri" w:hAnsi="Calibri"/>
                <w:color w:val="12233F"/>
                <w:sz w:val="17"/>
              </w:rPr>
              <w:t>312.526 kWh/MG</w:t>
            </w:r>
          </w:p>
        </w:tc>
      </w:tr>
    </w:tbl>
    <w:p>
      <w:pPr>
        <w:spacing w:after="20"/>
      </w:pPr>
    </w:p>
    <w:p>
      <w:r>
        <w:rPr>
          <w:rFonts w:ascii="Calibri" w:hAnsi="Calibri"/>
          <w:color w:val="12233F"/>
          <w:sz w:val="21"/>
        </w:rPr>
        <w:t>Power expansion:</w:t>
      </w:r>
    </w:p>
    <w:p>
      <w:pPr>
        <w:pStyle w:val="EquationBlock"/>
        <w:jc w:val="center"/>
        <w:shd w:fill="F1F5F7"/>
      </w:pPr>
      <w:r>
        <w:t>water hp</w:t>
        <w:br/>
        <w:t>=((2,994.25)(70.2786)) / (3960)</w:t>
        <w:br/>
        <w:t>=53.124 hp</w:t>
      </w:r>
    </w:p>
    <w:p>
      <w:pPr>
        <w:pStyle w:val="EquationBlock"/>
        <w:jc w:val="center"/>
        <w:shd w:fill="F1F5F7"/>
      </w:pPr>
      <w:r>
        <w:t>input hp</w:t>
        <w:br/>
        <w:t>=(53.124) / ((0.750805)(0.94))</w:t>
        <w:br/>
        <w:t>=75.293 hp</w:t>
      </w:r>
    </w:p>
    <w:p>
      <w:pPr>
        <w:pStyle w:val="EquationBlock"/>
        <w:jc w:val="center"/>
        <w:shd w:fill="F1F5F7"/>
      </w:pPr>
      <w:r>
        <w:t>P=75.293(0.745699872)=56.147 kW</w:t>
      </w:r>
    </w:p>
    <w:p>
      <w:pPr>
        <w:pStyle w:val="EquationBlock"/>
        <w:jc w:val="center"/>
        <w:shd w:fill="F1F5F7"/>
      </w:pPr>
      <w:r>
        <w:t>specific energy</w:t>
        <w:br/>
        <w:t>=(56.147 kWh/hr) / (2,994.25(60)/1,000,000 MG/hr)</w:t>
        <w:br/>
        <w:t>=312.526 kWh/MG</w:t>
      </w:r>
    </w:p>
    <w:p>
      <w:pPr>
        <w:pStyle w:val="Heading2"/>
        <w:keepNext/>
      </w:pPr>
      <w:r>
        <w:t>7.8 Two-pump firm operating point</w:t>
      </w:r>
    </w:p>
    <w:p>
      <w:r>
        <w:rPr>
          <w:rFonts w:ascii="Calibri" w:hAnsi="Calibri"/>
          <w:color w:val="12233F"/>
          <w:sz w:val="21"/>
        </w:rPr>
        <w:t>For two identical parallel pumps:</w:t>
      </w:r>
    </w:p>
    <w:p>
      <w:pPr>
        <w:pStyle w:val="EquationBlock"/>
        <w:jc w:val="center"/>
        <w:shd w:fill="F1F5F7"/>
      </w:pPr>
      <w:r>
        <w:t>H_(pump,single)(Q_total/2)</w:t>
        <w:br/>
        <w:t>=H_system(Q_total)</w:t>
      </w:r>
    </w:p>
    <w:p>
      <w:r>
        <w:rPr>
          <w:rFonts w:ascii="Calibri" w:hAnsi="Calibri"/>
          <w:color w:val="12233F"/>
          <w:sz w:val="21"/>
        </w:rPr>
        <w:t>At maximum static head:</w:t>
      </w:r>
    </w:p>
    <w:tbl>
      <w:tblPr>
        <w:tblStyle w:val="TableGrid"/>
        <w:tblW w:type="dxa" w:w="9360"/>
        <w:tblLayout w:type="fixed"/>
        <w:tblLook w:firstColumn="1" w:firstRow="1" w:lastColumn="0" w:lastRow="0" w:noHBand="0" w:noVBand="1" w:val="04A0"/>
        <w:tblInd w:w="120" w:type="dxa"/>
      </w:tblPr>
      <w:tblGrid>
        <w:gridCol w:w="3918"/>
        <w:gridCol w:w="5442"/>
      </w:tblGrid>
      <w:tr>
        <w:trPr>
          <w:tblHeader w:val="true"/>
        </w:trPr>
        <w:tc>
          <w:tcPr>
            <w:tcW w:type="dxa" w:w="3918"/>
            <w:shd w:fill="176B87"/>
            <w:tcMar>
              <w:top w:w="80" w:type="dxa"/>
              <w:start w:w="120" w:type="dxa"/>
              <w:bottom w:w="80" w:type="dxa"/>
              <w:end w:w="120" w:type="dxa"/>
            </w:tcMar>
            <w:vAlign w:val="center"/>
          </w:tcPr>
          <w:p>
            <w:r>
              <w:rPr>
                <w:b/>
                <w:color w:val="FFFFFF"/>
              </w:rPr>
            </w:r>
            <w:r>
              <w:rPr>
                <w:rFonts w:ascii="Calibri" w:hAnsi="Calibri"/>
                <w:b/>
                <w:color w:val="FFFFFF"/>
                <w:sz w:val="18"/>
              </w:rPr>
              <w:t>Quantity</w:t>
            </w:r>
          </w:p>
        </w:tc>
        <w:tc>
          <w:tcPr>
            <w:tcW w:type="dxa" w:w="5442"/>
            <w:shd w:fill="176B87"/>
            <w:tcMar>
              <w:top w:w="80" w:type="dxa"/>
              <w:start w:w="120" w:type="dxa"/>
              <w:bottom w:w="80" w:type="dxa"/>
              <w:end w:w="120" w:type="dxa"/>
            </w:tcMar>
            <w:vAlign w:val="center"/>
          </w:tcPr>
          <w:p>
            <w:r>
              <w:rPr>
                <w:b/>
                <w:color w:val="FFFFFF"/>
              </w:rPr>
            </w:r>
            <w:r>
              <w:rPr>
                <w:rFonts w:ascii="Calibri" w:hAnsi="Calibri"/>
                <w:b/>
                <w:color w:val="FFFFFF"/>
                <w:sz w:val="18"/>
              </w:rPr>
              <w:t>Two pumps, maximum static</w:t>
            </w:r>
          </w:p>
        </w:tc>
      </w:tr>
      <w:tr>
        <w:tc>
          <w:tcPr>
            <w:tcW w:type="dxa" w:w="3918"/>
            <w:tcMar>
              <w:top w:w="80" w:type="dxa"/>
              <w:start w:w="120" w:type="dxa"/>
              <w:bottom w:w="80" w:type="dxa"/>
              <w:end w:w="120" w:type="dxa"/>
            </w:tcMar>
            <w:vAlign w:val="center"/>
          </w:tcPr>
          <w:p>
            <w:pPr>
              <w:jc w:val="left"/>
            </w:pPr>
            <w:r>
              <w:rPr>
                <w:rFonts w:ascii="Calibri" w:hAnsi="Calibri"/>
                <w:color w:val="12233F"/>
                <w:sz w:val="17"/>
              </w:rPr>
              <w:t>Total flow</w:t>
            </w:r>
          </w:p>
        </w:tc>
        <w:tc>
          <w:tcPr>
            <w:tcW w:type="dxa" w:w="5442"/>
            <w:tcMar>
              <w:top w:w="80" w:type="dxa"/>
              <w:start w:w="120" w:type="dxa"/>
              <w:bottom w:w="80" w:type="dxa"/>
              <w:end w:w="120" w:type="dxa"/>
            </w:tcMar>
            <w:vAlign w:val="center"/>
          </w:tcPr>
          <w:p>
            <w:pPr>
              <w:jc w:val="left"/>
            </w:pPr>
            <w:r>
              <w:rPr>
                <w:rFonts w:ascii="Calibri" w:hAnsi="Calibri"/>
                <w:color w:val="12233F"/>
                <w:sz w:val="17"/>
              </w:rPr>
              <w:t>4,129.750 gpm</w:t>
            </w:r>
          </w:p>
        </w:tc>
      </w:tr>
      <w:tr>
        <w:tc>
          <w:tcPr>
            <w:tcW w:type="dxa" w:w="3918"/>
            <w:shd w:fill="F4F7F9"/>
            <w:tcMar>
              <w:top w:w="80" w:type="dxa"/>
              <w:start w:w="120" w:type="dxa"/>
              <w:bottom w:w="80" w:type="dxa"/>
              <w:end w:w="120" w:type="dxa"/>
            </w:tcMar>
            <w:vAlign w:val="center"/>
          </w:tcPr>
          <w:p>
            <w:pPr>
              <w:jc w:val="left"/>
            </w:pPr>
            <w:r>
              <w:rPr>
                <w:rFonts w:ascii="Calibri" w:hAnsi="Calibri"/>
                <w:color w:val="12233F"/>
                <w:sz w:val="17"/>
              </w:rPr>
              <w:t>Per-pump flow</w:t>
            </w:r>
          </w:p>
        </w:tc>
        <w:tc>
          <w:tcPr>
            <w:tcW w:type="dxa" w:w="5442"/>
            <w:shd w:fill="F4F7F9"/>
            <w:tcMar>
              <w:top w:w="80" w:type="dxa"/>
              <w:start w:w="120" w:type="dxa"/>
              <w:bottom w:w="80" w:type="dxa"/>
              <w:end w:w="120" w:type="dxa"/>
            </w:tcMar>
            <w:vAlign w:val="center"/>
          </w:tcPr>
          <w:p>
            <w:pPr>
              <w:jc w:val="left"/>
            </w:pPr>
            <w:r>
              <w:rPr>
                <w:rFonts w:ascii="Calibri" w:hAnsi="Calibri"/>
                <w:color w:val="12233F"/>
                <w:sz w:val="17"/>
              </w:rPr>
              <w:t>2,064.875 gpm</w:t>
            </w:r>
          </w:p>
        </w:tc>
      </w:tr>
      <w:tr>
        <w:tc>
          <w:tcPr>
            <w:tcW w:type="dxa" w:w="3918"/>
            <w:tcMar>
              <w:top w:w="80" w:type="dxa"/>
              <w:start w:w="120" w:type="dxa"/>
              <w:bottom w:w="80" w:type="dxa"/>
              <w:end w:w="120" w:type="dxa"/>
            </w:tcMar>
            <w:vAlign w:val="center"/>
          </w:tcPr>
          <w:p>
            <w:pPr>
              <w:jc w:val="left"/>
            </w:pPr>
            <w:r>
              <w:rPr>
                <w:rFonts w:ascii="Calibri" w:hAnsi="Calibri"/>
                <w:color w:val="12233F"/>
                <w:sz w:val="17"/>
              </w:rPr>
              <w:t>Total dynamic head</w:t>
            </w:r>
          </w:p>
        </w:tc>
        <w:tc>
          <w:tcPr>
            <w:tcW w:type="dxa" w:w="5442"/>
            <w:tcMar>
              <w:top w:w="80" w:type="dxa"/>
              <w:start w:w="120" w:type="dxa"/>
              <w:bottom w:w="80" w:type="dxa"/>
              <w:end w:w="120" w:type="dxa"/>
            </w:tcMar>
            <w:vAlign w:val="center"/>
          </w:tcPr>
          <w:p>
            <w:pPr>
              <w:jc w:val="left"/>
            </w:pPr>
            <w:r>
              <w:rPr>
                <w:rFonts w:ascii="Calibri" w:hAnsi="Calibri"/>
                <w:color w:val="12233F"/>
                <w:sz w:val="17"/>
              </w:rPr>
              <w:t>109.790 ft</w:t>
            </w:r>
          </w:p>
        </w:tc>
      </w:tr>
      <w:tr>
        <w:tc>
          <w:tcPr>
            <w:tcW w:type="dxa" w:w="3918"/>
            <w:shd w:fill="F4F7F9"/>
            <w:tcMar>
              <w:top w:w="80" w:type="dxa"/>
              <w:start w:w="120" w:type="dxa"/>
              <w:bottom w:w="80" w:type="dxa"/>
              <w:end w:w="120" w:type="dxa"/>
            </w:tcMar>
            <w:vAlign w:val="center"/>
          </w:tcPr>
          <w:p>
            <w:pPr>
              <w:jc w:val="left"/>
            </w:pPr>
            <w:r>
              <w:rPr>
                <w:rFonts w:ascii="Calibri" w:hAnsi="Calibri"/>
                <w:color w:val="12233F"/>
                <w:sz w:val="17"/>
              </w:rPr>
              <w:t>Pump efficiency</w:t>
            </w:r>
          </w:p>
        </w:tc>
        <w:tc>
          <w:tcPr>
            <w:tcW w:type="dxa" w:w="5442"/>
            <w:shd w:fill="F4F7F9"/>
            <w:tcMar>
              <w:top w:w="80" w:type="dxa"/>
              <w:start w:w="120" w:type="dxa"/>
              <w:bottom w:w="80" w:type="dxa"/>
              <w:end w:w="120" w:type="dxa"/>
            </w:tcMar>
            <w:vAlign w:val="center"/>
          </w:tcPr>
          <w:p>
            <w:pPr>
              <w:jc w:val="right"/>
            </w:pPr>
            <w:r>
              <w:rPr>
                <w:rFonts w:ascii="Calibri" w:hAnsi="Calibri"/>
                <w:color w:val="12233F"/>
                <w:sz w:val="17"/>
              </w:rPr>
              <w:t>0.802595</w:t>
            </w:r>
          </w:p>
        </w:tc>
      </w:tr>
      <w:tr>
        <w:tc>
          <w:tcPr>
            <w:tcW w:type="dxa" w:w="3918"/>
            <w:tcMar>
              <w:top w:w="80" w:type="dxa"/>
              <w:start w:w="120" w:type="dxa"/>
              <w:bottom w:w="80" w:type="dxa"/>
              <w:end w:w="120" w:type="dxa"/>
            </w:tcMar>
            <w:vAlign w:val="center"/>
          </w:tcPr>
          <w:p>
            <w:pPr>
              <w:jc w:val="left"/>
            </w:pPr>
            <w:r>
              <w:rPr>
                <w:rFonts w:ascii="Calibri" w:hAnsi="Calibri"/>
                <w:color w:val="12233F"/>
                <w:sz w:val="17"/>
              </w:rPr>
              <w:t>Total input power</w:t>
            </w:r>
          </w:p>
        </w:tc>
        <w:tc>
          <w:tcPr>
            <w:tcW w:type="dxa" w:w="5442"/>
            <w:tcMar>
              <w:top w:w="80" w:type="dxa"/>
              <w:start w:w="120" w:type="dxa"/>
              <w:bottom w:w="80" w:type="dxa"/>
              <w:end w:w="120" w:type="dxa"/>
            </w:tcMar>
            <w:vAlign w:val="center"/>
          </w:tcPr>
          <w:p>
            <w:pPr>
              <w:jc w:val="left"/>
            </w:pPr>
            <w:r>
              <w:rPr>
                <w:rFonts w:ascii="Calibri" w:hAnsi="Calibri"/>
                <w:color w:val="12233F"/>
                <w:sz w:val="17"/>
              </w:rPr>
              <w:t>113.170 kW</w:t>
            </w:r>
          </w:p>
        </w:tc>
      </w:tr>
      <w:tr>
        <w:tc>
          <w:tcPr>
            <w:tcW w:type="dxa" w:w="3918"/>
            <w:shd w:fill="F4F7F9"/>
            <w:tcMar>
              <w:top w:w="80" w:type="dxa"/>
              <w:start w:w="120" w:type="dxa"/>
              <w:bottom w:w="80" w:type="dxa"/>
              <w:end w:w="120" w:type="dxa"/>
            </w:tcMar>
            <w:vAlign w:val="center"/>
          </w:tcPr>
          <w:p>
            <w:pPr>
              <w:jc w:val="left"/>
            </w:pPr>
            <w:r>
              <w:rPr>
                <w:rFonts w:ascii="Calibri" w:hAnsi="Calibri"/>
                <w:color w:val="12233F"/>
                <w:sz w:val="17"/>
              </w:rPr>
              <w:t>Specific energy</w:t>
            </w:r>
          </w:p>
        </w:tc>
        <w:tc>
          <w:tcPr>
            <w:tcW w:type="dxa" w:w="5442"/>
            <w:shd w:fill="F4F7F9"/>
            <w:tcMar>
              <w:top w:w="80" w:type="dxa"/>
              <w:start w:w="120" w:type="dxa"/>
              <w:bottom w:w="80" w:type="dxa"/>
              <w:end w:w="120" w:type="dxa"/>
            </w:tcMar>
            <w:vAlign w:val="center"/>
          </w:tcPr>
          <w:p>
            <w:pPr>
              <w:jc w:val="left"/>
            </w:pPr>
            <w:r>
              <w:rPr>
                <w:rFonts w:ascii="Calibri" w:hAnsi="Calibri"/>
                <w:color w:val="12233F"/>
                <w:sz w:val="17"/>
              </w:rPr>
              <w:t>456.727 kWh/MG</w:t>
            </w:r>
          </w:p>
        </w:tc>
      </w:tr>
    </w:tbl>
    <w:p>
      <w:pPr>
        <w:spacing w:after="20"/>
      </w:pPr>
    </w:p>
    <w:p>
      <w:r>
        <w:rPr>
          <w:rFonts w:ascii="Calibri" w:hAnsi="Calibri"/>
          <w:color w:val="12233F"/>
          <w:sz w:val="21"/>
        </w:rPr>
        <w:t>The two-pump flow is less than twice the one-pump flow because the common force-main friction increases strongly with total flow.</w:t>
      </w:r>
    </w:p>
    <w:p>
      <w:pPr>
        <w:pStyle w:val="Heading2"/>
        <w:keepNext/>
      </w:pPr>
      <w:r>
        <w:t>7.9 Capacity margin</w:t>
      </w:r>
    </w:p>
    <w:p>
      <w:pPr>
        <w:pStyle w:val="EquationBlock"/>
        <w:jc w:val="center"/>
        <w:shd w:fill="F1F5F7"/>
      </w:pPr>
      <w:r>
        <w:t>Q_margin</w:t>
        <w:br/>
        <w:t>=4,129.750-2,728.264</w:t>
        <w:br/>
        <w:t>=1,401.486 gpm</w:t>
      </w:r>
    </w:p>
    <w:p>
      <w:pPr>
        <w:pStyle w:val="EquationBlock"/>
        <w:jc w:val="center"/>
        <w:shd w:fill="F1F5F7"/>
      </w:pPr>
      <w:r>
        <w:t>margin fraction</w:t>
        <w:br/>
        <w:t>=(1,401.486) / (4,129.750)</w:t>
        <w:br/>
        <w:t>=0.339363=33.9363%</w:t>
      </w:r>
    </w:p>
    <w:p>
      <w:pPr>
        <w:pStyle w:val="EquationBlock"/>
        <w:jc w:val="center"/>
        <w:shd w:fill="F1F5F7"/>
      </w:pPr>
      <w:r>
        <w:t>utilization</w:t>
        <w:br/>
        <w:t>=(2,728.264) / (4,129.750)</w:t>
        <w:br/>
        <w:t>=0.660637=66.0637%</w:t>
      </w:r>
    </w:p>
    <w:p>
      <w:r>
        <w:rPr>
          <w:rFonts w:ascii="Calibri" w:hAnsi="Calibri"/>
          <w:color w:val="12233F"/>
          <w:sz w:val="21"/>
        </w:rPr>
        <w:t>The example event passes the modeled two-pump firm-capacity screen. That does not certify a real station because real curves, controls, transient conditions, NPSH, pump condition, force-main condition, upstream surcharge, emergency power, and downstream limits are absent.</w:t>
      </w:r>
    </w:p>
    <w:p>
      <w:pPr>
        <w:pStyle w:val="Heading2"/>
        <w:keepNext/>
      </w:pPr>
      <w:r>
        <w:t>7.10 Storage contingency A: normal one-pump operation</w:t>
      </w:r>
    </w:p>
    <w:p>
      <w:r>
        <w:rPr>
          <w:rFonts w:ascii="Calibri" w:hAnsi="Calibri"/>
          <w:color w:val="12233F"/>
          <w:sz w:val="21"/>
        </w:rPr>
        <w:t>Conservative one-pump capacity is 2,994.250 gpm. Peak inflow is 2,728.264 gpm:</w:t>
      </w:r>
    </w:p>
    <w:p>
      <w:pPr>
        <w:pStyle w:val="EquationBlock"/>
        <w:jc w:val="center"/>
        <w:shd w:fill="F1F5F7"/>
      </w:pPr>
      <w:r>
        <w:t>Q_deficit</w:t>
        <w:br/>
        <w:t>=max(0,2,728.264-2,994.250)=0</w:t>
      </w:r>
    </w:p>
    <w:p>
      <w:r>
        <w:rPr>
          <w:rFonts w:ascii="Calibri" w:hAnsi="Calibri"/>
          <w:color w:val="12233F"/>
          <w:sz w:val="21"/>
        </w:rPr>
        <w:t>The dynamically routed event requires zero incremental storage in this case.</w:t>
      </w:r>
    </w:p>
    <w:p>
      <w:pPr>
        <w:pStyle w:val="Heading2"/>
        <w:keepNext/>
      </w:pPr>
      <w:r>
        <w:t>7.11 Storage contingency B: one pump derated 25 percent</w:t>
      </w:r>
    </w:p>
    <w:p>
      <w:pPr>
        <w:pStyle w:val="EquationBlock"/>
        <w:jc w:val="center"/>
        <w:shd w:fill="F1F5F7"/>
      </w:pPr>
      <w:r>
        <w:t>Q_available</w:t>
        <w:br/>
        <w:t>=0.75(2,994.250)=2,245.6875 gpm</w:t>
      </w:r>
    </w:p>
    <w:p>
      <w:r>
        <w:rPr>
          <w:rFonts w:ascii="Calibri" w:hAnsi="Calibri"/>
          <w:color w:val="12233F"/>
          <w:sz w:val="21"/>
        </w:rPr>
        <w:t>Peak deficit:</w:t>
      </w:r>
    </w:p>
    <w:p>
      <w:pPr>
        <w:pStyle w:val="EquationBlock"/>
        <w:jc w:val="center"/>
        <w:shd w:fill="F1F5F7"/>
      </w:pPr>
      <w:r>
        <w:t>Q_(deficit,peak)</w:t>
        <w:br/>
        <w:t>=2,728.264-2,245.6875</w:t>
        <w:br/>
        <w:t>=482.577 gpm</w:t>
      </w:r>
    </w:p>
    <w:p>
      <w:r>
        <w:rPr>
          <w:rFonts w:ascii="Calibri" w:hAnsi="Calibri"/>
          <w:color w:val="12233F"/>
          <w:sz w:val="21"/>
        </w:rPr>
        <w:t>Constant-peak storage exhaustion screen:</w:t>
      </w:r>
    </w:p>
    <w:p>
      <w:pPr>
        <w:pStyle w:val="EquationBlock"/>
        <w:jc w:val="center"/>
        <w:shd w:fill="F1F5F7"/>
      </w:pPr>
      <w:r>
        <w:t>t_exhaust</w:t>
        <w:br/>
        <w:t>=(45,000) / (482.577)</w:t>
        <w:br/>
        <w:t>=93.249 min</w:t>
      </w:r>
    </w:p>
    <w:p>
      <w:r>
        <w:rPr>
          <w:rFonts w:ascii="Calibri" w:hAnsi="Calibri"/>
          <w:color w:val="12233F"/>
          <w:sz w:val="21"/>
        </w:rPr>
        <w:t>Dynamic routing over the complete event gives:</w:t>
      </w:r>
    </w:p>
    <w:tbl>
      <w:tblPr>
        <w:tblStyle w:val="TableGrid"/>
        <w:tblW w:type="dxa" w:w="9360"/>
        <w:tblLayout w:type="fixed"/>
        <w:tblLook w:firstColumn="1" w:firstRow="1" w:lastColumn="0" w:lastRow="0" w:noHBand="0" w:noVBand="1" w:val="04A0"/>
        <w:tblInd w:w="120" w:type="dxa"/>
      </w:tblPr>
      <w:tblGrid>
        <w:gridCol w:w="7020"/>
        <w:gridCol w:w="2340"/>
      </w:tblGrid>
      <w:tr>
        <w:trPr>
          <w:tblHeader w:val="true"/>
        </w:trPr>
        <w:tc>
          <w:tcPr>
            <w:tcW w:type="dxa" w:w="7020"/>
            <w:shd w:fill="176B87"/>
            <w:tcMar>
              <w:top w:w="80" w:type="dxa"/>
              <w:start w:w="120" w:type="dxa"/>
              <w:bottom w:w="80" w:type="dxa"/>
              <w:end w:w="120" w:type="dxa"/>
            </w:tcMar>
            <w:vAlign w:val="center"/>
          </w:tcPr>
          <w:p>
            <w:r>
              <w:rPr>
                <w:b/>
                <w:color w:val="FFFFFF"/>
              </w:rPr>
            </w:r>
            <w:r>
              <w:rPr>
                <w:rFonts w:ascii="Calibri" w:hAnsi="Calibri"/>
                <w:b/>
                <w:color w:val="FFFFFF"/>
                <w:sz w:val="18"/>
              </w:rPr>
              <w:t>Storage result</w:t>
            </w:r>
          </w:p>
        </w:tc>
        <w:tc>
          <w:tcPr>
            <w:tcW w:type="dxa" w:w="2340"/>
            <w:shd w:fill="176B87"/>
            <w:tcMar>
              <w:top w:w="80" w:type="dxa"/>
              <w:start w:w="120" w:type="dxa"/>
              <w:bottom w:w="80" w:type="dxa"/>
              <w:end w:w="120" w:type="dxa"/>
            </w:tcMar>
            <w:vAlign w:val="center"/>
          </w:tcPr>
          <w:p>
            <w:r>
              <w:rPr>
                <w:b/>
                <w:color w:val="FFFFFF"/>
              </w:rPr>
            </w:r>
            <w:r>
              <w:rPr>
                <w:rFonts w:ascii="Calibri" w:hAnsi="Calibri"/>
                <w:b/>
                <w:color w:val="FFFFFF"/>
                <w:sz w:val="18"/>
              </w:rPr>
              <w:t>Value</w:t>
            </w:r>
          </w:p>
        </w:tc>
      </w:tr>
      <w:tr>
        <w:tc>
          <w:tcPr>
            <w:tcW w:type="dxa" w:w="7020"/>
            <w:tcMar>
              <w:top w:w="80" w:type="dxa"/>
              <w:start w:w="120" w:type="dxa"/>
              <w:bottom w:w="80" w:type="dxa"/>
              <w:end w:w="120" w:type="dxa"/>
            </w:tcMar>
            <w:vAlign w:val="center"/>
          </w:tcPr>
          <w:p>
            <w:pPr>
              <w:jc w:val="left"/>
            </w:pPr>
            <w:r>
              <w:rPr>
                <w:rFonts w:ascii="Calibri" w:hAnsi="Calibri"/>
                <w:color w:val="12233F"/>
                <w:sz w:val="17"/>
              </w:rPr>
              <w:t>Required storage</w:t>
            </w:r>
          </w:p>
        </w:tc>
        <w:tc>
          <w:tcPr>
            <w:tcW w:type="dxa" w:w="2340"/>
            <w:tcMar>
              <w:top w:w="80" w:type="dxa"/>
              <w:start w:w="120" w:type="dxa"/>
              <w:bottom w:w="80" w:type="dxa"/>
              <w:end w:w="120" w:type="dxa"/>
            </w:tcMar>
            <w:vAlign w:val="center"/>
          </w:tcPr>
          <w:p>
            <w:pPr>
              <w:jc w:val="left"/>
            </w:pPr>
            <w:r>
              <w:rPr>
                <w:rFonts w:ascii="Calibri" w:hAnsi="Calibri"/>
                <w:color w:val="12233F"/>
                <w:sz w:val="17"/>
              </w:rPr>
              <w:t>75,311.845 gal</w:t>
            </w:r>
          </w:p>
        </w:tc>
      </w:tr>
      <w:tr>
        <w:tc>
          <w:tcPr>
            <w:tcW w:type="dxa" w:w="7020"/>
            <w:shd w:fill="F4F7F9"/>
            <w:tcMar>
              <w:top w:w="80" w:type="dxa"/>
              <w:start w:w="120" w:type="dxa"/>
              <w:bottom w:w="80" w:type="dxa"/>
              <w:end w:w="120" w:type="dxa"/>
            </w:tcMar>
            <w:vAlign w:val="center"/>
          </w:tcPr>
          <w:p>
            <w:pPr>
              <w:jc w:val="left"/>
            </w:pPr>
            <w:r>
              <w:rPr>
                <w:rFonts w:ascii="Calibri" w:hAnsi="Calibri"/>
                <w:color w:val="12233F"/>
                <w:sz w:val="17"/>
              </w:rPr>
              <w:t>Usable storage</w:t>
            </w:r>
          </w:p>
        </w:tc>
        <w:tc>
          <w:tcPr>
            <w:tcW w:type="dxa" w:w="2340"/>
            <w:shd w:fill="F4F7F9"/>
            <w:tcMar>
              <w:top w:w="80" w:type="dxa"/>
              <w:start w:w="120" w:type="dxa"/>
              <w:bottom w:w="80" w:type="dxa"/>
              <w:end w:w="120" w:type="dxa"/>
            </w:tcMar>
            <w:vAlign w:val="center"/>
          </w:tcPr>
          <w:p>
            <w:pPr>
              <w:jc w:val="left"/>
            </w:pPr>
            <w:r>
              <w:rPr>
                <w:rFonts w:ascii="Calibri" w:hAnsi="Calibri"/>
                <w:color w:val="12233F"/>
                <w:sz w:val="17"/>
              </w:rPr>
              <w:t>45,000 gal</w:t>
            </w:r>
          </w:p>
        </w:tc>
      </w:tr>
      <w:tr>
        <w:tc>
          <w:tcPr>
            <w:tcW w:type="dxa" w:w="7020"/>
            <w:tcMar>
              <w:top w:w="80" w:type="dxa"/>
              <w:start w:w="120" w:type="dxa"/>
              <w:bottom w:w="80" w:type="dxa"/>
              <w:end w:w="120" w:type="dxa"/>
            </w:tcMar>
            <w:vAlign w:val="center"/>
          </w:tcPr>
          <w:p>
            <w:pPr>
              <w:jc w:val="left"/>
            </w:pPr>
            <w:r>
              <w:rPr>
                <w:rFonts w:ascii="Calibri" w:hAnsi="Calibri"/>
                <w:color w:val="12233F"/>
                <w:sz w:val="17"/>
              </w:rPr>
              <w:t>Shortfall</w:t>
            </w:r>
          </w:p>
        </w:tc>
        <w:tc>
          <w:tcPr>
            <w:tcW w:type="dxa" w:w="2340"/>
            <w:tcMar>
              <w:top w:w="80" w:type="dxa"/>
              <w:start w:w="120" w:type="dxa"/>
              <w:bottom w:w="80" w:type="dxa"/>
              <w:end w:w="120" w:type="dxa"/>
            </w:tcMar>
            <w:vAlign w:val="center"/>
          </w:tcPr>
          <w:p>
            <w:pPr>
              <w:jc w:val="left"/>
            </w:pPr>
            <w:r>
              <w:rPr>
                <w:rFonts w:ascii="Calibri" w:hAnsi="Calibri"/>
                <w:color w:val="12233F"/>
                <w:sz w:val="17"/>
              </w:rPr>
              <w:t>30,311.845 gal</w:t>
            </w:r>
          </w:p>
        </w:tc>
      </w:tr>
      <w:tr>
        <w:tc>
          <w:tcPr>
            <w:tcW w:type="dxa" w:w="7020"/>
            <w:shd w:fill="F4F7F9"/>
            <w:tcMar>
              <w:top w:w="80" w:type="dxa"/>
              <w:start w:w="120" w:type="dxa"/>
              <w:bottom w:w="80" w:type="dxa"/>
              <w:end w:w="120" w:type="dxa"/>
            </w:tcMar>
            <w:vAlign w:val="center"/>
          </w:tcPr>
          <w:p>
            <w:pPr>
              <w:jc w:val="left"/>
            </w:pPr>
            <w:r>
              <w:rPr>
                <w:rFonts w:ascii="Calibri" w:hAnsi="Calibri"/>
                <w:color w:val="12233F"/>
                <w:sz w:val="17"/>
              </w:rPr>
              <w:t>Calculated cumulative overflow in simplified routing</w:t>
            </w:r>
          </w:p>
        </w:tc>
        <w:tc>
          <w:tcPr>
            <w:tcW w:type="dxa" w:w="2340"/>
            <w:shd w:fill="F4F7F9"/>
            <w:tcMar>
              <w:top w:w="80" w:type="dxa"/>
              <w:start w:w="120" w:type="dxa"/>
              <w:bottom w:w="80" w:type="dxa"/>
              <w:end w:w="120" w:type="dxa"/>
            </w:tcMar>
            <w:vAlign w:val="center"/>
          </w:tcPr>
          <w:p>
            <w:pPr>
              <w:jc w:val="left"/>
            </w:pPr>
            <w:r>
              <w:rPr>
                <w:rFonts w:ascii="Calibri" w:hAnsi="Calibri"/>
                <w:color w:val="12233F"/>
                <w:sz w:val="17"/>
              </w:rPr>
              <w:t>30,311.845 gal</w:t>
            </w:r>
          </w:p>
        </w:tc>
      </w:tr>
    </w:tbl>
    <w:p>
      <w:pPr>
        <w:spacing w:after="20"/>
      </w:pPr>
    </w:p>
    <w:p>
      <w:r>
        <w:rPr>
          <w:rFonts w:ascii="Calibri" w:hAnsi="Calibri"/>
          <w:color w:val="12233F"/>
          <w:sz w:val="21"/>
        </w:rPr>
        <w:t>The constant-peak screen and dynamic result answer different questions. The 93.249-minute screen assumes a constant peak beginning with empty storage. The dynamic route preserves the complete hydrograph and prior storage state.</w:t>
      </w:r>
    </w:p>
    <w:p>
      <w:pPr>
        <w:keepNext/>
        <w:spacing w:before="140" w:after="40"/>
        <w:jc w:val="center"/>
      </w:pPr>
      <w:r>
        <w:drawing>
          <wp:inline xmlns:a="http://schemas.openxmlformats.org/drawingml/2006/main" xmlns:pic="http://schemas.openxmlformats.org/drawingml/2006/picture">
            <wp:extent cx="5806440" cy="3290316"/>
            <wp:docPr id="4" name="Picture 4" descr="Contingency storage routing"/>
            <wp:cNvGraphicFramePr>
              <a:graphicFrameLocks noChangeAspect="1"/>
            </wp:cNvGraphicFramePr>
            <a:graphic>
              <a:graphicData uri="http://schemas.openxmlformats.org/drawingml/2006/picture">
                <pic:pic>
                  <pic:nvPicPr>
                    <pic:cNvPr id="0" name="04-contingency-storage.png"/>
                    <pic:cNvPicPr/>
                  </pic:nvPicPr>
                  <pic:blipFill>
                    <a:blip r:embed="rId14"/>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Contingency storage routing</w:t>
      </w:r>
    </w:p>
    <w:p>
      <w:pPr>
        <w:pStyle w:val="Heading2"/>
        <w:keepNext/>
      </w:pPr>
      <w:r>
        <w:t>7.12 Storage contingency C: complete outage for 30 minutes</w:t>
      </w:r>
    </w:p>
    <w:p>
      <w:r>
        <w:rPr>
          <w:rFonts w:ascii="Calibri" w:hAnsi="Calibri"/>
          <w:color w:val="12233F"/>
          <w:sz w:val="21"/>
        </w:rPr>
        <w:t>At constant peak inflow:</w:t>
      </w:r>
    </w:p>
    <w:p>
      <w:pPr>
        <w:pStyle w:val="EquationBlock"/>
        <w:jc w:val="center"/>
        <w:shd w:fill="F1F5F7"/>
      </w:pPr>
      <w:r>
        <w:t>V_required</w:t>
        <w:br/>
        <w:t>=2,728.264(30)</w:t>
        <w:br/>
        <w:t>=81,847.932 gal</w:t>
      </w:r>
    </w:p>
    <w:p>
      <w:pPr>
        <w:pStyle w:val="EquationBlock"/>
        <w:jc w:val="center"/>
        <w:shd w:fill="F1F5F7"/>
      </w:pPr>
      <w:r>
        <w:t>V_shortfall</w:t>
        <w:br/>
        <w:t>=81,847.932-45,000</w:t>
        <w:br/>
        <w:t>=36,847.932 gal</w:t>
      </w:r>
    </w:p>
    <w:p>
      <w:pPr>
        <w:pStyle w:val="EquationBlock"/>
        <w:jc w:val="center"/>
        <w:shd w:fill="F1F5F7"/>
      </w:pPr>
      <w:r>
        <w:t>t_exhaust</w:t>
        <w:br/>
        <w:t>=(45,000) / (2,728.264)</w:t>
        <w:br/>
        <w:t>=16.494 min</w:t>
      </w:r>
    </w:p>
    <w:p>
      <w:r>
        <w:rPr>
          <w:rFonts w:ascii="Calibri" w:hAnsi="Calibri"/>
          <w:color w:val="12233F"/>
          <w:sz w:val="21"/>
        </w:rPr>
        <w:t>This is a conservative constant-peak screen, not a transient simulation. It shows that the stated 30-minute response interval is longer than the 16.494-minute storage duration at peak inflow.</w:t>
      </w:r>
    </w:p>
    <w:p>
      <w:pPr>
        <w:pStyle w:val="Heading2"/>
        <w:keepNext/>
      </w:pPr>
      <w:r>
        <w:t>7.13 Simple cycling calculation</w:t>
      </w:r>
    </w:p>
    <w:p>
      <w:r>
        <w:rPr>
          <w:rFonts w:ascii="Calibri" w:hAnsi="Calibri"/>
          <w:color w:val="12233F"/>
          <w:sz w:val="21"/>
        </w:rPr>
        <w:t>Average inflow:</w:t>
      </w:r>
    </w:p>
    <w:p>
      <w:pPr>
        <w:pStyle w:val="EquationBlock"/>
        <w:jc w:val="center"/>
        <w:shd w:fill="F1F5F7"/>
      </w:pPr>
      <w:r>
        <w:t>1.25 MGD</w:t>
        <w:br/>
        <w:t>× (1,000,000) / (1,440)</w:t>
        <w:br/>
        <w:t>=868.056 gpm</w:t>
      </w:r>
    </w:p>
    <w:p>
      <w:r>
        <w:rPr>
          <w:rFonts w:ascii="Calibri" w:hAnsi="Calibri"/>
          <w:color w:val="12233F"/>
          <w:sz w:val="21"/>
        </w:rPr>
        <w:t>Using the nominal-static-head one-pump capacity of 3,022.625 gpm:</w:t>
      </w:r>
    </w:p>
    <w:p>
      <w:pPr>
        <w:pStyle w:val="EquationBlock"/>
        <w:jc w:val="center"/>
        <w:shd w:fill="F1F5F7"/>
      </w:pPr>
      <w:r>
        <w:t>t_fill=(15,000) / (868.056)=17.280 min</w:t>
      </w:r>
    </w:p>
    <w:p>
      <w:pPr>
        <w:pStyle w:val="EquationBlock"/>
        <w:jc w:val="center"/>
        <w:shd w:fill="F1F5F7"/>
      </w:pPr>
      <w:r>
        <w:t>t_draw</w:t>
        <w:br/>
        <w:t>=(15,000) / (3,022.625-868.056)</w:t>
        <w:br/>
        <w:t>=6.962 min</w:t>
      </w:r>
    </w:p>
    <w:p>
      <w:pPr>
        <w:pStyle w:val="EquationBlock"/>
        <w:jc w:val="center"/>
        <w:shd w:fill="F1F5F7"/>
      </w:pPr>
      <w:r>
        <w:t>t_cycle=17.280+6.962=24.242 min</w:t>
      </w:r>
    </w:p>
    <w:p>
      <w:pPr>
        <w:pStyle w:val="EquationBlock"/>
        <w:jc w:val="center"/>
        <w:shd w:fill="F1F5F7"/>
      </w:pPr>
      <w:r>
        <w:t>N_(cycles/hr)=(60) / (24.242)=2.475</w:t>
      </w:r>
    </w:p>
    <w:p>
      <w:r>
        <w:rPr>
          <w:rFonts w:ascii="Calibri" w:hAnsi="Calibri"/>
          <w:color w:val="12233F"/>
          <w:sz w:val="21"/>
        </w:rPr>
        <w:t>The result applies only to the stated one-pump, constant-speed, constant-inflow simplification.</w:t>
      </w:r>
    </w:p>
    <w:p>
      <w:pPr>
        <w:pStyle w:val="Heading2"/>
        <w:keepNext/>
      </w:pPr>
      <w:r>
        <w:t>7.14 Illustrative operating time and NAPOT</w:t>
      </w:r>
    </w:p>
    <w:p>
      <w:r>
        <w:rPr>
          <w:rFonts w:ascii="Calibri" w:hAnsi="Calibri"/>
          <w:color w:val="12233F"/>
          <w:sz w:val="21"/>
        </w:rPr>
        <w:t>Aggregate pump hours for one ADWF day:</w:t>
      </w:r>
    </w:p>
    <w:p>
      <w:pPr>
        <w:pStyle w:val="EquationBlock"/>
        <w:jc w:val="center"/>
        <w:shd w:fill="F1F5F7"/>
      </w:pPr>
      <w:r>
        <w:t>H_aggregate</w:t>
        <w:br/>
        <w:t>=(1.25(1,000,000)) / (3,022.625(60))</w:t>
        <w:br/>
        <w:t>=6.892 pump-hr/day</w:t>
      </w:r>
    </w:p>
    <w:p>
      <w:r>
        <w:rPr>
          <w:rFonts w:ascii="Calibri" w:hAnsi="Calibri"/>
          <w:color w:val="12233F"/>
          <w:sz w:val="21"/>
        </w:rPr>
        <w:t>Illustrative constant-speed NAPOT:</w:t>
      </w:r>
    </w:p>
    <w:p>
      <w:pPr>
        <w:pStyle w:val="EquationBlock"/>
        <w:jc w:val="center"/>
        <w:shd w:fill="F1F5F7"/>
      </w:pPr>
      <w:r>
        <w:t>NAPOT</w:t>
        <w:br/>
        <w:t>=(6.892) / (3-1)</w:t>
        <w:br/>
        <w:t>=3.446 hr/day</w:t>
      </w:r>
    </w:p>
    <w:p>
      <w:r>
        <w:rPr>
          <w:rFonts w:ascii="Calibri" w:hAnsi="Calibri"/>
          <w:color w:val="12233F"/>
          <w:sz w:val="21"/>
        </w:rPr>
        <w:t>This does not implement the preceding-365-day monthly averaging or variable-speed power-equivalence rules in the source. It is therefore labeled an illustrative formula-path test, not a Miami-Dade capacity determination.</w:t>
      </w:r>
    </w:p>
    <w:p>
      <w:pPr>
        <w:pStyle w:val="Heading2"/>
        <w:keepNext/>
      </w:pPr>
      <w:r>
        <w:t>7.15 Event energy</w:t>
      </w:r>
    </w:p>
    <w:p>
      <w:r>
        <w:rPr>
          <w:rFonts w:ascii="Calibri" w:hAnsi="Calibri"/>
          <w:color w:val="12233F"/>
          <w:sz w:val="21"/>
        </w:rPr>
        <w:t>The example interpolates staged power between nominal one-pump and two-pump operating points as the inflow changes, then trapezoidally integrates power for the full 66-hour modeled response.</w:t>
      </w:r>
    </w:p>
    <w:p>
      <w:pPr>
        <w:pStyle w:val="EquationBlock"/>
        <w:jc w:val="center"/>
        <w:shd w:fill="F1F5F7"/>
      </w:pPr>
      <w:r>
        <w:t>E_event=1,589.926 kWh</w:t>
      </w:r>
    </w:p>
    <w:p>
      <w:pPr>
        <w:pStyle w:val="EquationBlock"/>
        <w:jc w:val="center"/>
        <w:shd w:fill="F1F5F7"/>
      </w:pPr>
      <w:r>
        <w:t>C_event</w:t>
        <w:br/>
        <w:t>=1,589.926(0.12)</w:t>
        <w:br/>
        <w:t>=$190.79</w:t>
      </w:r>
    </w:p>
    <w:p>
      <w:r>
        <w:rPr>
          <w:rFonts w:ascii="Calibri" w:hAnsi="Calibri"/>
          <w:color w:val="12233F"/>
          <w:sz w:val="21"/>
        </w:rPr>
        <w:t>This control approximation is not a motor-control simulation. A production model must use actual start-stop or VFD logic, measured wire power, and the applicable tariff.</w:t>
      </w:r>
    </w:p>
    <w:p>
      <w:pPr>
        <w:pStyle w:val="Heading2"/>
        <w:keepNext/>
      </w:pPr>
      <w:r>
        <w:t>7.16 Rehabilitation scenario</w:t>
      </w:r>
    </w:p>
    <w:p>
      <w:r>
        <w:rPr>
          <w:rFonts w:ascii="Calibri" w:hAnsi="Calibri"/>
          <w:color w:val="12233F"/>
          <w:sz w:val="21"/>
        </w:rPr>
        <w:t>Hypothetical assumptions:</w:t>
      </w:r>
    </w:p>
    <w:p>
      <w:pPr>
        <w:pStyle w:val="ListBullet"/>
      </w:pPr>
      <w:r>
        <w:rPr>
          <w:rFonts w:ascii="Calibri" w:hAnsi="Calibri"/>
          <w:color w:val="12233F"/>
          <w:sz w:val="21"/>
        </w:rPr>
        <w:t>30 percent GWI reduction;</w:t>
      </w:r>
    </w:p>
    <w:p>
      <w:pPr>
        <w:pStyle w:val="ListBullet"/>
      </w:pPr>
      <w:r>
        <w:rPr>
          <w:rFonts w:ascii="Calibri" w:hAnsi="Calibri"/>
          <w:color w:val="12233F"/>
          <w:sz w:val="21"/>
        </w:rPr>
        <w:t>short R reduction of 15 percent;</w:t>
      </w:r>
    </w:p>
    <w:p>
      <w:pPr>
        <w:pStyle w:val="ListBullet"/>
      </w:pPr>
      <w:r>
        <w:rPr>
          <w:rFonts w:ascii="Calibri" w:hAnsi="Calibri"/>
          <w:color w:val="12233F"/>
          <w:sz w:val="21"/>
        </w:rPr>
        <w:t>medium R reduction of 35 percent;</w:t>
      </w:r>
    </w:p>
    <w:p>
      <w:pPr>
        <w:pStyle w:val="ListBullet"/>
      </w:pPr>
      <w:r>
        <w:rPr>
          <w:rFonts w:ascii="Calibri" w:hAnsi="Calibri"/>
          <w:color w:val="12233F"/>
          <w:sz w:val="21"/>
        </w:rPr>
        <w:t>long R reduction of 45 percent;</w:t>
      </w:r>
    </w:p>
    <w:p>
      <w:pPr>
        <w:pStyle w:val="ListBullet"/>
      </w:pPr>
      <w:r>
        <w:rPr>
          <w:rFonts w:ascii="Calibri" w:hAnsi="Calibri"/>
          <w:color w:val="12233F"/>
          <w:sz w:val="21"/>
        </w:rPr>
        <w:t>12 annual-equivalent events;</w:t>
      </w:r>
    </w:p>
    <w:p>
      <w:pPr>
        <w:pStyle w:val="ListBullet"/>
      </w:pPr>
      <w:r>
        <w:rPr>
          <w:rFonts w:ascii="Calibri" w:hAnsi="Calibri"/>
          <w:color w:val="12233F"/>
          <w:sz w:val="21"/>
        </w:rPr>
        <w:t>$8.5 million capital cost;</w:t>
      </w:r>
    </w:p>
    <w:p>
      <w:pPr>
        <w:pStyle w:val="ListBullet"/>
      </w:pPr>
      <w:r>
        <w:rPr>
          <w:rFonts w:ascii="Calibri" w:hAnsi="Calibri"/>
          <w:color w:val="12233F"/>
          <w:sz w:val="21"/>
        </w:rPr>
        <w:t>$120,000 annual O&amp;M;</w:t>
      </w:r>
    </w:p>
    <w:p>
      <w:pPr>
        <w:pStyle w:val="ListBullet"/>
      </w:pPr>
      <w:r>
        <w:rPr>
          <w:rFonts w:ascii="Calibri" w:hAnsi="Calibri"/>
          <w:color w:val="12233F"/>
          <w:sz w:val="21"/>
        </w:rPr>
        <w:t>$650 per MG marginal conveyance and treatment cost;</w:t>
      </w:r>
    </w:p>
    <w:p>
      <w:pPr>
        <w:pStyle w:val="ListBullet"/>
      </w:pPr>
      <w:r>
        <w:rPr>
          <w:rFonts w:ascii="Calibri" w:hAnsi="Calibri"/>
          <w:color w:val="12233F"/>
          <w:sz w:val="21"/>
        </w:rPr>
        <w:t>20 years; and</w:t>
      </w:r>
    </w:p>
    <w:p>
      <w:pPr>
        <w:pStyle w:val="ListBullet"/>
      </w:pPr>
      <w:r>
        <w:rPr>
          <w:rFonts w:ascii="Calibri" w:hAnsi="Calibri"/>
          <w:color w:val="12233F"/>
          <w:sz w:val="21"/>
        </w:rPr>
        <w:t>3 percent real discount rate.</w:t>
      </w:r>
    </w:p>
    <w:p>
      <w:r>
        <w:rPr>
          <w:rFonts w:ascii="Calibri" w:hAnsi="Calibri"/>
          <w:color w:val="12233F"/>
          <w:sz w:val="21"/>
        </w:rPr>
        <w:t>Post-scenario GWI:</w:t>
      </w:r>
    </w:p>
    <w:p>
      <w:pPr>
        <w:pStyle w:val="EquationBlock"/>
        <w:jc w:val="center"/>
        <w:shd w:fill="F1F5F7"/>
      </w:pPr>
      <w:r>
        <w:t>Q_(GWI,post)</w:t>
        <w:br/>
        <w:t>=0.250(1-0.30)</w:t>
        <w:br/>
        <w:t>=0.175 MGD</w:t>
      </w:r>
    </w:p>
    <w:p>
      <w:r>
        <w:rPr>
          <w:rFonts w:ascii="Calibri" w:hAnsi="Calibri"/>
          <w:color w:val="12233F"/>
          <w:sz w:val="21"/>
        </w:rPr>
        <w:t>Post-scenario RTK fractions:</w:t>
      </w:r>
    </w:p>
    <w:p>
      <w:pPr>
        <w:pStyle w:val="EquationBlock"/>
        <w:jc w:val="center"/>
        <w:shd w:fill="F1F5F7"/>
      </w:pPr>
      <w:r>
        <w:t>R_(s,post)=0.006(0.85)=0.0051</w:t>
      </w:r>
    </w:p>
    <w:p>
      <w:pPr>
        <w:pStyle w:val="EquationBlock"/>
        <w:jc w:val="center"/>
        <w:shd w:fill="F1F5F7"/>
      </w:pPr>
      <w:r>
        <w:t>R_(m,post)=0.010(0.65)=0.0065</w:t>
      </w:r>
    </w:p>
    <w:p>
      <w:pPr>
        <w:pStyle w:val="EquationBlock"/>
        <w:jc w:val="center"/>
        <w:shd w:fill="F1F5F7"/>
      </w:pPr>
      <w:r>
        <w:t>R_(l,post)=0.016(0.55)=0.0088</w:t>
      </w:r>
    </w:p>
    <w:p>
      <w:pPr>
        <w:pStyle w:val="EquationBlock"/>
        <w:jc w:val="center"/>
        <w:shd w:fill="F1F5F7"/>
      </w:pPr>
      <w:r>
        <w:t>R_(post,total)=0.0204</w:t>
      </w:r>
    </w:p>
    <w:p>
      <w:r>
        <w:rPr>
          <w:rFonts w:ascii="Calibri" w:hAnsi="Calibri"/>
          <w:color w:val="12233F"/>
          <w:sz w:val="21"/>
        </w:rPr>
        <w:t>Post-event RDII:</w:t>
      </w:r>
    </w:p>
    <w:p>
      <w:pPr>
        <w:pStyle w:val="EquationBlock"/>
        <w:jc w:val="center"/>
        <w:shd w:fill="F1F5F7"/>
      </w:pPr>
      <w:r>
        <w:t>V_(RDII,post)</w:t>
        <w:br/>
        <w:t>=0.0204(55,611,977.143)</w:t>
        <w:br/>
        <w:t>=1,134,484.334 gal</w:t>
      </w:r>
    </w:p>
    <w:p>
      <w:r>
        <w:rPr>
          <w:rFonts w:ascii="Calibri" w:hAnsi="Calibri"/>
          <w:color w:val="12233F"/>
          <w:sz w:val="21"/>
        </w:rPr>
        <w:t>Annual GWI reduction:</w:t>
      </w:r>
    </w:p>
    <w:p>
      <w:pPr>
        <w:pStyle w:val="EquationBlock"/>
        <w:jc w:val="center"/>
        <w:shd w:fill="F1F5F7"/>
      </w:pPr>
      <w:r>
        <w:t>(0.250-0.175)(365)=27.375 MG/yr</w:t>
      </w:r>
    </w:p>
    <w:p>
      <w:r>
        <w:rPr>
          <w:rFonts w:ascii="Calibri" w:hAnsi="Calibri"/>
          <w:color w:val="12233F"/>
          <w:sz w:val="21"/>
        </w:rPr>
        <w:t>Annual RDII reduction:</w:t>
      </w:r>
    </w:p>
    <w:p>
      <w:pPr>
        <w:pStyle w:val="EquationBlock"/>
        <w:jc w:val="center"/>
        <w:shd w:fill="F1F5F7"/>
      </w:pPr>
      <w:r>
        <w:t>(1,779,583.269-1,134,484.334) / (1,000,000)(12)</w:t>
        <w:br/>
        <w:t>=7.741 MG/yr</w:t>
      </w:r>
    </w:p>
    <w:p>
      <w:r>
        <w:rPr>
          <w:rFonts w:ascii="Calibri" w:hAnsi="Calibri"/>
          <w:color w:val="12233F"/>
          <w:sz w:val="21"/>
        </w:rPr>
        <w:t>Total annual I&amp;I reduction:</w:t>
      </w:r>
    </w:p>
    <w:p>
      <w:pPr>
        <w:pStyle w:val="EquationBlock"/>
        <w:jc w:val="center"/>
        <w:shd w:fill="F1F5F7"/>
      </w:pPr>
      <w:r>
        <w:t>27.375+7.741=35.116 MG/yr</w:t>
      </w:r>
    </w:p>
    <w:p>
      <w:r>
        <w:rPr>
          <w:rFonts w:ascii="Calibri" w:hAnsi="Calibri"/>
          <w:color w:val="12233F"/>
          <w:sz w:val="21"/>
        </w:rPr>
        <w:t>Gross annual direct marginal-cost benefit:</w:t>
      </w:r>
    </w:p>
    <w:p>
      <w:pPr>
        <w:pStyle w:val="EquationBlock"/>
        <w:jc w:val="center"/>
        <w:shd w:fill="F1F5F7"/>
      </w:pPr>
      <w:r>
        <w:t>35.116($650)=$22,825.52/yr</w:t>
      </w:r>
    </w:p>
    <w:p>
      <w:r>
        <w:rPr>
          <w:rFonts w:ascii="Calibri" w:hAnsi="Calibri"/>
          <w:color w:val="12233F"/>
          <w:sz w:val="21"/>
        </w:rPr>
        <w:t>Annual net direct benefit:</w:t>
      </w:r>
    </w:p>
    <w:p>
      <w:pPr>
        <w:pStyle w:val="EquationBlock"/>
        <w:jc w:val="center"/>
        <w:shd w:fill="F1F5F7"/>
      </w:pPr>
      <w:r>
        <w:t>$22,825.52-$120,000=-$97,174.48/yr</w:t>
      </w:r>
    </w:p>
    <w:p>
      <w:r>
        <w:rPr>
          <w:rFonts w:ascii="Calibri" w:hAnsi="Calibri"/>
          <w:color w:val="12233F"/>
          <w:sz w:val="21"/>
        </w:rPr>
        <w:t>Present value results:</w:t>
      </w:r>
    </w:p>
    <w:tbl>
      <w:tblPr>
        <w:tblStyle w:val="TableGrid"/>
        <w:tblW w:type="dxa" w:w="9360"/>
        <w:tblLayout w:type="fixed"/>
        <w:tblLook w:firstColumn="1" w:firstRow="1" w:lastColumn="0" w:lastRow="0" w:noHBand="0" w:noVBand="1" w:val="04A0"/>
        <w:tblInd w:w="120" w:type="dxa"/>
      </w:tblPr>
      <w:tblGrid>
        <w:gridCol w:w="3579"/>
        <w:gridCol w:w="5781"/>
      </w:tblGrid>
      <w:tr>
        <w:trPr>
          <w:tblHeader w:val="true"/>
        </w:trPr>
        <w:tc>
          <w:tcPr>
            <w:tcW w:type="dxa" w:w="3579"/>
            <w:shd w:fill="176B87"/>
            <w:tcMar>
              <w:top w:w="80" w:type="dxa"/>
              <w:start w:w="120" w:type="dxa"/>
              <w:bottom w:w="80" w:type="dxa"/>
              <w:end w:w="120" w:type="dxa"/>
            </w:tcMar>
            <w:vAlign w:val="center"/>
          </w:tcPr>
          <w:p>
            <w:r>
              <w:rPr>
                <w:b/>
                <w:color w:val="FFFFFF"/>
              </w:rPr>
            </w:r>
            <w:r>
              <w:rPr>
                <w:rFonts w:ascii="Calibri" w:hAnsi="Calibri"/>
                <w:b/>
                <w:color w:val="FFFFFF"/>
                <w:sz w:val="18"/>
              </w:rPr>
              <w:t>Economic output</w:t>
            </w:r>
          </w:p>
        </w:tc>
        <w:tc>
          <w:tcPr>
            <w:tcW w:type="dxa" w:w="5781"/>
            <w:shd w:fill="176B87"/>
            <w:tcMar>
              <w:top w:w="80" w:type="dxa"/>
              <w:start w:w="120" w:type="dxa"/>
              <w:bottom w:w="80" w:type="dxa"/>
              <w:end w:w="120" w:type="dxa"/>
            </w:tcMar>
            <w:vAlign w:val="center"/>
          </w:tcPr>
          <w:p>
            <w:r>
              <w:rPr>
                <w:b/>
                <w:color w:val="FFFFFF"/>
              </w:rPr>
            </w:r>
            <w:r>
              <w:rPr>
                <w:rFonts w:ascii="Calibri" w:hAnsi="Calibri"/>
                <w:b/>
                <w:color w:val="FFFFFF"/>
                <w:sz w:val="18"/>
              </w:rPr>
              <w:t>Value</w:t>
            </w:r>
          </w:p>
        </w:tc>
      </w:tr>
      <w:tr>
        <w:tc>
          <w:tcPr>
            <w:tcW w:type="dxa" w:w="3579"/>
            <w:tcMar>
              <w:top w:w="80" w:type="dxa"/>
              <w:start w:w="120" w:type="dxa"/>
              <w:bottom w:w="80" w:type="dxa"/>
              <w:end w:w="120" w:type="dxa"/>
            </w:tcMar>
            <w:vAlign w:val="center"/>
          </w:tcPr>
          <w:p>
            <w:pPr>
              <w:jc w:val="left"/>
            </w:pPr>
            <w:r>
              <w:rPr>
                <w:rFonts w:ascii="Calibri" w:hAnsi="Calibri"/>
                <w:color w:val="12233F"/>
                <w:sz w:val="17"/>
              </w:rPr>
              <w:t>PV gross direct benefits</w:t>
            </w:r>
          </w:p>
        </w:tc>
        <w:tc>
          <w:tcPr>
            <w:tcW w:type="dxa" w:w="5781"/>
            <w:tcMar>
              <w:top w:w="80" w:type="dxa"/>
              <w:start w:w="120" w:type="dxa"/>
              <w:bottom w:w="80" w:type="dxa"/>
              <w:end w:w="120" w:type="dxa"/>
            </w:tcMar>
            <w:vAlign w:val="center"/>
          </w:tcPr>
          <w:p>
            <w:pPr>
              <w:jc w:val="right"/>
            </w:pPr>
            <w:r>
              <w:rPr>
                <w:rFonts w:ascii="Calibri" w:hAnsi="Calibri"/>
                <w:color w:val="12233F"/>
                <w:sz w:val="17"/>
              </w:rPr>
              <w:t>$339,586</w:t>
            </w:r>
          </w:p>
        </w:tc>
      </w:tr>
      <w:tr>
        <w:tc>
          <w:tcPr>
            <w:tcW w:type="dxa" w:w="3579"/>
            <w:shd w:fill="F4F7F9"/>
            <w:tcMar>
              <w:top w:w="80" w:type="dxa"/>
              <w:start w:w="120" w:type="dxa"/>
              <w:bottom w:w="80" w:type="dxa"/>
              <w:end w:w="120" w:type="dxa"/>
            </w:tcMar>
            <w:vAlign w:val="center"/>
          </w:tcPr>
          <w:p>
            <w:pPr>
              <w:jc w:val="left"/>
            </w:pPr>
            <w:r>
              <w:rPr>
                <w:rFonts w:ascii="Calibri" w:hAnsi="Calibri"/>
                <w:color w:val="12233F"/>
                <w:sz w:val="17"/>
              </w:rPr>
              <w:t>PV capital plus annual O&amp;M</w:t>
            </w:r>
          </w:p>
        </w:tc>
        <w:tc>
          <w:tcPr>
            <w:tcW w:type="dxa" w:w="5781"/>
            <w:shd w:fill="F4F7F9"/>
            <w:tcMar>
              <w:top w:w="80" w:type="dxa"/>
              <w:start w:w="120" w:type="dxa"/>
              <w:bottom w:w="80" w:type="dxa"/>
              <w:end w:w="120" w:type="dxa"/>
            </w:tcMar>
            <w:vAlign w:val="center"/>
          </w:tcPr>
          <w:p>
            <w:pPr>
              <w:jc w:val="right"/>
            </w:pPr>
            <w:r>
              <w:rPr>
                <w:rFonts w:ascii="Calibri" w:hAnsi="Calibri"/>
                <w:color w:val="12233F"/>
                <w:sz w:val="17"/>
              </w:rPr>
              <w:t>$10,285,297</w:t>
            </w:r>
          </w:p>
        </w:tc>
      </w:tr>
      <w:tr>
        <w:tc>
          <w:tcPr>
            <w:tcW w:type="dxa" w:w="3579"/>
            <w:tcMar>
              <w:top w:w="80" w:type="dxa"/>
              <w:start w:w="120" w:type="dxa"/>
              <w:bottom w:w="80" w:type="dxa"/>
              <w:end w:w="120" w:type="dxa"/>
            </w:tcMar>
            <w:vAlign w:val="center"/>
          </w:tcPr>
          <w:p>
            <w:pPr>
              <w:jc w:val="left"/>
            </w:pPr>
            <w:r>
              <w:rPr>
                <w:rFonts w:ascii="Calibri" w:hAnsi="Calibri"/>
                <w:color w:val="12233F"/>
                <w:sz w:val="17"/>
              </w:rPr>
              <w:t>NPV</w:t>
            </w:r>
          </w:p>
        </w:tc>
        <w:tc>
          <w:tcPr>
            <w:tcW w:type="dxa" w:w="5781"/>
            <w:tcMar>
              <w:top w:w="80" w:type="dxa"/>
              <w:start w:w="120" w:type="dxa"/>
              <w:bottom w:w="80" w:type="dxa"/>
              <w:end w:w="120" w:type="dxa"/>
            </w:tcMar>
            <w:vAlign w:val="center"/>
          </w:tcPr>
          <w:p>
            <w:pPr>
              <w:jc w:val="right"/>
            </w:pPr>
            <w:r>
              <w:rPr>
                <w:rFonts w:ascii="Calibri" w:hAnsi="Calibri"/>
                <w:color w:val="12233F"/>
                <w:sz w:val="17"/>
              </w:rPr>
              <w:t>-$9,945,711</w:t>
            </w:r>
          </w:p>
        </w:tc>
      </w:tr>
      <w:tr>
        <w:tc>
          <w:tcPr>
            <w:tcW w:type="dxa" w:w="3579"/>
            <w:shd w:fill="F4F7F9"/>
            <w:tcMar>
              <w:top w:w="80" w:type="dxa"/>
              <w:start w:w="120" w:type="dxa"/>
              <w:bottom w:w="80" w:type="dxa"/>
              <w:end w:w="120" w:type="dxa"/>
            </w:tcMar>
            <w:vAlign w:val="center"/>
          </w:tcPr>
          <w:p>
            <w:pPr>
              <w:jc w:val="left"/>
            </w:pPr>
            <w:r>
              <w:rPr>
                <w:rFonts w:ascii="Calibri" w:hAnsi="Calibri"/>
                <w:color w:val="12233F"/>
                <w:sz w:val="17"/>
              </w:rPr>
              <w:t>BCR</w:t>
            </w:r>
          </w:p>
        </w:tc>
        <w:tc>
          <w:tcPr>
            <w:tcW w:type="dxa" w:w="5781"/>
            <w:shd w:fill="F4F7F9"/>
            <w:tcMar>
              <w:top w:w="80" w:type="dxa"/>
              <w:start w:w="120" w:type="dxa"/>
              <w:bottom w:w="80" w:type="dxa"/>
              <w:end w:w="120" w:type="dxa"/>
            </w:tcMar>
            <w:vAlign w:val="center"/>
          </w:tcPr>
          <w:p>
            <w:pPr>
              <w:jc w:val="right"/>
            </w:pPr>
            <w:r>
              <w:rPr>
                <w:rFonts w:ascii="Calibri" w:hAnsi="Calibri"/>
                <w:color w:val="12233F"/>
                <w:sz w:val="17"/>
              </w:rPr>
              <w:t>0.0330</w:t>
            </w:r>
          </w:p>
        </w:tc>
      </w:tr>
      <w:tr>
        <w:tc>
          <w:tcPr>
            <w:tcW w:type="dxa" w:w="3579"/>
            <w:tcMar>
              <w:top w:w="80" w:type="dxa"/>
              <w:start w:w="120" w:type="dxa"/>
              <w:bottom w:w="80" w:type="dxa"/>
              <w:end w:w="120" w:type="dxa"/>
            </w:tcMar>
            <w:vAlign w:val="center"/>
          </w:tcPr>
          <w:p>
            <w:pPr>
              <w:jc w:val="left"/>
            </w:pPr>
            <w:r>
              <w:rPr>
                <w:rFonts w:ascii="Calibri" w:hAnsi="Calibri"/>
                <w:color w:val="12233F"/>
                <w:sz w:val="17"/>
              </w:rPr>
              <w:t>Simple payback</w:t>
            </w:r>
          </w:p>
        </w:tc>
        <w:tc>
          <w:tcPr>
            <w:tcW w:type="dxa" w:w="5781"/>
            <w:tcMar>
              <w:top w:w="80" w:type="dxa"/>
              <w:start w:w="120" w:type="dxa"/>
              <w:bottom w:w="80" w:type="dxa"/>
              <w:end w:w="120" w:type="dxa"/>
            </w:tcMar>
            <w:vAlign w:val="center"/>
          </w:tcPr>
          <w:p>
            <w:pPr>
              <w:jc w:val="left"/>
            </w:pPr>
            <w:r>
              <w:rPr>
                <w:rFonts w:ascii="Calibri" w:hAnsi="Calibri"/>
                <w:color w:val="12233F"/>
                <w:sz w:val="17"/>
              </w:rPr>
              <w:t>undefined because annual net benefit is negative</w:t>
            </w:r>
          </w:p>
        </w:tc>
      </w:tr>
    </w:tbl>
    <w:p>
      <w:pPr>
        <w:spacing w:after="20"/>
      </w:pPr>
    </w:p>
    <w:p>
      <w:pPr>
        <w:keepNext/>
        <w:spacing w:before="140" w:after="40"/>
        <w:jc w:val="center"/>
      </w:pPr>
      <w:r>
        <w:drawing>
          <wp:inline xmlns:a="http://schemas.openxmlformats.org/drawingml/2006/main" xmlns:pic="http://schemas.openxmlformats.org/drawingml/2006/picture">
            <wp:extent cx="5806440" cy="3290316"/>
            <wp:docPr id="5" name="Picture 5" descr="Economic screen"/>
            <wp:cNvGraphicFramePr>
              <a:graphicFrameLocks noChangeAspect="1"/>
            </wp:cNvGraphicFramePr>
            <a:graphic>
              <a:graphicData uri="http://schemas.openxmlformats.org/drawingml/2006/picture">
                <pic:pic>
                  <pic:nvPicPr>
                    <pic:cNvPr id="0" name="05-economic-screen.png"/>
                    <pic:cNvPicPr/>
                  </pic:nvPicPr>
                  <pic:blipFill>
                    <a:blip r:embed="rId15"/>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Economic screen</w:t>
      </w:r>
    </w:p>
    <w:p>
      <w:r>
        <w:rPr>
          <w:rFonts w:ascii="Calibri" w:hAnsi="Calibri"/>
          <w:color w:val="12233F"/>
          <w:sz w:val="21"/>
        </w:rPr>
        <w:t>The narrow direct-cost scenario fails. That answer is retained. The agent is prohibited from changing assumptions to manufacture a favorable result. A complete decision analysis would separately quantify or describe the omitted benefits and test uncertainty.</w:t>
      </w:r>
    </w:p>
    <w:p>
      <w:r>
        <w:br w:type="page"/>
      </w:r>
    </w:p>
    <w:p>
      <w:pPr>
        <w:pStyle w:val="Heading1"/>
        <w:keepNext/>
      </w:pPr>
      <w:r>
        <w:t>8. Agentic calculation architecture</w:t>
      </w:r>
    </w:p>
    <w:p>
      <w:pPr>
        <w:pStyle w:val="Heading2"/>
        <w:keepNext/>
      </w:pPr>
      <w:r>
        <w:t>8.1 Required calculation object</w:t>
      </w:r>
    </w:p>
    <w:p>
      <w:r>
        <w:rPr>
          <w:rFonts w:ascii="Calibri" w:hAnsi="Calibri"/>
          <w:color w:val="12233F"/>
          <w:sz w:val="21"/>
        </w:rPr>
        <w:t>Every calculation instance must contain:</w:t>
      </w:r>
    </w:p>
    <w:p>
      <w:pPr>
        <w:pStyle w:val="CodeBlock"/>
        <w:shd w:fill="E9EEF3"/>
      </w:pPr>
      <w:r>
        <w:t>calculation_id: stable_unique_identifier</w:t>
        <w:br/>
        <w:t>formula_id: F-...</w:t>
        <w:br/>
        <w:t>formula_version: semantic_version</w:t>
        <w:br/>
        <w:t>method_id: optional_method_variant</w:t>
        <w:br/>
        <w:t>inputs:</w:t>
        <w:br/>
        <w:t xml:space="preserve">  - value: numeric_or_series_reference</w:t>
        <w:br/>
        <w:t xml:space="preserve">    unit: explicit_unit</w:t>
        <w:br/>
        <w:t xml:space="preserve">    source_record: evidence_identifier</w:t>
        <w:br/>
        <w:t xml:space="preserve">    quality_state: accepted_rejected_provisional</w:t>
        <w:br/>
        <w:t>parameters:</w:t>
        <w:br/>
        <w:t xml:space="preserve">  - value: numeric</w:t>
        <w:br/>
        <w:t xml:space="preserve">    unit: explicit_unit_or_dimensionless</w:t>
        <w:br/>
        <w:t xml:space="preserve">    calibration_record: identifier</w:t>
        <w:br/>
        <w:t>applicability:</w:t>
        <w:br/>
        <w:t xml:space="preserve">  checks: []</w:t>
        <w:br/>
        <w:t xml:space="preserve">  passed: boolean</w:t>
        <w:br/>
        <w:t>assumptions: []</w:t>
        <w:br/>
        <w:t>uncertainty:</w:t>
        <w:br/>
        <w:t xml:space="preserve">  method: interval_covariance_or_simulation</w:t>
        <w:br/>
        <w:t xml:space="preserve">  parameters: {}</w:t>
        <w:br/>
        <w:t>outputs:</w:t>
        <w:br/>
        <w:t xml:space="preserve">  value: numeric_or_series</w:t>
        <w:br/>
        <w:t xml:space="preserve">  unit: explicit_unit</w:t>
        <w:br/>
        <w:t>validation:</w:t>
        <w:br/>
        <w:t xml:space="preserve">  dimensional_check: pass_or_fail</w:t>
        <w:br/>
        <w:t xml:space="preserve">  numerical_tests: []</w:t>
        <w:br/>
        <w:t xml:space="preserve">  mass_balance: optional</w:t>
        <w:br/>
        <w:t>source_trace: []</w:t>
        <w:br/>
        <w:t>review_state: candidate_verified_or_production</w:t>
      </w:r>
    </w:p>
    <w:p>
      <w:pPr>
        <w:pStyle w:val="Heading2"/>
        <w:keepNext/>
      </w:pPr>
      <w:r>
        <w:t>8.2 Directed calculation graph</w:t>
      </w:r>
    </w:p>
    <w:p>
      <w:r>
        <w:rPr>
          <w:rFonts w:ascii="Calibri" w:hAnsi="Calibri"/>
          <w:color w:val="12233F"/>
          <w:sz w:val="21"/>
        </w:rPr>
        <w:t>The application should use a directed acyclic graph for ordinary calculations:</w:t>
      </w:r>
    </w:p>
    <w:p>
      <w:pPr>
        <w:keepNext/>
        <w:spacing w:before="140" w:after="40"/>
        <w:jc w:val="center"/>
      </w:pPr>
      <w:r>
        <w:drawing>
          <wp:inline xmlns:a="http://schemas.openxmlformats.org/drawingml/2006/main" xmlns:pic="http://schemas.openxmlformats.org/drawingml/2006/picture">
            <wp:extent cx="5806440" cy="3290316"/>
            <wp:docPr id="6" name="Picture 6" descr="Calculation lineage"/>
            <wp:cNvGraphicFramePr>
              <a:graphicFrameLocks noChangeAspect="1"/>
            </wp:cNvGraphicFramePr>
            <a:graphic>
              <a:graphicData uri="http://schemas.openxmlformats.org/drawingml/2006/picture">
                <pic:pic>
                  <pic:nvPicPr>
                    <pic:cNvPr id="0" name="06-calculation-lineage.png"/>
                    <pic:cNvPicPr/>
                  </pic:nvPicPr>
                  <pic:blipFill>
                    <a:blip r:embed="rId16"/>
                    <a:stretch>
                      <a:fillRect/>
                    </a:stretch>
                  </pic:blipFill>
                  <pic:spPr>
                    <a:xfrm>
                      <a:off x="0" y="0"/>
                      <a:ext cx="5806440" cy="3290316"/>
                    </a:xfrm>
                    <a:prstGeom prst="rect"/>
                  </pic:spPr>
                </pic:pic>
              </a:graphicData>
            </a:graphic>
          </wp:inline>
        </w:drawing>
      </w:r>
    </w:p>
    <w:p>
      <w:pPr>
        <w:spacing w:after="160"/>
        <w:jc w:val="center"/>
      </w:pPr>
      <w:r>
        <w:rPr>
          <w:rFonts w:ascii="Calibri" w:hAnsi="Calibri"/>
          <w:i/>
          <w:color w:val="667085"/>
          <w:sz w:val="18"/>
        </w:rPr>
        <w:t>Calculation lineage</w:t>
      </w:r>
    </w:p>
    <w:p>
      <w:r>
        <w:rPr>
          <w:rFonts w:ascii="Calibri" w:hAnsi="Calibri"/>
          <w:color w:val="12233F"/>
          <w:sz w:val="21"/>
        </w:rPr>
        <w:t>Iterative solvers, such as Colebrook-White and pump-curve intersection, are encapsulated nodes with convergence records rather than cycles in the external dependency graph.</w:t>
      </w:r>
    </w:p>
    <w:p>
      <w:pPr>
        <w:pStyle w:val="Heading2"/>
        <w:keepNext/>
      </w:pPr>
      <w:r>
        <w:t>8.3 Method-selection logic</w:t>
      </w:r>
    </w:p>
    <w:p>
      <w:r>
        <w:rPr>
          <w:rFonts w:ascii="Calibri" w:hAnsi="Calibri"/>
          <w:color w:val="12233F"/>
          <w:sz w:val="21"/>
        </w:rPr>
        <w:t>The selector must answer:</w:t>
      </w:r>
    </w:p>
    <w:p>
      <w:pPr>
        <w:pStyle w:val="ListNumber"/>
        <w:numPr>
          <w:ilvl w:val="0"/>
          <w:numId w:val="14"/>
        </w:numPr>
      </w:pPr>
      <w:r>
        <w:rPr>
          <w:rFonts w:ascii="Calibri" w:hAnsi="Calibri"/>
          <w:color w:val="12233F"/>
          <w:sz w:val="21"/>
        </w:rPr>
        <w:t>Is the intended output measured, calculated, modeled, diagnostic, or compliance related?</w:t>
      </w:r>
    </w:p>
    <w:p>
      <w:pPr>
        <w:pStyle w:val="ListNumber"/>
        <w:numPr>
          <w:ilvl w:val="0"/>
          <w:numId w:val="14"/>
        </w:numPr>
      </w:pPr>
      <w:r>
        <w:rPr>
          <w:rFonts w:ascii="Calibri" w:hAnsi="Calibri"/>
          <w:color w:val="12233F"/>
          <w:sz w:val="21"/>
        </w:rPr>
        <w:t>Does the record contain acceptable rainfall, flow, boundary, and dry-weather data?</w:t>
      </w:r>
    </w:p>
    <w:p>
      <w:pPr>
        <w:pStyle w:val="ListNumber"/>
        <w:numPr>
          <w:ilvl w:val="0"/>
          <w:numId w:val="14"/>
        </w:numPr>
      </w:pPr>
      <w:r>
        <w:rPr>
          <w:rFonts w:ascii="Calibri" w:hAnsi="Calibri"/>
          <w:color w:val="12233F"/>
          <w:sz w:val="21"/>
        </w:rPr>
        <w:t>Is the analysis event based or continuous?</w:t>
      </w:r>
    </w:p>
    <w:p>
      <w:pPr>
        <w:pStyle w:val="ListNumber"/>
        <w:numPr>
          <w:ilvl w:val="0"/>
          <w:numId w:val="14"/>
        </w:numPr>
      </w:pPr>
      <w:r>
        <w:rPr>
          <w:rFonts w:ascii="Calibri" w:hAnsi="Calibri"/>
          <w:color w:val="12233F"/>
          <w:sz w:val="21"/>
        </w:rPr>
        <w:t>Is calibration required and available?</w:t>
      </w:r>
    </w:p>
    <w:p>
      <w:pPr>
        <w:pStyle w:val="ListNumber"/>
        <w:numPr>
          <w:ilvl w:val="0"/>
          <w:numId w:val="14"/>
        </w:numPr>
      </w:pPr>
      <w:r>
        <w:rPr>
          <w:rFonts w:ascii="Calibri" w:hAnsi="Calibri"/>
          <w:color w:val="12233F"/>
          <w:sz w:val="21"/>
        </w:rPr>
        <w:t>Are groundwater and antecedent conditions material?</w:t>
      </w:r>
    </w:p>
    <w:p>
      <w:pPr>
        <w:pStyle w:val="ListNumber"/>
        <w:numPr>
          <w:ilvl w:val="0"/>
          <w:numId w:val="14"/>
        </w:numPr>
      </w:pPr>
      <w:r>
        <w:rPr>
          <w:rFonts w:ascii="Calibri" w:hAnsi="Calibri"/>
          <w:color w:val="12233F"/>
          <w:sz w:val="21"/>
        </w:rPr>
        <w:t>Does the selected method's domain match the data and decision?</w:t>
      </w:r>
    </w:p>
    <w:p>
      <w:pPr>
        <w:pStyle w:val="ListNumber"/>
        <w:numPr>
          <w:ilvl w:val="0"/>
          <w:numId w:val="14"/>
        </w:numPr>
      </w:pPr>
      <w:r>
        <w:rPr>
          <w:rFonts w:ascii="Calibri" w:hAnsi="Calibri"/>
          <w:color w:val="12233F"/>
          <w:sz w:val="21"/>
        </w:rPr>
        <w:t>Is a jurisdiction rule active?</w:t>
      </w:r>
    </w:p>
    <w:p>
      <w:pPr>
        <w:pStyle w:val="ListNumber"/>
        <w:numPr>
          <w:ilvl w:val="0"/>
          <w:numId w:val="14"/>
        </w:numPr>
      </w:pPr>
      <w:r>
        <w:rPr>
          <w:rFonts w:ascii="Calibri" w:hAnsi="Calibri"/>
          <w:color w:val="12233F"/>
          <w:sz w:val="21"/>
        </w:rPr>
        <w:t>Do uncertainty and sensitivity meet the decision threshold?</w:t>
      </w:r>
    </w:p>
    <w:p>
      <w:r>
        <w:rPr>
          <w:rFonts w:ascii="Calibri" w:hAnsi="Calibri"/>
          <w:color w:val="12233F"/>
          <w:sz w:val="21"/>
        </w:rPr>
        <w:t>If no validated method passes, the correct output is "not calculable from the accepted record," with missing evidence listed.</w:t>
      </w:r>
    </w:p>
    <w:p>
      <w:pPr>
        <w:pStyle w:val="Heading2"/>
        <w:keepNext/>
      </w:pPr>
      <w:r>
        <w:t>8.4 Numeric policies</w:t>
      </w:r>
    </w:p>
    <w:p>
      <w:pPr>
        <w:pStyle w:val="ListBullet"/>
      </w:pPr>
      <w:r>
        <w:rPr>
          <w:rFonts w:ascii="Calibri" w:hAnsi="Calibri"/>
          <w:color w:val="12233F"/>
          <w:sz w:val="21"/>
        </w:rPr>
        <w:t>Minimum internal type is IEEE 754 binary64.</w:t>
      </w:r>
    </w:p>
    <w:p>
      <w:pPr>
        <w:pStyle w:val="ListBullet"/>
      </w:pPr>
      <w:r>
        <w:rPr>
          <w:rFonts w:ascii="Calibri" w:hAnsi="Calibri"/>
          <w:color w:val="12233F"/>
          <w:sz w:val="21"/>
        </w:rPr>
        <w:t>Decimal currency may use fixed-point decimal.</w:t>
      </w:r>
    </w:p>
    <w:p>
      <w:pPr>
        <w:pStyle w:val="ListBullet"/>
      </w:pPr>
      <w:r>
        <w:rPr>
          <w:rFonts w:ascii="Calibri" w:hAnsi="Calibri"/>
          <w:color w:val="12233F"/>
          <w:sz w:val="21"/>
        </w:rPr>
        <w:t>Display rounding never feeds downstream calculations.</w:t>
      </w:r>
    </w:p>
    <w:p>
      <w:pPr>
        <w:pStyle w:val="ListBullet"/>
      </w:pPr>
      <w:r>
        <w:rPr>
          <w:rFonts w:ascii="Calibri" w:hAnsi="Calibri"/>
          <w:color w:val="12233F"/>
          <w:sz w:val="21"/>
        </w:rPr>
        <w:t>Root solvers record bracket, tolerance, iterations, and residual.</w:t>
      </w:r>
    </w:p>
    <w:p>
      <w:pPr>
        <w:pStyle w:val="ListBullet"/>
      </w:pPr>
      <w:r>
        <w:rPr>
          <w:rFonts w:ascii="Calibri" w:hAnsi="Calibri"/>
          <w:color w:val="12233F"/>
          <w:sz w:val="21"/>
        </w:rPr>
        <w:t>Time-series integration records interval method and missing-data policy.</w:t>
      </w:r>
    </w:p>
    <w:p>
      <w:pPr>
        <w:pStyle w:val="ListBullet"/>
      </w:pPr>
      <w:r>
        <w:rPr>
          <w:rFonts w:ascii="Calibri" w:hAnsi="Calibri"/>
          <w:color w:val="12233F"/>
          <w:sz w:val="21"/>
        </w:rPr>
        <w:t>All conversions use registry constants.</w:t>
      </w:r>
    </w:p>
    <w:p>
      <w:pPr>
        <w:pStyle w:val="ListBullet"/>
      </w:pPr>
      <w:r>
        <w:rPr>
          <w:rFonts w:ascii="Calibri" w:hAnsi="Calibri"/>
          <w:color w:val="12233F"/>
          <w:sz w:val="21"/>
        </w:rPr>
        <w:t>Infinity, NaN, and silent overflow are prohibited output states.</w:t>
      </w:r>
    </w:p>
    <w:p>
      <w:pPr>
        <w:pStyle w:val="ListBullet"/>
      </w:pPr>
      <w:r>
        <w:rPr>
          <w:rFonts w:ascii="Calibri" w:hAnsi="Calibri"/>
          <w:color w:val="12233F"/>
          <w:sz w:val="21"/>
        </w:rPr>
        <w:t>Negative values are accepted only where the physical and formula domains allow them.</w:t>
      </w:r>
    </w:p>
    <w:p>
      <w:pPr>
        <w:pStyle w:val="Heading2"/>
        <w:keepNext/>
      </w:pPr>
      <w:r>
        <w:t>8.5 Version and provenance policy</w:t>
      </w:r>
    </w:p>
    <w:p>
      <w:r>
        <w:rPr>
          <w:rFonts w:ascii="Calibri" w:hAnsi="Calibri"/>
          <w:color w:val="12233F"/>
          <w:sz w:val="21"/>
        </w:rPr>
        <w:t>Changing a formula, constant, solver, transition-flow policy, interpolation method, or source locator requires a new formula-registry version and rerunning all dependent golden tests. Results must retain the exact input hash, formula version, code version, and execution timestamp.</w:t>
      </w:r>
    </w:p>
    <w:p>
      <w:pPr>
        <w:pStyle w:val="Heading2"/>
        <w:keepNext/>
      </w:pPr>
      <w:r>
        <w:t>8.6 Required test layers</w:t>
      </w:r>
    </w:p>
    <w:p>
      <w:pPr>
        <w:pStyle w:val="ListNumber"/>
        <w:numPr>
          <w:ilvl w:val="0"/>
          <w:numId w:val="15"/>
        </w:numPr>
      </w:pPr>
      <w:r>
        <w:rPr>
          <w:rFonts w:ascii="Calibri" w:hAnsi="Calibri"/>
          <w:color w:val="12233F"/>
          <w:sz w:val="21"/>
        </w:rPr>
        <w:t>Unit-conversion tests.</w:t>
      </w:r>
    </w:p>
    <w:p>
      <w:pPr>
        <w:pStyle w:val="ListNumber"/>
        <w:numPr>
          <w:ilvl w:val="0"/>
          <w:numId w:val="15"/>
        </w:numPr>
      </w:pPr>
      <w:r>
        <w:rPr>
          <w:rFonts w:ascii="Calibri" w:hAnsi="Calibri"/>
          <w:color w:val="12233F"/>
          <w:sz w:val="21"/>
        </w:rPr>
        <w:t>Dimensional-consistency tests.</w:t>
      </w:r>
    </w:p>
    <w:p>
      <w:pPr>
        <w:pStyle w:val="ListNumber"/>
        <w:numPr>
          <w:ilvl w:val="0"/>
          <w:numId w:val="15"/>
        </w:numPr>
      </w:pPr>
      <w:r>
        <w:rPr>
          <w:rFonts w:ascii="Calibri" w:hAnsi="Calibri"/>
          <w:color w:val="12233F"/>
          <w:sz w:val="21"/>
        </w:rPr>
        <w:t>Hand-calculated formula vectors.</w:t>
      </w:r>
    </w:p>
    <w:p>
      <w:pPr>
        <w:pStyle w:val="ListNumber"/>
        <w:numPr>
          <w:ilvl w:val="0"/>
          <w:numId w:val="15"/>
        </w:numPr>
      </w:pPr>
      <w:r>
        <w:rPr>
          <w:rFonts w:ascii="Calibri" w:hAnsi="Calibri"/>
          <w:color w:val="12233F"/>
          <w:sz w:val="21"/>
        </w:rPr>
        <w:t>Failure vectors for invalid units and domains.</w:t>
      </w:r>
    </w:p>
    <w:p>
      <w:pPr>
        <w:pStyle w:val="ListNumber"/>
        <w:numPr>
          <w:ilvl w:val="0"/>
          <w:numId w:val="15"/>
        </w:numPr>
      </w:pPr>
      <w:r>
        <w:rPr>
          <w:rFonts w:ascii="Calibri" w:hAnsi="Calibri"/>
          <w:color w:val="12233F"/>
          <w:sz w:val="21"/>
        </w:rPr>
        <w:t>Mass-balance closure tests.</w:t>
      </w:r>
    </w:p>
    <w:p>
      <w:pPr>
        <w:pStyle w:val="ListNumber"/>
        <w:numPr>
          <w:ilvl w:val="0"/>
          <w:numId w:val="15"/>
        </w:numPr>
      </w:pPr>
      <w:r>
        <w:rPr>
          <w:rFonts w:ascii="Calibri" w:hAnsi="Calibri"/>
          <w:color w:val="12233F"/>
          <w:sz w:val="21"/>
        </w:rPr>
        <w:t>Pump-curve intersection residual tests.</w:t>
      </w:r>
    </w:p>
    <w:p>
      <w:pPr>
        <w:pStyle w:val="ListNumber"/>
        <w:numPr>
          <w:ilvl w:val="0"/>
          <w:numId w:val="15"/>
        </w:numPr>
      </w:pPr>
      <w:r>
        <w:rPr>
          <w:rFonts w:ascii="Calibri" w:hAnsi="Calibri"/>
          <w:color w:val="12233F"/>
          <w:sz w:val="21"/>
        </w:rPr>
        <w:t>Storage and overflow conservation tests.</w:t>
      </w:r>
    </w:p>
    <w:p>
      <w:pPr>
        <w:pStyle w:val="ListNumber"/>
        <w:numPr>
          <w:ilvl w:val="0"/>
          <w:numId w:val="15"/>
        </w:numPr>
      </w:pPr>
      <w:r>
        <w:rPr>
          <w:rFonts w:ascii="Calibri" w:hAnsi="Calibri"/>
          <w:color w:val="12233F"/>
          <w:sz w:val="21"/>
        </w:rPr>
        <w:t>Golden basin regression tests.</w:t>
      </w:r>
    </w:p>
    <w:p>
      <w:pPr>
        <w:pStyle w:val="ListNumber"/>
        <w:numPr>
          <w:ilvl w:val="0"/>
          <w:numId w:val="15"/>
        </w:numPr>
      </w:pPr>
      <w:r>
        <w:rPr>
          <w:rFonts w:ascii="Calibri" w:hAnsi="Calibri"/>
          <w:color w:val="12233F"/>
          <w:sz w:val="21"/>
        </w:rPr>
        <w:t>Independent implementation comparison.</w:t>
      </w:r>
    </w:p>
    <w:p>
      <w:pPr>
        <w:pStyle w:val="ListNumber"/>
        <w:numPr>
          <w:ilvl w:val="0"/>
          <w:numId w:val="15"/>
        </w:numPr>
      </w:pPr>
      <w:r>
        <w:rPr>
          <w:rFonts w:ascii="Calibri" w:hAnsi="Calibri"/>
          <w:color w:val="12233F"/>
          <w:sz w:val="21"/>
        </w:rPr>
        <w:t>Field calibration and holdout validation.</w:t>
      </w:r>
    </w:p>
    <w:p>
      <w:pPr>
        <w:pStyle w:val="ListNumber"/>
        <w:numPr>
          <w:ilvl w:val="0"/>
          <w:numId w:val="15"/>
        </w:numPr>
      </w:pPr>
      <w:r>
        <w:rPr>
          <w:rFonts w:ascii="Calibri" w:hAnsi="Calibri"/>
          <w:color w:val="12233F"/>
          <w:sz w:val="21"/>
        </w:rPr>
        <w:t>Qualified engineering review.</w:t>
      </w:r>
    </w:p>
    <w:p>
      <w:r>
        <w:rPr>
          <w:rFonts w:ascii="Calibri" w:hAnsi="Calibri"/>
          <w:color w:val="12233F"/>
          <w:sz w:val="21"/>
        </w:rPr>
        <w:t>The current package completes layers 1 through 8 for the synthetic functions represented in its tests. It does not complete independent implementation comparison, field calibration, or qualified professional review.</w:t>
      </w:r>
    </w:p>
    <w:p>
      <w:pPr>
        <w:pStyle w:val="Heading1"/>
        <w:keepNext/>
      </w:pPr>
      <w:r>
        <w:t>9. Miami-Dade jurisdiction rule pack</w:t>
      </w:r>
    </w:p>
    <w:p>
      <w:pPr>
        <w:pStyle w:val="Heading2"/>
        <w:keepNext/>
      </w:pPr>
      <w:r>
        <w:t>9.1 Separation rule</w:t>
      </w:r>
    </w:p>
    <w:p>
      <w:r>
        <w:rPr>
          <w:rFonts w:ascii="Calibri" w:hAnsi="Calibri"/>
          <w:color w:val="12233F"/>
          <w:sz w:val="21"/>
        </w:rPr>
        <w:t xml:space="preserve">Miami-Dade requirements are stored in </w:t>
      </w:r>
      <w:r>
        <w:rPr>
          <w:rFonts w:ascii="Consolas" w:hAnsi="Consolas"/>
          <w:color w:val="176B87"/>
          <w:sz w:val="20"/>
        </w:rPr>
        <w:t>jurisdiction-rules/miami-dade.yaml</w:t>
      </w:r>
      <w:r>
        <w:rPr>
          <w:rFonts w:ascii="Calibri" w:hAnsi="Calibri"/>
          <w:color w:val="12233F"/>
          <w:sz w:val="21"/>
        </w:rPr>
        <w:t>. The engine must reject the pack when jurisdiction, facility, instrument, date, or facts do not match.</w:t>
      </w:r>
    </w:p>
    <w:p>
      <w:pPr>
        <w:pStyle w:val="Heading2"/>
        <w:keepNext/>
      </w:pPr>
      <w:r>
        <w:t>9.2 Federal consent decree pump rule</w:t>
      </w:r>
    </w:p>
    <w:p>
      <w:r>
        <w:rPr>
          <w:rFonts w:ascii="Calibri" w:hAnsi="Calibri"/>
          <w:color w:val="12233F"/>
          <w:sz w:val="21"/>
        </w:rPr>
        <w:t>The 2013 federal consent decree is the source for the NAPOT definition and related capacity criteria used in this paper's local example [R4]. Runtime use requires:</w:t>
      </w:r>
    </w:p>
    <w:p>
      <w:pPr>
        <w:pStyle w:val="ListBullet"/>
      </w:pPr>
      <w:r>
        <w:rPr>
          <w:rFonts w:ascii="Calibri" w:hAnsi="Calibri"/>
          <w:color w:val="12233F"/>
          <w:sz w:val="21"/>
        </w:rPr>
        <w:t>current legal-status review;</w:t>
      </w:r>
    </w:p>
    <w:p>
      <w:pPr>
        <w:pStyle w:val="ListBullet"/>
      </w:pPr>
      <w:r>
        <w:rPr>
          <w:rFonts w:ascii="Calibri" w:hAnsi="Calibri"/>
          <w:color w:val="12233F"/>
          <w:sz w:val="21"/>
        </w:rPr>
        <w:t>correct station inclusion;</w:t>
      </w:r>
    </w:p>
    <w:p>
      <w:pPr>
        <w:pStyle w:val="ListBullet"/>
      </w:pPr>
      <w:r>
        <w:rPr>
          <w:rFonts w:ascii="Calibri" w:hAnsi="Calibri"/>
          <w:color w:val="12233F"/>
          <w:sz w:val="21"/>
        </w:rPr>
        <w:t>installed pump count;</w:t>
      </w:r>
    </w:p>
    <w:p>
      <w:pPr>
        <w:pStyle w:val="ListBullet"/>
      </w:pPr>
      <w:r>
        <w:rPr>
          <w:rFonts w:ascii="Calibri" w:hAnsi="Calibri"/>
          <w:color w:val="12233F"/>
          <w:sz w:val="21"/>
        </w:rPr>
        <w:t>preceding-365-day monthly daily average data;</w:t>
      </w:r>
    </w:p>
    <w:p>
      <w:pPr>
        <w:pStyle w:val="ListBullet"/>
      </w:pPr>
      <w:r>
        <w:rPr>
          <w:rFonts w:ascii="Calibri" w:hAnsi="Calibri"/>
          <w:color w:val="12233F"/>
          <w:sz w:val="21"/>
        </w:rPr>
        <w:t>meter or accepted power basis;</w:t>
      </w:r>
    </w:p>
    <w:p>
      <w:pPr>
        <w:pStyle w:val="ListBullet"/>
      </w:pPr>
      <w:r>
        <w:rPr>
          <w:rFonts w:ascii="Calibri" w:hAnsi="Calibri"/>
          <w:color w:val="12233F"/>
          <w:sz w:val="21"/>
        </w:rPr>
        <w:t>special handling for multispeed or variable-speed pumps; and</w:t>
      </w:r>
    </w:p>
    <w:p>
      <w:pPr>
        <w:pStyle w:val="ListBullet"/>
      </w:pPr>
      <w:r>
        <w:rPr>
          <w:rFonts w:ascii="Calibri" w:hAnsi="Calibri"/>
          <w:color w:val="12233F"/>
          <w:sz w:val="21"/>
        </w:rPr>
        <w:t>projected authorized flows where the decision requires them.</w:t>
      </w:r>
    </w:p>
    <w:p>
      <w:pPr>
        <w:pStyle w:val="Heading2"/>
        <w:keepNext/>
      </w:pPr>
      <w:r>
        <w:t>9.3 2025 Central District consent order</w:t>
      </w:r>
    </w:p>
    <w:p>
      <w:r>
        <w:rPr>
          <w:rFonts w:ascii="Calibri" w:hAnsi="Calibri"/>
          <w:color w:val="12233F"/>
          <w:sz w:val="21"/>
        </w:rPr>
        <w:t>The 2025 order states that no applicable WASD basin should exceed 4,600 gpd/IDM during dry weather under the described Central District I&amp;I Plan and records Miami-Dade's stated facility-capacity basis for the number [R9]. The same order requires a Florida-registered professional engineer to evaluate the system and determine a wet-weather maximum subject to Department acceptance. It does not provide a universal wet-weather threshold.</w:t>
      </w:r>
    </w:p>
    <w:p>
      <w:r>
        <w:rPr>
          <w:rFonts w:ascii="Calibri" w:hAnsi="Calibri"/>
          <w:color w:val="12233F"/>
          <w:sz w:val="21"/>
        </w:rPr>
        <w:t>The synthetic example's 606.8 gpd/IDM is shown as a formula test, not a determination under that order. The order does not fully define the inventory denominator in the excerpt. The accepted I&amp;I Plan and current Department records are therefore required before applying the threshold.</w:t>
      </w:r>
    </w:p>
    <w:p>
      <w:pPr>
        <w:pStyle w:val="Heading1"/>
        <w:keepNext/>
      </w:pPr>
      <w:r>
        <w:t>10. Interpretation, limitations, and prohibited inferences</w:t>
      </w:r>
    </w:p>
    <w:p>
      <w:pPr>
        <w:pStyle w:val="Heading2"/>
        <w:keepNext/>
      </w:pPr>
      <w:r>
        <w:t>10.1 What the example establishes</w:t>
      </w:r>
    </w:p>
    <w:p>
      <w:pPr>
        <w:pStyle w:val="ListBullet"/>
      </w:pPr>
      <w:r>
        <w:rPr>
          <w:rFonts w:ascii="Calibri" w:hAnsi="Calibri"/>
          <w:color w:val="12233F"/>
          <w:sz w:val="21"/>
        </w:rPr>
        <w:t>All stated input units reconcile.</w:t>
      </w:r>
    </w:p>
    <w:p>
      <w:pPr>
        <w:pStyle w:val="ListBullet"/>
      </w:pPr>
      <w:r>
        <w:rPr>
          <w:rFonts w:ascii="Calibri" w:hAnsi="Calibri"/>
          <w:color w:val="12233F"/>
          <w:sz w:val="21"/>
        </w:rPr>
        <w:t>The synthetic RTK convolution closes event volume to tolerance.</w:t>
      </w:r>
    </w:p>
    <w:p>
      <w:pPr>
        <w:pStyle w:val="ListBullet"/>
      </w:pPr>
      <w:r>
        <w:rPr>
          <w:rFonts w:ascii="Calibri" w:hAnsi="Calibri"/>
          <w:color w:val="12233F"/>
          <w:sz w:val="21"/>
        </w:rPr>
        <w:t>The supplied pump and system curves have one-pump and two-pump intersections.</w:t>
      </w:r>
    </w:p>
    <w:p>
      <w:pPr>
        <w:pStyle w:val="ListBullet"/>
      </w:pPr>
      <w:r>
        <w:rPr>
          <w:rFonts w:ascii="Calibri" w:hAnsi="Calibri"/>
          <w:color w:val="12233F"/>
          <w:sz w:val="21"/>
        </w:rPr>
        <w:t>The modeled firm-capacity point exceeds the synthetic event peak.</w:t>
      </w:r>
    </w:p>
    <w:p>
      <w:pPr>
        <w:pStyle w:val="ListBullet"/>
      </w:pPr>
      <w:r>
        <w:rPr>
          <w:rFonts w:ascii="Calibri" w:hAnsi="Calibri"/>
          <w:color w:val="12233F"/>
          <w:sz w:val="21"/>
        </w:rPr>
        <w:t>The derated and outage screens exceed stated usable storage.</w:t>
      </w:r>
    </w:p>
    <w:p>
      <w:pPr>
        <w:pStyle w:val="ListBullet"/>
      </w:pPr>
      <w:r>
        <w:rPr>
          <w:rFonts w:ascii="Calibri" w:hAnsi="Calibri"/>
          <w:color w:val="12233F"/>
          <w:sz w:val="21"/>
        </w:rPr>
        <w:t>The narrow direct-cost economic scenario is unfavorable.</w:t>
      </w:r>
    </w:p>
    <w:p>
      <w:pPr>
        <w:pStyle w:val="Heading2"/>
        <w:keepNext/>
      </w:pPr>
      <w:r>
        <w:t>10.2 What it does not establish</w:t>
      </w:r>
    </w:p>
    <w:p>
      <w:pPr>
        <w:pStyle w:val="ListBullet"/>
      </w:pPr>
      <w:r>
        <w:rPr>
          <w:rFonts w:ascii="Calibri" w:hAnsi="Calibri"/>
          <w:color w:val="12233F"/>
          <w:sz w:val="21"/>
        </w:rPr>
        <w:t>Condition or capacity of any actual Miami-Dade asset.</w:t>
      </w:r>
    </w:p>
    <w:p>
      <w:pPr>
        <w:pStyle w:val="ListBullet"/>
      </w:pPr>
      <w:r>
        <w:rPr>
          <w:rFonts w:ascii="Calibri" w:hAnsi="Calibri"/>
          <w:color w:val="12233F"/>
          <w:sz w:val="21"/>
        </w:rPr>
        <w:t>A calibrated RTK parameter set.</w:t>
      </w:r>
    </w:p>
    <w:p>
      <w:pPr>
        <w:pStyle w:val="ListBullet"/>
      </w:pPr>
      <w:r>
        <w:rPr>
          <w:rFonts w:ascii="Calibri" w:hAnsi="Calibri"/>
          <w:color w:val="12233F"/>
          <w:sz w:val="21"/>
        </w:rPr>
        <w:t>A County compliance result.</w:t>
      </w:r>
    </w:p>
    <w:p>
      <w:pPr>
        <w:pStyle w:val="ListBullet"/>
      </w:pPr>
      <w:r>
        <w:rPr>
          <w:rFonts w:ascii="Calibri" w:hAnsi="Calibri"/>
          <w:color w:val="12233F"/>
          <w:sz w:val="21"/>
        </w:rPr>
        <w:t>A national acceptable I&amp;I rate.</w:t>
      </w:r>
    </w:p>
    <w:p>
      <w:pPr>
        <w:pStyle w:val="ListBullet"/>
      </w:pPr>
      <w:r>
        <w:rPr>
          <w:rFonts w:ascii="Calibri" w:hAnsi="Calibri"/>
          <w:color w:val="12233F"/>
          <w:sz w:val="21"/>
        </w:rPr>
        <w:t>The source location of any I&amp;I.</w:t>
      </w:r>
    </w:p>
    <w:p>
      <w:pPr>
        <w:pStyle w:val="ListBullet"/>
      </w:pPr>
      <w:r>
        <w:rPr>
          <w:rFonts w:ascii="Calibri" w:hAnsi="Calibri"/>
          <w:color w:val="12233F"/>
          <w:sz w:val="21"/>
        </w:rPr>
        <w:t>A rehabilitation performance prediction.</w:t>
      </w:r>
    </w:p>
    <w:p>
      <w:pPr>
        <w:pStyle w:val="ListBullet"/>
      </w:pPr>
      <w:r>
        <w:rPr>
          <w:rFonts w:ascii="Calibri" w:hAnsi="Calibri"/>
          <w:color w:val="12233F"/>
          <w:sz w:val="21"/>
        </w:rPr>
        <w:t>A complete benefit-cost determination.</w:t>
      </w:r>
    </w:p>
    <w:p>
      <w:pPr>
        <w:pStyle w:val="ListBullet"/>
      </w:pPr>
      <w:r>
        <w:rPr>
          <w:rFonts w:ascii="Calibri" w:hAnsi="Calibri"/>
          <w:color w:val="12233F"/>
          <w:sz w:val="21"/>
        </w:rPr>
        <w:t>An overflow permit conclusion.</w:t>
      </w:r>
    </w:p>
    <w:p>
      <w:pPr>
        <w:pStyle w:val="ListBullet"/>
      </w:pPr>
      <w:r>
        <w:rPr>
          <w:rFonts w:ascii="Calibri" w:hAnsi="Calibri"/>
          <w:color w:val="12233F"/>
          <w:sz w:val="21"/>
        </w:rPr>
        <w:t>Pump suitability, cavitation safety, transient safety, or motor-start compliance.</w:t>
      </w:r>
    </w:p>
    <w:p>
      <w:pPr>
        <w:pStyle w:val="Heading2"/>
        <w:keepNext/>
      </w:pPr>
      <w:r>
        <w:t>10.3 Prohibited agent outputs</w:t>
      </w:r>
    </w:p>
    <w:p>
      <w:r>
        <w:rPr>
          <w:rFonts w:ascii="Calibri" w:hAnsi="Calibri"/>
          <w:color w:val="12233F"/>
          <w:sz w:val="21"/>
        </w:rPr>
        <w:t>The agent must not say:</w:t>
      </w:r>
    </w:p>
    <w:p>
      <w:pPr>
        <w:pStyle w:val="ListBullet"/>
      </w:pPr>
      <w:r>
        <w:rPr>
          <w:rFonts w:ascii="Calibri" w:hAnsi="Calibri"/>
          <w:color w:val="12233F"/>
          <w:sz w:val="21"/>
        </w:rPr>
        <w:t>"The basin has excessive I&amp;I" without an applicable comparison basis.</w:t>
      </w:r>
    </w:p>
    <w:p>
      <w:pPr>
        <w:pStyle w:val="ListBullet"/>
      </w:pPr>
      <w:r>
        <w:rPr>
          <w:rFonts w:ascii="Calibri" w:hAnsi="Calibri"/>
          <w:color w:val="12233F"/>
          <w:sz w:val="21"/>
        </w:rPr>
        <w:t>"The defect caused the peak" without diagnostic evidence.</w:t>
      </w:r>
    </w:p>
    <w:p>
      <w:pPr>
        <w:pStyle w:val="ListBullet"/>
      </w:pPr>
      <w:r>
        <w:rPr>
          <w:rFonts w:ascii="Calibri" w:hAnsi="Calibri"/>
          <w:color w:val="12233F"/>
          <w:sz w:val="21"/>
        </w:rPr>
        <w:t>"The project removes X gallons" when X is a scenario or model prediction.</w:t>
      </w:r>
    </w:p>
    <w:p>
      <w:pPr>
        <w:pStyle w:val="ListBullet"/>
      </w:pPr>
      <w:r>
        <w:rPr>
          <w:rFonts w:ascii="Calibri" w:hAnsi="Calibri"/>
          <w:color w:val="12233F"/>
          <w:sz w:val="21"/>
        </w:rPr>
        <w:t>"The pump station has capacity" based only on nameplate flow or NAPOT.</w:t>
      </w:r>
    </w:p>
    <w:p>
      <w:pPr>
        <w:pStyle w:val="ListBullet"/>
      </w:pPr>
      <w:r>
        <w:rPr>
          <w:rFonts w:ascii="Calibri" w:hAnsi="Calibri"/>
          <w:color w:val="12233F"/>
          <w:sz w:val="21"/>
        </w:rPr>
        <w:t>"The wet well provides 30 minutes" without the applicable inflow-capacity deficit.</w:t>
      </w:r>
    </w:p>
    <w:p>
      <w:pPr>
        <w:pStyle w:val="ListBullet"/>
      </w:pPr>
      <w:r>
        <w:rPr>
          <w:rFonts w:ascii="Calibri" w:hAnsi="Calibri"/>
          <w:color w:val="12233F"/>
          <w:sz w:val="21"/>
        </w:rPr>
        <w:t>"The project pays back" when excluded benefits or negative annual net benefits make that false.</w:t>
      </w:r>
    </w:p>
    <w:p>
      <w:pPr>
        <w:pStyle w:val="ListBullet"/>
      </w:pPr>
      <w:r>
        <w:rPr>
          <w:rFonts w:ascii="Calibri" w:hAnsi="Calibri"/>
          <w:color w:val="12233F"/>
          <w:sz w:val="21"/>
        </w:rPr>
        <w:t>"4,600 gpd/IDM is the national limit."</w:t>
      </w:r>
    </w:p>
    <w:p>
      <w:pPr>
        <w:pStyle w:val="ListBullet"/>
      </w:pPr>
      <w:r>
        <w:rPr>
          <w:rFonts w:ascii="Calibri" w:hAnsi="Calibri"/>
          <w:color w:val="12233F"/>
          <w:sz w:val="21"/>
        </w:rPr>
        <w:t>"The calculation is 100 percent correct" before source, independent, field, and qualified reviews.</w:t>
      </w:r>
    </w:p>
    <w:p>
      <w:r>
        <w:br w:type="page"/>
      </w:r>
    </w:p>
    <w:p>
      <w:pPr>
        <w:pStyle w:val="Heading1"/>
        <w:keepNext/>
      </w:pPr>
      <w:r>
        <w:t>11. Formula wiring matrix</w:t>
      </w:r>
    </w:p>
    <w:tbl>
      <w:tblPr>
        <w:tblStyle w:val="TableGrid"/>
        <w:tblW w:type="dxa" w:w="9360"/>
        <w:tblLayout w:type="fixed"/>
        <w:tblLook w:firstColumn="1" w:firstRow="1" w:lastColumn="0" w:lastRow="0" w:noHBand="0" w:noVBand="1" w:val="04A0"/>
        <w:tblInd w:w="120" w:type="dxa"/>
      </w:tblPr>
      <w:tblGrid>
        <w:gridCol w:w="2595"/>
        <w:gridCol w:w="2873"/>
        <w:gridCol w:w="3892"/>
      </w:tblGrid>
      <w:tr>
        <w:trPr>
          <w:tblHeader w:val="true"/>
        </w:trPr>
        <w:tc>
          <w:tcPr>
            <w:tcW w:type="dxa" w:w="2595"/>
            <w:shd w:fill="176B87"/>
            <w:tcMar>
              <w:top w:w="80" w:type="dxa"/>
              <w:start w:w="120" w:type="dxa"/>
              <w:bottom w:w="80" w:type="dxa"/>
              <w:end w:w="120" w:type="dxa"/>
            </w:tcMar>
            <w:vAlign w:val="center"/>
          </w:tcPr>
          <w:p>
            <w:r>
              <w:rPr>
                <w:b/>
                <w:color w:val="FFFFFF"/>
              </w:rPr>
            </w:r>
            <w:r>
              <w:rPr>
                <w:rFonts w:ascii="Calibri" w:hAnsi="Calibri"/>
                <w:b/>
                <w:color w:val="FFFFFF"/>
                <w:sz w:val="18"/>
              </w:rPr>
              <w:t>Calculation output</w:t>
            </w:r>
          </w:p>
        </w:tc>
        <w:tc>
          <w:tcPr>
            <w:tcW w:type="dxa" w:w="2873"/>
            <w:shd w:fill="176B87"/>
            <w:tcMar>
              <w:top w:w="80" w:type="dxa"/>
              <w:start w:w="120" w:type="dxa"/>
              <w:bottom w:w="80" w:type="dxa"/>
              <w:end w:w="120" w:type="dxa"/>
            </w:tcMar>
            <w:vAlign w:val="center"/>
          </w:tcPr>
          <w:p>
            <w:r>
              <w:rPr>
                <w:b/>
                <w:color w:val="FFFFFF"/>
              </w:rPr>
            </w:r>
            <w:r>
              <w:rPr>
                <w:rFonts w:ascii="Calibri" w:hAnsi="Calibri"/>
                <w:b/>
                <w:color w:val="FFFFFF"/>
                <w:sz w:val="18"/>
              </w:rPr>
              <w:t>Formula IDs</w:t>
            </w:r>
          </w:p>
        </w:tc>
        <w:tc>
          <w:tcPr>
            <w:tcW w:type="dxa" w:w="3892"/>
            <w:shd w:fill="176B87"/>
            <w:tcMar>
              <w:top w:w="80" w:type="dxa"/>
              <w:start w:w="120" w:type="dxa"/>
              <w:bottom w:w="80" w:type="dxa"/>
              <w:end w:w="120" w:type="dxa"/>
            </w:tcMar>
            <w:vAlign w:val="center"/>
          </w:tcPr>
          <w:p>
            <w:r>
              <w:rPr>
                <w:b/>
                <w:color w:val="FFFFFF"/>
              </w:rPr>
            </w:r>
            <w:r>
              <w:rPr>
                <w:rFonts w:ascii="Calibri" w:hAnsi="Calibri"/>
                <w:b/>
                <w:color w:val="FFFFFF"/>
                <w:sz w:val="18"/>
              </w:rPr>
              <w:t>Primary source or derivation</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Rainfall volume</w:t>
            </w:r>
          </w:p>
        </w:tc>
        <w:tc>
          <w:tcPr>
            <w:tcW w:type="dxa" w:w="2873"/>
            <w:tcMar>
              <w:top w:w="80" w:type="dxa"/>
              <w:start w:w="120" w:type="dxa"/>
              <w:bottom w:w="80" w:type="dxa"/>
              <w:end w:w="120" w:type="dxa"/>
            </w:tcMar>
            <w:vAlign w:val="center"/>
          </w:tcPr>
          <w:p>
            <w:pPr>
              <w:jc w:val="left"/>
            </w:pPr>
            <w:r>
              <w:rPr>
                <w:rFonts w:ascii="Calibri" w:hAnsi="Calibri"/>
                <w:color w:val="12233F"/>
                <w:sz w:val="17"/>
              </w:rPr>
              <w:t>F-UNIT-001</w:t>
            </w:r>
          </w:p>
        </w:tc>
        <w:tc>
          <w:tcPr>
            <w:tcW w:type="dxa" w:w="3892"/>
            <w:tcMar>
              <w:top w:w="80" w:type="dxa"/>
              <w:start w:w="120" w:type="dxa"/>
              <w:bottom w:w="80" w:type="dxa"/>
              <w:end w:w="120" w:type="dxa"/>
            </w:tcMar>
            <w:vAlign w:val="center"/>
          </w:tcPr>
          <w:p>
            <w:pPr>
              <w:jc w:val="left"/>
            </w:pPr>
            <w:r>
              <w:rPr>
                <w:rFonts w:ascii="Calibri" w:hAnsi="Calibri"/>
                <w:color w:val="12233F"/>
                <w:sz w:val="17"/>
              </w:rPr>
              <w:t>transparent US customary unit derivation</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Flow volume</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F-FLOW-001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trapezoidal numerical integration</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ADWF</w:t>
            </w:r>
          </w:p>
        </w:tc>
        <w:tc>
          <w:tcPr>
            <w:tcW w:type="dxa" w:w="2873"/>
            <w:tcMar>
              <w:top w:w="80" w:type="dxa"/>
              <w:start w:w="120" w:type="dxa"/>
              <w:bottom w:w="80" w:type="dxa"/>
              <w:end w:w="120" w:type="dxa"/>
            </w:tcMar>
            <w:vAlign w:val="center"/>
          </w:tcPr>
          <w:p>
            <w:pPr>
              <w:jc w:val="left"/>
            </w:pPr>
            <w:r>
              <w:rPr>
                <w:rFonts w:ascii="Calibri" w:hAnsi="Calibri"/>
                <w:color w:val="12233F"/>
                <w:sz w:val="17"/>
              </w:rPr>
              <w:t>F-DWF-001</w:t>
            </w:r>
          </w:p>
        </w:tc>
        <w:tc>
          <w:tcPr>
            <w:tcW w:type="dxa" w:w="3892"/>
            <w:tcMar>
              <w:top w:w="80" w:type="dxa"/>
              <w:start w:w="120" w:type="dxa"/>
              <w:bottom w:w="80" w:type="dxa"/>
              <w:end w:w="120" w:type="dxa"/>
            </w:tcMar>
            <w:vAlign w:val="center"/>
          </w:tcPr>
          <w:p>
            <w:pPr>
              <w:jc w:val="left"/>
            </w:pPr>
            <w:r>
              <w:rPr>
                <w:rFonts w:ascii="Calibri" w:hAnsi="Calibri"/>
                <w:color w:val="12233F"/>
                <w:sz w:val="17"/>
              </w:rPr>
              <w:t>time-weighted mean</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GWI residual</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F-GWI-001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EPA flow-component framework [R3]</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IDM</w:t>
            </w:r>
          </w:p>
        </w:tc>
        <w:tc>
          <w:tcPr>
            <w:tcW w:type="dxa" w:w="2873"/>
            <w:tcMar>
              <w:top w:w="80" w:type="dxa"/>
              <w:start w:w="120" w:type="dxa"/>
              <w:bottom w:w="80" w:type="dxa"/>
              <w:end w:w="120" w:type="dxa"/>
            </w:tcMar>
            <w:vAlign w:val="center"/>
          </w:tcPr>
          <w:p>
            <w:pPr>
              <w:jc w:val="left"/>
            </w:pPr>
            <w:r>
              <w:rPr>
                <w:rFonts w:ascii="Calibri" w:hAnsi="Calibri"/>
                <w:color w:val="12233F"/>
                <w:sz w:val="17"/>
              </w:rPr>
              <w:t>F-IDM-001</w:t>
            </w:r>
          </w:p>
        </w:tc>
        <w:tc>
          <w:tcPr>
            <w:tcW w:type="dxa" w:w="3892"/>
            <w:tcMar>
              <w:top w:w="80" w:type="dxa"/>
              <w:start w:w="120" w:type="dxa"/>
              <w:bottom w:w="80" w:type="dxa"/>
              <w:end w:w="120" w:type="dxa"/>
            </w:tcMar>
            <w:vAlign w:val="center"/>
          </w:tcPr>
          <w:p>
            <w:pPr>
              <w:jc w:val="left"/>
            </w:pPr>
            <w:r>
              <w:rPr>
                <w:rFonts w:ascii="Calibri" w:hAnsi="Calibri"/>
                <w:color w:val="12233F"/>
                <w:sz w:val="17"/>
              </w:rPr>
              <w:t>explicit asset sum</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Normalized I&amp;I</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F-NORM-001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explicit numerator and denominator</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RDII hydrograph</w:t>
            </w:r>
          </w:p>
        </w:tc>
        <w:tc>
          <w:tcPr>
            <w:tcW w:type="dxa" w:w="2873"/>
            <w:tcMar>
              <w:top w:w="80" w:type="dxa"/>
              <w:start w:w="120" w:type="dxa"/>
              <w:bottom w:w="80" w:type="dxa"/>
              <w:end w:w="120" w:type="dxa"/>
            </w:tcMar>
            <w:vAlign w:val="center"/>
          </w:tcPr>
          <w:p>
            <w:pPr>
              <w:jc w:val="left"/>
            </w:pPr>
            <w:r>
              <w:rPr>
                <w:rFonts w:ascii="Calibri" w:hAnsi="Calibri"/>
                <w:color w:val="12233F"/>
                <w:sz w:val="17"/>
              </w:rPr>
              <w:t>F-RTK-001, F-RTK-002, F-RTK-003</w:t>
            </w:r>
          </w:p>
        </w:tc>
        <w:tc>
          <w:tcPr>
            <w:tcW w:type="dxa" w:w="3892"/>
            <w:tcMar>
              <w:top w:w="80" w:type="dxa"/>
              <w:start w:w="120" w:type="dxa"/>
              <w:bottom w:w="80" w:type="dxa"/>
              <w:end w:w="120" w:type="dxa"/>
            </w:tcMar>
            <w:vAlign w:val="center"/>
          </w:tcPr>
          <w:p>
            <w:pPr>
              <w:jc w:val="left"/>
            </w:pPr>
            <w:r>
              <w:rPr>
                <w:rFonts w:ascii="Calibri" w:hAnsi="Calibri"/>
                <w:color w:val="12233F"/>
                <w:sz w:val="17"/>
              </w:rPr>
              <w:t>EPA SWMM and SSOAP [R1, R2]</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Force-main geometry and flow</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F-HYD-001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EPA SWMM hydraulics [R5]</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Friction factor</w:t>
            </w:r>
          </w:p>
        </w:tc>
        <w:tc>
          <w:tcPr>
            <w:tcW w:type="dxa" w:w="2873"/>
            <w:tcMar>
              <w:top w:w="80" w:type="dxa"/>
              <w:start w:w="120" w:type="dxa"/>
              <w:bottom w:w="80" w:type="dxa"/>
              <w:end w:w="120" w:type="dxa"/>
            </w:tcMar>
            <w:vAlign w:val="center"/>
          </w:tcPr>
          <w:p>
            <w:pPr>
              <w:jc w:val="left"/>
            </w:pPr>
            <w:r>
              <w:rPr>
                <w:rFonts w:ascii="Calibri" w:hAnsi="Calibri"/>
                <w:color w:val="12233F"/>
                <w:sz w:val="17"/>
              </w:rPr>
              <w:t>F-HYD-002</w:t>
            </w:r>
          </w:p>
        </w:tc>
        <w:tc>
          <w:tcPr>
            <w:tcW w:type="dxa" w:w="3892"/>
            <w:tcMar>
              <w:top w:w="80" w:type="dxa"/>
              <w:start w:w="120" w:type="dxa"/>
              <w:bottom w:w="80" w:type="dxa"/>
              <w:end w:w="120" w:type="dxa"/>
            </w:tcMar>
            <w:vAlign w:val="center"/>
          </w:tcPr>
          <w:p>
            <w:pPr>
              <w:jc w:val="left"/>
            </w:pPr>
            <w:r>
              <w:rPr>
                <w:rFonts w:ascii="Calibri" w:hAnsi="Calibri"/>
                <w:color w:val="12233F"/>
                <w:sz w:val="17"/>
              </w:rPr>
              <w:t>EPA SWMM hydraulics plus stated implementation difference [R5]</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Major head loss</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F-HYD-003</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EPA SWMM hydraulics [R5]</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Minor loss</w:t>
            </w:r>
          </w:p>
        </w:tc>
        <w:tc>
          <w:tcPr>
            <w:tcW w:type="dxa" w:w="2873"/>
            <w:tcMar>
              <w:top w:w="80" w:type="dxa"/>
              <w:start w:w="120" w:type="dxa"/>
              <w:bottom w:w="80" w:type="dxa"/>
              <w:end w:w="120" w:type="dxa"/>
            </w:tcMar>
            <w:vAlign w:val="center"/>
          </w:tcPr>
          <w:p>
            <w:pPr>
              <w:jc w:val="left"/>
            </w:pPr>
            <w:r>
              <w:rPr>
                <w:rFonts w:ascii="Calibri" w:hAnsi="Calibri"/>
                <w:color w:val="12233F"/>
                <w:sz w:val="17"/>
              </w:rPr>
              <w:t>F-HYD-004</w:t>
            </w:r>
          </w:p>
        </w:tc>
        <w:tc>
          <w:tcPr>
            <w:tcW w:type="dxa" w:w="3892"/>
            <w:tcMar>
              <w:top w:w="80" w:type="dxa"/>
              <w:start w:w="120" w:type="dxa"/>
              <w:bottom w:w="80" w:type="dxa"/>
              <w:end w:w="120" w:type="dxa"/>
            </w:tcMar>
            <w:vAlign w:val="center"/>
          </w:tcPr>
          <w:p>
            <w:pPr>
              <w:jc w:val="left"/>
            </w:pPr>
            <w:r>
              <w:rPr>
                <w:rFonts w:ascii="Calibri" w:hAnsi="Calibri"/>
                <w:color w:val="12233F"/>
                <w:sz w:val="17"/>
              </w:rPr>
              <w:t>EPA SWMM hydraulics [R5]</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System head</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F-HYD-005</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USACE pump-station analysis [R6]</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Parallel-pump point</w:t>
            </w:r>
          </w:p>
        </w:tc>
        <w:tc>
          <w:tcPr>
            <w:tcW w:type="dxa" w:w="2873"/>
            <w:tcMar>
              <w:top w:w="80" w:type="dxa"/>
              <w:start w:w="120" w:type="dxa"/>
              <w:bottom w:w="80" w:type="dxa"/>
              <w:end w:w="120" w:type="dxa"/>
            </w:tcMar>
            <w:vAlign w:val="center"/>
          </w:tcPr>
          <w:p>
            <w:pPr>
              <w:jc w:val="left"/>
            </w:pPr>
            <w:r>
              <w:rPr>
                <w:rFonts w:ascii="Calibri" w:hAnsi="Calibri"/>
                <w:color w:val="12233F"/>
                <w:sz w:val="17"/>
              </w:rPr>
              <w:t>F-PUMP-001</w:t>
            </w:r>
          </w:p>
        </w:tc>
        <w:tc>
          <w:tcPr>
            <w:tcW w:type="dxa" w:w="3892"/>
            <w:tcMar>
              <w:top w:w="80" w:type="dxa"/>
              <w:start w:w="120" w:type="dxa"/>
              <w:bottom w:w="80" w:type="dxa"/>
              <w:end w:w="120" w:type="dxa"/>
            </w:tcMar>
            <w:vAlign w:val="center"/>
          </w:tcPr>
          <w:p>
            <w:pPr>
              <w:jc w:val="left"/>
            </w:pPr>
            <w:r>
              <w:rPr>
                <w:rFonts w:ascii="Calibri" w:hAnsi="Calibri"/>
                <w:color w:val="12233F"/>
                <w:sz w:val="17"/>
              </w:rPr>
              <w:t>USACE equal-head parallel composition [R6]</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Margin and utilization</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F-PUMP-002</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transparent ratios</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Constant-deficit storage</w:t>
            </w:r>
          </w:p>
        </w:tc>
        <w:tc>
          <w:tcPr>
            <w:tcW w:type="dxa" w:w="2873"/>
            <w:tcMar>
              <w:top w:w="80" w:type="dxa"/>
              <w:start w:w="120" w:type="dxa"/>
              <w:bottom w:w="80" w:type="dxa"/>
              <w:end w:w="120" w:type="dxa"/>
            </w:tcMar>
            <w:vAlign w:val="center"/>
          </w:tcPr>
          <w:p>
            <w:pPr>
              <w:jc w:val="left"/>
            </w:pPr>
            <w:r>
              <w:rPr>
                <w:rFonts w:ascii="Calibri" w:hAnsi="Calibri"/>
                <w:color w:val="12233F"/>
                <w:sz w:val="17"/>
              </w:rPr>
              <w:t>F-PUMP-003, F-PUMP-004</w:t>
            </w:r>
          </w:p>
        </w:tc>
        <w:tc>
          <w:tcPr>
            <w:tcW w:type="dxa" w:w="3892"/>
            <w:tcMar>
              <w:top w:w="80" w:type="dxa"/>
              <w:start w:w="120" w:type="dxa"/>
              <w:bottom w:w="80" w:type="dxa"/>
              <w:end w:w="120" w:type="dxa"/>
            </w:tcMar>
            <w:vAlign w:val="center"/>
          </w:tcPr>
          <w:p>
            <w:pPr>
              <w:jc w:val="left"/>
            </w:pPr>
            <w:r>
              <w:rPr>
                <w:rFonts w:ascii="Calibri" w:hAnsi="Calibri"/>
                <w:color w:val="12233F"/>
                <w:sz w:val="17"/>
              </w:rPr>
              <w:t>control-volume derivation</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Dynamic storage</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F-PUMP-007</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F-MASS-001 plus F-FLOW-001</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Simple cycling</w:t>
            </w:r>
          </w:p>
        </w:tc>
        <w:tc>
          <w:tcPr>
            <w:tcW w:type="dxa" w:w="2873"/>
            <w:tcMar>
              <w:top w:w="80" w:type="dxa"/>
              <w:start w:w="120" w:type="dxa"/>
              <w:bottom w:w="80" w:type="dxa"/>
              <w:end w:w="120" w:type="dxa"/>
            </w:tcMar>
            <w:vAlign w:val="center"/>
          </w:tcPr>
          <w:p>
            <w:pPr>
              <w:jc w:val="left"/>
            </w:pPr>
            <w:r>
              <w:rPr>
                <w:rFonts w:ascii="Calibri" w:hAnsi="Calibri"/>
                <w:color w:val="12233F"/>
                <w:sz w:val="17"/>
              </w:rPr>
              <w:t>F-PUMP-005</w:t>
            </w:r>
          </w:p>
        </w:tc>
        <w:tc>
          <w:tcPr>
            <w:tcW w:type="dxa" w:w="3892"/>
            <w:tcMar>
              <w:top w:w="80" w:type="dxa"/>
              <w:start w:w="120" w:type="dxa"/>
              <w:bottom w:w="80" w:type="dxa"/>
              <w:end w:w="120" w:type="dxa"/>
            </w:tcMar>
            <w:vAlign w:val="center"/>
          </w:tcPr>
          <w:p>
            <w:pPr>
              <w:jc w:val="left"/>
            </w:pPr>
            <w:r>
              <w:rPr>
                <w:rFonts w:ascii="Calibri" w:hAnsi="Calibri"/>
                <w:color w:val="12233F"/>
                <w:sz w:val="17"/>
              </w:rPr>
              <w:t>control-volume derivation and USACE equivalent [R6]</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Generic operating hours</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F-PUMP-006</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volume divided by capacity</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Miami-Dade NAPOT</w:t>
            </w:r>
          </w:p>
        </w:tc>
        <w:tc>
          <w:tcPr>
            <w:tcW w:type="dxa" w:w="2873"/>
            <w:tcMar>
              <w:top w:w="80" w:type="dxa"/>
              <w:start w:w="120" w:type="dxa"/>
              <w:bottom w:w="80" w:type="dxa"/>
              <w:end w:w="120" w:type="dxa"/>
            </w:tcMar>
            <w:vAlign w:val="center"/>
          </w:tcPr>
          <w:p>
            <w:pPr>
              <w:jc w:val="left"/>
            </w:pPr>
            <w:r>
              <w:rPr>
                <w:rFonts w:ascii="Calibri" w:hAnsi="Calibri"/>
                <w:color w:val="12233F"/>
                <w:sz w:val="17"/>
              </w:rPr>
              <w:t>F-MDC-NAPOT-001</w:t>
            </w:r>
          </w:p>
        </w:tc>
        <w:tc>
          <w:tcPr>
            <w:tcW w:type="dxa" w:w="3892"/>
            <w:tcMar>
              <w:top w:w="80" w:type="dxa"/>
              <w:start w:w="120" w:type="dxa"/>
              <w:bottom w:w="80" w:type="dxa"/>
              <w:end w:w="120" w:type="dxa"/>
            </w:tcMar>
            <w:vAlign w:val="center"/>
          </w:tcPr>
          <w:p>
            <w:pPr>
              <w:jc w:val="left"/>
            </w:pPr>
            <w:r>
              <w:rPr>
                <w:rFonts w:ascii="Calibri" w:hAnsi="Calibri"/>
                <w:color w:val="12233F"/>
                <w:sz w:val="17"/>
              </w:rPr>
              <w:t>2013 federal consent decree [R4]</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Pump power</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F-ENERGY-001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hydraulic power derivation, federal pump context [R6, R7]</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Pump energy and cost</w:t>
            </w:r>
          </w:p>
        </w:tc>
        <w:tc>
          <w:tcPr>
            <w:tcW w:type="dxa" w:w="2873"/>
            <w:tcMar>
              <w:top w:w="80" w:type="dxa"/>
              <w:start w:w="120" w:type="dxa"/>
              <w:bottom w:w="80" w:type="dxa"/>
              <w:end w:w="120" w:type="dxa"/>
            </w:tcMar>
            <w:vAlign w:val="center"/>
          </w:tcPr>
          <w:p>
            <w:pPr>
              <w:jc w:val="left"/>
            </w:pPr>
            <w:r>
              <w:rPr>
                <w:rFonts w:ascii="Calibri" w:hAnsi="Calibri"/>
                <w:color w:val="12233F"/>
                <w:sz w:val="17"/>
              </w:rPr>
              <w:t>F-ENERGY-002</w:t>
            </w:r>
          </w:p>
        </w:tc>
        <w:tc>
          <w:tcPr>
            <w:tcW w:type="dxa" w:w="3892"/>
            <w:tcMar>
              <w:top w:w="80" w:type="dxa"/>
              <w:start w:w="120" w:type="dxa"/>
              <w:bottom w:w="80" w:type="dxa"/>
              <w:end w:w="120" w:type="dxa"/>
            </w:tcMar>
            <w:vAlign w:val="center"/>
          </w:tcPr>
          <w:p>
            <w:pPr>
              <w:jc w:val="left"/>
            </w:pPr>
            <w:r>
              <w:rPr>
                <w:rFonts w:ascii="Calibri" w:hAnsi="Calibri"/>
                <w:color w:val="12233F"/>
                <w:sz w:val="17"/>
              </w:rPr>
              <w:t>power integration and tariff</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Annual volume</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F-ECON-002</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flow-times-time identity</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Annual marginal cost</w:t>
            </w:r>
          </w:p>
        </w:tc>
        <w:tc>
          <w:tcPr>
            <w:tcW w:type="dxa" w:w="2873"/>
            <w:tcMar>
              <w:top w:w="80" w:type="dxa"/>
              <w:start w:w="120" w:type="dxa"/>
              <w:bottom w:w="80" w:type="dxa"/>
              <w:end w:w="120" w:type="dxa"/>
            </w:tcMar>
            <w:vAlign w:val="center"/>
          </w:tcPr>
          <w:p>
            <w:pPr>
              <w:jc w:val="left"/>
            </w:pPr>
            <w:r>
              <w:rPr>
                <w:rFonts w:ascii="Calibri" w:hAnsi="Calibri"/>
                <w:color w:val="12233F"/>
                <w:sz w:val="17"/>
              </w:rPr>
              <w:t>F-COST-001</w:t>
            </w:r>
          </w:p>
        </w:tc>
        <w:tc>
          <w:tcPr>
            <w:tcW w:type="dxa" w:w="3892"/>
            <w:tcMar>
              <w:top w:w="80" w:type="dxa"/>
              <w:start w:w="120" w:type="dxa"/>
              <w:bottom w:w="80" w:type="dxa"/>
              <w:end w:w="120" w:type="dxa"/>
            </w:tcMar>
            <w:vAlign w:val="center"/>
          </w:tcPr>
          <w:p>
            <w:pPr>
              <w:jc w:val="left"/>
            </w:pPr>
            <w:r>
              <w:rPr>
                <w:rFonts w:ascii="Calibri" w:hAnsi="Calibri"/>
                <w:color w:val="12233F"/>
                <w:sz w:val="17"/>
              </w:rPr>
              <w:t>explicit marginal unit cost</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Present value</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F-PV-001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discounted cash flow</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Net present value</w:t>
            </w:r>
          </w:p>
        </w:tc>
        <w:tc>
          <w:tcPr>
            <w:tcW w:type="dxa" w:w="2873"/>
            <w:tcMar>
              <w:top w:w="80" w:type="dxa"/>
              <w:start w:w="120" w:type="dxa"/>
              <w:bottom w:w="80" w:type="dxa"/>
              <w:end w:w="120" w:type="dxa"/>
            </w:tcMar>
            <w:vAlign w:val="center"/>
          </w:tcPr>
          <w:p>
            <w:pPr>
              <w:jc w:val="left"/>
            </w:pPr>
            <w:r>
              <w:rPr>
                <w:rFonts w:ascii="Calibri" w:hAnsi="Calibri"/>
                <w:color w:val="12233F"/>
                <w:sz w:val="17"/>
              </w:rPr>
              <w:t>F-ECON-003</w:t>
            </w:r>
          </w:p>
        </w:tc>
        <w:tc>
          <w:tcPr>
            <w:tcW w:type="dxa" w:w="3892"/>
            <w:tcMar>
              <w:top w:w="80" w:type="dxa"/>
              <w:start w:w="120" w:type="dxa"/>
              <w:bottom w:w="80" w:type="dxa"/>
              <w:end w:w="120" w:type="dxa"/>
            </w:tcMar>
            <w:vAlign w:val="center"/>
          </w:tcPr>
          <w:p>
            <w:pPr>
              <w:jc w:val="left"/>
            </w:pPr>
            <w:r>
              <w:rPr>
                <w:rFonts w:ascii="Calibri" w:hAnsi="Calibri"/>
                <w:color w:val="12233F"/>
                <w:sz w:val="17"/>
              </w:rPr>
              <w:t>benefits less costs</w:t>
            </w:r>
          </w:p>
        </w:tc>
      </w:tr>
      <w:tr>
        <w:tc>
          <w:tcPr>
            <w:tcW w:type="dxa" w:w="2595"/>
            <w:shd w:fill="F4F7F9"/>
            <w:tcMar>
              <w:top w:w="80" w:type="dxa"/>
              <w:start w:w="120" w:type="dxa"/>
              <w:bottom w:w="80" w:type="dxa"/>
              <w:end w:w="120" w:type="dxa"/>
            </w:tcMar>
            <w:vAlign w:val="center"/>
          </w:tcPr>
          <w:p>
            <w:pPr>
              <w:jc w:val="left"/>
            </w:pPr>
            <w:r>
              <w:rPr>
                <w:rFonts w:ascii="Calibri" w:hAnsi="Calibri"/>
                <w:color w:val="12233F"/>
                <w:sz w:val="17"/>
              </w:rPr>
              <w:t>Benefit-cost ratio</w:t>
            </w:r>
          </w:p>
        </w:tc>
        <w:tc>
          <w:tcPr>
            <w:tcW w:type="dxa" w:w="2873"/>
            <w:shd w:fill="F4F7F9"/>
            <w:tcMar>
              <w:top w:w="80" w:type="dxa"/>
              <w:start w:w="120" w:type="dxa"/>
              <w:bottom w:w="80" w:type="dxa"/>
              <w:end w:w="120" w:type="dxa"/>
            </w:tcMar>
            <w:vAlign w:val="center"/>
          </w:tcPr>
          <w:p>
            <w:pPr>
              <w:jc w:val="left"/>
            </w:pPr>
            <w:r>
              <w:rPr>
                <w:rFonts w:ascii="Calibri" w:hAnsi="Calibri"/>
                <w:color w:val="12233F"/>
                <w:sz w:val="17"/>
              </w:rPr>
              <w:t>F-BCR-001</w:t>
            </w:r>
          </w:p>
        </w:tc>
        <w:tc>
          <w:tcPr>
            <w:tcW w:type="dxa" w:w="3892"/>
            <w:shd w:fill="F4F7F9"/>
            <w:tcMar>
              <w:top w:w="80" w:type="dxa"/>
              <w:start w:w="120" w:type="dxa"/>
              <w:bottom w:w="80" w:type="dxa"/>
              <w:end w:w="120" w:type="dxa"/>
            </w:tcMar>
            <w:vAlign w:val="center"/>
          </w:tcPr>
          <w:p>
            <w:pPr>
              <w:jc w:val="left"/>
            </w:pPr>
            <w:r>
              <w:rPr>
                <w:rFonts w:ascii="Calibri" w:hAnsi="Calibri"/>
                <w:color w:val="12233F"/>
                <w:sz w:val="17"/>
              </w:rPr>
              <w:t>PV benefits divided by PV costs</w:t>
            </w:r>
          </w:p>
        </w:tc>
      </w:tr>
      <w:tr>
        <w:tc>
          <w:tcPr>
            <w:tcW w:type="dxa" w:w="2595"/>
            <w:tcMar>
              <w:top w:w="80" w:type="dxa"/>
              <w:start w:w="120" w:type="dxa"/>
              <w:bottom w:w="80" w:type="dxa"/>
              <w:end w:w="120" w:type="dxa"/>
            </w:tcMar>
            <w:vAlign w:val="center"/>
          </w:tcPr>
          <w:p>
            <w:pPr>
              <w:jc w:val="left"/>
            </w:pPr>
            <w:r>
              <w:rPr>
                <w:rFonts w:ascii="Calibri" w:hAnsi="Calibri"/>
                <w:color w:val="12233F"/>
                <w:sz w:val="17"/>
              </w:rPr>
              <w:t>Simple payback</w:t>
            </w:r>
          </w:p>
        </w:tc>
        <w:tc>
          <w:tcPr>
            <w:tcW w:type="dxa" w:w="2873"/>
            <w:tcMar>
              <w:top w:w="80" w:type="dxa"/>
              <w:start w:w="120" w:type="dxa"/>
              <w:bottom w:w="80" w:type="dxa"/>
              <w:end w:w="120" w:type="dxa"/>
            </w:tcMar>
            <w:vAlign w:val="center"/>
          </w:tcPr>
          <w:p>
            <w:pPr>
              <w:jc w:val="left"/>
            </w:pPr>
            <w:r>
              <w:rPr>
                <w:rFonts w:ascii="Calibri" w:hAnsi="Calibri"/>
                <w:color w:val="12233F"/>
                <w:sz w:val="17"/>
              </w:rPr>
              <w:t>F-ECON-004</w:t>
            </w:r>
          </w:p>
        </w:tc>
        <w:tc>
          <w:tcPr>
            <w:tcW w:type="dxa" w:w="3892"/>
            <w:tcMar>
              <w:top w:w="80" w:type="dxa"/>
              <w:start w:w="120" w:type="dxa"/>
              <w:bottom w:w="80" w:type="dxa"/>
              <w:end w:w="120" w:type="dxa"/>
            </w:tcMar>
            <w:vAlign w:val="center"/>
          </w:tcPr>
          <w:p>
            <w:pPr>
              <w:jc w:val="left"/>
            </w:pPr>
            <w:r>
              <w:rPr>
                <w:rFonts w:ascii="Calibri" w:hAnsi="Calibri"/>
                <w:color w:val="12233F"/>
                <w:sz w:val="17"/>
              </w:rPr>
              <w:t>capital divided by positive annual net benefit</w:t>
            </w:r>
          </w:p>
        </w:tc>
      </w:tr>
    </w:tbl>
    <w:p>
      <w:pPr>
        <w:spacing w:after="20"/>
      </w:pPr>
    </w:p>
    <w:p>
      <w:r>
        <w:br w:type="page"/>
      </w:r>
    </w:p>
    <w:p>
      <w:pPr>
        <w:pStyle w:val="Heading1"/>
        <w:keepNext/>
      </w:pPr>
      <w:r>
        <w:t>12. Acronyms</w:t>
      </w:r>
    </w:p>
    <w:tbl>
      <w:tblPr>
        <w:tblStyle w:val="TableGrid"/>
        <w:tblW w:type="dxa" w:w="9360"/>
        <w:tblLayout w:type="fixed"/>
        <w:tblLook w:firstColumn="1" w:firstRow="1" w:lastColumn="0" w:lastRow="0" w:noHBand="0" w:noVBand="1" w:val="04A0"/>
        <w:tblInd w:w="120" w:type="dxa"/>
      </w:tblPr>
      <w:tblGrid>
        <w:gridCol w:w="1498"/>
        <w:gridCol w:w="7862"/>
      </w:tblGrid>
      <w:tr>
        <w:trPr>
          <w:tblHeader w:val="true"/>
        </w:trPr>
        <w:tc>
          <w:tcPr>
            <w:tcW w:type="dxa" w:w="1498"/>
            <w:shd w:fill="176B87"/>
            <w:tcMar>
              <w:top w:w="80" w:type="dxa"/>
              <w:start w:w="120" w:type="dxa"/>
              <w:bottom w:w="80" w:type="dxa"/>
              <w:end w:w="120" w:type="dxa"/>
            </w:tcMar>
            <w:vAlign w:val="center"/>
          </w:tcPr>
          <w:p>
            <w:r>
              <w:rPr>
                <w:b/>
                <w:color w:val="FFFFFF"/>
              </w:rPr>
            </w:r>
            <w:r>
              <w:rPr>
                <w:rFonts w:ascii="Calibri" w:hAnsi="Calibri"/>
                <w:b/>
                <w:color w:val="FFFFFF"/>
                <w:sz w:val="18"/>
              </w:rPr>
              <w:t>Acronym</w:t>
            </w:r>
          </w:p>
        </w:tc>
        <w:tc>
          <w:tcPr>
            <w:tcW w:type="dxa" w:w="7862"/>
            <w:shd w:fill="176B87"/>
            <w:tcMar>
              <w:top w:w="80" w:type="dxa"/>
              <w:start w:w="120" w:type="dxa"/>
              <w:bottom w:w="80" w:type="dxa"/>
              <w:end w:w="120" w:type="dxa"/>
            </w:tcMar>
            <w:vAlign w:val="center"/>
          </w:tcPr>
          <w:p>
            <w:r>
              <w:rPr>
                <w:b/>
                <w:color w:val="FFFFFF"/>
              </w:rPr>
            </w:r>
            <w:r>
              <w:rPr>
                <w:rFonts w:ascii="Calibri" w:hAnsi="Calibri"/>
                <w:b/>
                <w:color w:val="FFFFFF"/>
                <w:sz w:val="18"/>
              </w:rPr>
              <w:t>Expansion</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ADWF</w:t>
            </w:r>
          </w:p>
        </w:tc>
        <w:tc>
          <w:tcPr>
            <w:tcW w:type="dxa" w:w="7862"/>
            <w:tcMar>
              <w:top w:w="80" w:type="dxa"/>
              <w:start w:w="120" w:type="dxa"/>
              <w:bottom w:w="80" w:type="dxa"/>
              <w:end w:w="120" w:type="dxa"/>
            </w:tcMar>
            <w:vAlign w:val="center"/>
          </w:tcPr>
          <w:p>
            <w:pPr>
              <w:jc w:val="left"/>
            </w:pPr>
            <w:r>
              <w:rPr>
                <w:rFonts w:ascii="Calibri" w:hAnsi="Calibri"/>
                <w:color w:val="12233F"/>
                <w:sz w:val="17"/>
              </w:rPr>
              <w:t>Average Dry-Weather Flow</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BEP</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Best Efficiency Point</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BCR</w:t>
            </w:r>
          </w:p>
        </w:tc>
        <w:tc>
          <w:tcPr>
            <w:tcW w:type="dxa" w:w="7862"/>
            <w:tcMar>
              <w:top w:w="80" w:type="dxa"/>
              <w:start w:w="120" w:type="dxa"/>
              <w:bottom w:w="80" w:type="dxa"/>
              <w:end w:w="120" w:type="dxa"/>
            </w:tcMar>
            <w:vAlign w:val="center"/>
          </w:tcPr>
          <w:p>
            <w:pPr>
              <w:jc w:val="left"/>
            </w:pPr>
            <w:r>
              <w:rPr>
                <w:rFonts w:ascii="Calibri" w:hAnsi="Calibri"/>
                <w:color w:val="12233F"/>
                <w:sz w:val="17"/>
              </w:rPr>
              <w:t>Benefit-Cost Ratio</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BWF</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Base Wastewater Flow</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CCTV</w:t>
            </w:r>
          </w:p>
        </w:tc>
        <w:tc>
          <w:tcPr>
            <w:tcW w:type="dxa" w:w="7862"/>
            <w:tcMar>
              <w:top w:w="80" w:type="dxa"/>
              <w:start w:w="120" w:type="dxa"/>
              <w:bottom w:w="80" w:type="dxa"/>
              <w:end w:w="120" w:type="dxa"/>
            </w:tcMar>
            <w:vAlign w:val="center"/>
          </w:tcPr>
          <w:p>
            <w:pPr>
              <w:jc w:val="left"/>
            </w:pPr>
            <w:r>
              <w:rPr>
                <w:rFonts w:ascii="Calibri" w:hAnsi="Calibri"/>
                <w:color w:val="12233F"/>
                <w:sz w:val="17"/>
              </w:rPr>
              <w:t>Closed-Circuit Television</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CFR</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Code of Federal Regulations</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DWF</w:t>
            </w:r>
          </w:p>
        </w:tc>
        <w:tc>
          <w:tcPr>
            <w:tcW w:type="dxa" w:w="7862"/>
            <w:tcMar>
              <w:top w:w="80" w:type="dxa"/>
              <w:start w:w="120" w:type="dxa"/>
              <w:bottom w:w="80" w:type="dxa"/>
              <w:end w:w="120" w:type="dxa"/>
            </w:tcMar>
            <w:vAlign w:val="center"/>
          </w:tcPr>
          <w:p>
            <w:pPr>
              <w:jc w:val="left"/>
            </w:pPr>
            <w:r>
              <w:rPr>
                <w:rFonts w:ascii="Calibri" w:hAnsi="Calibri"/>
                <w:color w:val="12233F"/>
                <w:sz w:val="17"/>
              </w:rPr>
              <w:t>Dry-Weather Flow</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EPA</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United States Environmental Protection Agency</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FDEP</w:t>
            </w:r>
          </w:p>
        </w:tc>
        <w:tc>
          <w:tcPr>
            <w:tcW w:type="dxa" w:w="7862"/>
            <w:tcMar>
              <w:top w:w="80" w:type="dxa"/>
              <w:start w:w="120" w:type="dxa"/>
              <w:bottom w:w="80" w:type="dxa"/>
              <w:end w:w="120" w:type="dxa"/>
            </w:tcMar>
            <w:vAlign w:val="center"/>
          </w:tcPr>
          <w:p>
            <w:pPr>
              <w:jc w:val="left"/>
            </w:pPr>
            <w:r>
              <w:rPr>
                <w:rFonts w:ascii="Calibri" w:hAnsi="Calibri"/>
                <w:color w:val="12233F"/>
                <w:sz w:val="17"/>
              </w:rPr>
              <w:t>Florida Department of Environmental Protection</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GWI</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Groundwater Infiltration</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HGL</w:t>
            </w:r>
          </w:p>
        </w:tc>
        <w:tc>
          <w:tcPr>
            <w:tcW w:type="dxa" w:w="7862"/>
            <w:tcMar>
              <w:top w:w="80" w:type="dxa"/>
              <w:start w:w="120" w:type="dxa"/>
              <w:bottom w:w="80" w:type="dxa"/>
              <w:end w:w="120" w:type="dxa"/>
            </w:tcMar>
            <w:vAlign w:val="center"/>
          </w:tcPr>
          <w:p>
            <w:pPr>
              <w:jc w:val="left"/>
            </w:pPr>
            <w:r>
              <w:rPr>
                <w:rFonts w:ascii="Calibri" w:hAnsi="Calibri"/>
                <w:color w:val="12233F"/>
                <w:sz w:val="17"/>
              </w:rPr>
              <w:t>Hydraulic Grade Line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I&amp;I</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Infiltration and Inflow</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IDM</w:t>
            </w:r>
          </w:p>
        </w:tc>
        <w:tc>
          <w:tcPr>
            <w:tcW w:type="dxa" w:w="7862"/>
            <w:tcMar>
              <w:top w:w="80" w:type="dxa"/>
              <w:start w:w="120" w:type="dxa"/>
              <w:bottom w:w="80" w:type="dxa"/>
              <w:end w:w="120" w:type="dxa"/>
            </w:tcMar>
            <w:vAlign w:val="center"/>
          </w:tcPr>
          <w:p>
            <w:pPr>
              <w:jc w:val="left"/>
            </w:pPr>
            <w:r>
              <w:rPr>
                <w:rFonts w:ascii="Calibri" w:hAnsi="Calibri"/>
                <w:color w:val="12233F"/>
                <w:sz w:val="17"/>
              </w:rPr>
              <w:t>Inch-Diameter-Mile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kW</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Kilowatt</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kWh</w:t>
            </w:r>
          </w:p>
        </w:tc>
        <w:tc>
          <w:tcPr>
            <w:tcW w:type="dxa" w:w="7862"/>
            <w:tcMar>
              <w:top w:w="80" w:type="dxa"/>
              <w:start w:w="120" w:type="dxa"/>
              <w:bottom w:w="80" w:type="dxa"/>
              <w:end w:w="120" w:type="dxa"/>
            </w:tcMar>
            <w:vAlign w:val="center"/>
          </w:tcPr>
          <w:p>
            <w:pPr>
              <w:jc w:val="left"/>
            </w:pPr>
            <w:r>
              <w:rPr>
                <w:rFonts w:ascii="Calibri" w:hAnsi="Calibri"/>
                <w:color w:val="12233F"/>
                <w:sz w:val="17"/>
              </w:rPr>
              <w:t>Kilowatt-Hour</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MG</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Million Gallons</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MGD</w:t>
            </w:r>
          </w:p>
        </w:tc>
        <w:tc>
          <w:tcPr>
            <w:tcW w:type="dxa" w:w="7862"/>
            <w:tcMar>
              <w:top w:w="80" w:type="dxa"/>
              <w:start w:w="120" w:type="dxa"/>
              <w:bottom w:w="80" w:type="dxa"/>
              <w:end w:w="120" w:type="dxa"/>
            </w:tcMar>
            <w:vAlign w:val="center"/>
          </w:tcPr>
          <w:p>
            <w:pPr>
              <w:jc w:val="left"/>
            </w:pPr>
            <w:r>
              <w:rPr>
                <w:rFonts w:ascii="Calibri" w:hAnsi="Calibri"/>
                <w:color w:val="12233F"/>
                <w:sz w:val="17"/>
              </w:rPr>
              <w:t>Million Gallons per Day</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NAPOT</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Nominal Average Pump Operating Time</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NPV</w:t>
            </w:r>
          </w:p>
        </w:tc>
        <w:tc>
          <w:tcPr>
            <w:tcW w:type="dxa" w:w="7862"/>
            <w:tcMar>
              <w:top w:w="80" w:type="dxa"/>
              <w:start w:w="120" w:type="dxa"/>
              <w:bottom w:w="80" w:type="dxa"/>
              <w:end w:w="120" w:type="dxa"/>
            </w:tcMar>
            <w:vAlign w:val="center"/>
          </w:tcPr>
          <w:p>
            <w:pPr>
              <w:jc w:val="left"/>
            </w:pPr>
            <w:r>
              <w:rPr>
                <w:rFonts w:ascii="Calibri" w:hAnsi="Calibri"/>
                <w:color w:val="12233F"/>
                <w:sz w:val="17"/>
              </w:rPr>
              <w:t>Net Present Value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NPSH</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Net Positive Suction Head</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O&amp;M</w:t>
            </w:r>
          </w:p>
        </w:tc>
        <w:tc>
          <w:tcPr>
            <w:tcW w:type="dxa" w:w="7862"/>
            <w:tcMar>
              <w:top w:w="80" w:type="dxa"/>
              <w:start w:w="120" w:type="dxa"/>
              <w:bottom w:w="80" w:type="dxa"/>
              <w:end w:w="120" w:type="dxa"/>
            </w:tcMar>
            <w:vAlign w:val="center"/>
          </w:tcPr>
          <w:p>
            <w:pPr>
              <w:jc w:val="left"/>
            </w:pPr>
            <w:r>
              <w:rPr>
                <w:rFonts w:ascii="Calibri" w:hAnsi="Calibri"/>
                <w:color w:val="12233F"/>
                <w:sz w:val="17"/>
              </w:rPr>
              <w:t>Operation and Maintenance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PE</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Professional Engineer</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PV</w:t>
            </w:r>
          </w:p>
        </w:tc>
        <w:tc>
          <w:tcPr>
            <w:tcW w:type="dxa" w:w="7862"/>
            <w:tcMar>
              <w:top w:w="80" w:type="dxa"/>
              <w:start w:w="120" w:type="dxa"/>
              <w:bottom w:w="80" w:type="dxa"/>
              <w:end w:w="120" w:type="dxa"/>
            </w:tcMar>
            <w:vAlign w:val="center"/>
          </w:tcPr>
          <w:p>
            <w:pPr>
              <w:jc w:val="left"/>
            </w:pPr>
            <w:r>
              <w:rPr>
                <w:rFonts w:ascii="Calibri" w:hAnsi="Calibri"/>
                <w:color w:val="12233F"/>
                <w:sz w:val="17"/>
              </w:rPr>
              <w:t>Present Value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PWWF</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Peak Wet-Weather Flow</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QA</w:t>
            </w:r>
          </w:p>
        </w:tc>
        <w:tc>
          <w:tcPr>
            <w:tcW w:type="dxa" w:w="7862"/>
            <w:tcMar>
              <w:top w:w="80" w:type="dxa"/>
              <w:start w:w="120" w:type="dxa"/>
              <w:bottom w:w="80" w:type="dxa"/>
              <w:end w:w="120" w:type="dxa"/>
            </w:tcMar>
            <w:vAlign w:val="center"/>
          </w:tcPr>
          <w:p>
            <w:pPr>
              <w:jc w:val="left"/>
            </w:pPr>
            <w:r>
              <w:rPr>
                <w:rFonts w:ascii="Calibri" w:hAnsi="Calibri"/>
                <w:color w:val="12233F"/>
                <w:sz w:val="17"/>
              </w:rPr>
              <w:t>Quality Assurance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QC</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Quality Control</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RDII</w:t>
            </w:r>
          </w:p>
        </w:tc>
        <w:tc>
          <w:tcPr>
            <w:tcW w:type="dxa" w:w="7862"/>
            <w:tcMar>
              <w:top w:w="80" w:type="dxa"/>
              <w:start w:w="120" w:type="dxa"/>
              <w:bottom w:w="80" w:type="dxa"/>
              <w:end w:w="120" w:type="dxa"/>
            </w:tcMar>
            <w:vAlign w:val="center"/>
          </w:tcPr>
          <w:p>
            <w:pPr>
              <w:jc w:val="left"/>
            </w:pPr>
            <w:r>
              <w:rPr>
                <w:rFonts w:ascii="Calibri" w:hAnsi="Calibri"/>
                <w:color w:val="12233F"/>
                <w:sz w:val="17"/>
              </w:rPr>
              <w:t>Rainfall-Derived Infiltration and Inflow</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RTK</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R, T, and K triangular unit-hydrograph parameters</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SCADA</w:t>
            </w:r>
          </w:p>
        </w:tc>
        <w:tc>
          <w:tcPr>
            <w:tcW w:type="dxa" w:w="7862"/>
            <w:tcMar>
              <w:top w:w="80" w:type="dxa"/>
              <w:start w:w="120" w:type="dxa"/>
              <w:bottom w:w="80" w:type="dxa"/>
              <w:end w:w="120" w:type="dxa"/>
            </w:tcMar>
            <w:vAlign w:val="center"/>
          </w:tcPr>
          <w:p>
            <w:pPr>
              <w:jc w:val="left"/>
            </w:pPr>
            <w:r>
              <w:rPr>
                <w:rFonts w:ascii="Calibri" w:hAnsi="Calibri"/>
                <w:color w:val="12233F"/>
                <w:sz w:val="17"/>
              </w:rPr>
              <w:t>Supervisory Control and Data Acquisition</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SSO</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Sanitary Sewer Overflow</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SSOAP</w:t>
            </w:r>
          </w:p>
        </w:tc>
        <w:tc>
          <w:tcPr>
            <w:tcW w:type="dxa" w:w="7862"/>
            <w:tcMar>
              <w:top w:w="80" w:type="dxa"/>
              <w:start w:w="120" w:type="dxa"/>
              <w:bottom w:w="80" w:type="dxa"/>
              <w:end w:w="120" w:type="dxa"/>
            </w:tcMar>
            <w:vAlign w:val="center"/>
          </w:tcPr>
          <w:p>
            <w:pPr>
              <w:jc w:val="left"/>
            </w:pPr>
            <w:r>
              <w:rPr>
                <w:rFonts w:ascii="Calibri" w:hAnsi="Calibri"/>
                <w:color w:val="12233F"/>
                <w:sz w:val="17"/>
              </w:rPr>
              <w:t>Sanitary Sewer Overflow Analysis and Planning</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SWMM</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Storm Water Management Model</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TDH</w:t>
            </w:r>
          </w:p>
        </w:tc>
        <w:tc>
          <w:tcPr>
            <w:tcW w:type="dxa" w:w="7862"/>
            <w:tcMar>
              <w:top w:w="80" w:type="dxa"/>
              <w:start w:w="120" w:type="dxa"/>
              <w:bottom w:w="80" w:type="dxa"/>
              <w:end w:w="120" w:type="dxa"/>
            </w:tcMar>
            <w:vAlign w:val="center"/>
          </w:tcPr>
          <w:p>
            <w:pPr>
              <w:jc w:val="left"/>
            </w:pPr>
            <w:r>
              <w:rPr>
                <w:rFonts w:ascii="Calibri" w:hAnsi="Calibri"/>
                <w:color w:val="12233F"/>
                <w:sz w:val="17"/>
              </w:rPr>
              <w:t>Total Dynamic Head</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USACE</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United States Army Corps of Engineers</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VFD</w:t>
            </w:r>
          </w:p>
        </w:tc>
        <w:tc>
          <w:tcPr>
            <w:tcW w:type="dxa" w:w="7862"/>
            <w:tcMar>
              <w:top w:w="80" w:type="dxa"/>
              <w:start w:w="120" w:type="dxa"/>
              <w:bottom w:w="80" w:type="dxa"/>
              <w:end w:w="120" w:type="dxa"/>
            </w:tcMar>
            <w:vAlign w:val="center"/>
          </w:tcPr>
          <w:p>
            <w:pPr>
              <w:jc w:val="left"/>
            </w:pPr>
            <w:r>
              <w:rPr>
                <w:rFonts w:ascii="Calibri" w:hAnsi="Calibri"/>
                <w:color w:val="12233F"/>
                <w:sz w:val="17"/>
              </w:rPr>
              <w:t>Variable Frequency Drive</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WASD</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Miami-Dade Water and Sewer Department</w:t>
            </w:r>
          </w:p>
        </w:tc>
      </w:tr>
      <w:tr>
        <w:tc>
          <w:tcPr>
            <w:tcW w:type="dxa" w:w="1498"/>
            <w:tcMar>
              <w:top w:w="80" w:type="dxa"/>
              <w:start w:w="120" w:type="dxa"/>
              <w:bottom w:w="80" w:type="dxa"/>
              <w:end w:w="120" w:type="dxa"/>
            </w:tcMar>
            <w:vAlign w:val="center"/>
          </w:tcPr>
          <w:p>
            <w:pPr>
              <w:jc w:val="left"/>
            </w:pPr>
            <w:r>
              <w:rPr>
                <w:rFonts w:ascii="Calibri" w:hAnsi="Calibri"/>
                <w:color w:val="12233F"/>
                <w:sz w:val="17"/>
              </w:rPr>
              <w:t>WCTS</w:t>
            </w:r>
          </w:p>
        </w:tc>
        <w:tc>
          <w:tcPr>
            <w:tcW w:type="dxa" w:w="7862"/>
            <w:tcMar>
              <w:top w:w="80" w:type="dxa"/>
              <w:start w:w="120" w:type="dxa"/>
              <w:bottom w:w="80" w:type="dxa"/>
              <w:end w:w="120" w:type="dxa"/>
            </w:tcMar>
            <w:vAlign w:val="center"/>
          </w:tcPr>
          <w:p>
            <w:pPr>
              <w:jc w:val="left"/>
            </w:pPr>
            <w:r>
              <w:rPr>
                <w:rFonts w:ascii="Calibri" w:hAnsi="Calibri"/>
                <w:color w:val="12233F"/>
                <w:sz w:val="17"/>
              </w:rPr>
              <w:t>Wastewater Collection and Transmission System</w:t>
            </w:r>
          </w:p>
        </w:tc>
      </w:tr>
      <w:tr>
        <w:tc>
          <w:tcPr>
            <w:tcW w:type="dxa" w:w="1498"/>
            <w:shd w:fill="F4F7F9"/>
            <w:tcMar>
              <w:top w:w="80" w:type="dxa"/>
              <w:start w:w="120" w:type="dxa"/>
              <w:bottom w:w="80" w:type="dxa"/>
              <w:end w:w="120" w:type="dxa"/>
            </w:tcMar>
            <w:vAlign w:val="center"/>
          </w:tcPr>
          <w:p>
            <w:pPr>
              <w:jc w:val="left"/>
            </w:pPr>
            <w:r>
              <w:rPr>
                <w:rFonts w:ascii="Calibri" w:hAnsi="Calibri"/>
                <w:color w:val="12233F"/>
                <w:sz w:val="17"/>
              </w:rPr>
              <w:t>WWTP</w:t>
            </w:r>
          </w:p>
        </w:tc>
        <w:tc>
          <w:tcPr>
            <w:tcW w:type="dxa" w:w="7862"/>
            <w:shd w:fill="F4F7F9"/>
            <w:tcMar>
              <w:top w:w="80" w:type="dxa"/>
              <w:start w:w="120" w:type="dxa"/>
              <w:bottom w:w="80" w:type="dxa"/>
              <w:end w:w="120" w:type="dxa"/>
            </w:tcMar>
            <w:vAlign w:val="center"/>
          </w:tcPr>
          <w:p>
            <w:pPr>
              <w:jc w:val="left"/>
            </w:pPr>
            <w:r>
              <w:rPr>
                <w:rFonts w:ascii="Calibri" w:hAnsi="Calibri"/>
                <w:color w:val="12233F"/>
                <w:sz w:val="17"/>
              </w:rPr>
              <w:t>Wastewater Treatment Plant</w:t>
            </w:r>
          </w:p>
        </w:tc>
      </w:tr>
    </w:tbl>
    <w:p>
      <w:pPr>
        <w:spacing w:after="20"/>
      </w:pPr>
    </w:p>
    <w:p>
      <w:pPr>
        <w:pStyle w:val="Heading1"/>
        <w:keepNext/>
      </w:pPr>
      <w:r>
        <w:t>13. Glossary</w:t>
      </w:r>
    </w:p>
    <w:p>
      <w:r>
        <w:rPr>
          <w:rFonts w:ascii="Calibri" w:hAnsi="Calibri"/>
          <w:b/>
          <w:color w:val="12233F"/>
          <w:sz w:val="21"/>
        </w:rPr>
        <w:t>Antecedent dry period:</w:t>
      </w:r>
      <w:r>
        <w:rPr>
          <w:rFonts w:ascii="Calibri" w:hAnsi="Calibri"/>
          <w:color w:val="12233F"/>
          <w:sz w:val="21"/>
        </w:rPr>
        <w:t xml:space="preserve"> Time since a defined prior rainfall threshold or event.</w:t>
      </w:r>
    </w:p>
    <w:p>
      <w:r>
        <w:rPr>
          <w:rFonts w:ascii="Calibri" w:hAnsi="Calibri"/>
          <w:b/>
          <w:color w:val="12233F"/>
          <w:sz w:val="21"/>
        </w:rPr>
        <w:t>Antecedent moisture:</w:t>
      </w:r>
      <w:r>
        <w:rPr>
          <w:rFonts w:ascii="Calibri" w:hAnsi="Calibri"/>
          <w:color w:val="12233F"/>
          <w:sz w:val="21"/>
        </w:rPr>
        <w:t xml:space="preserve"> Catchment wetness before an event, which can affect rainfall response.</w:t>
      </w:r>
    </w:p>
    <w:p>
      <w:r>
        <w:rPr>
          <w:rFonts w:ascii="Calibri" w:hAnsi="Calibri"/>
          <w:b/>
          <w:color w:val="12233F"/>
          <w:sz w:val="21"/>
        </w:rPr>
        <w:t>Base wastewater flow:</w:t>
      </w:r>
      <w:r>
        <w:rPr>
          <w:rFonts w:ascii="Calibri" w:hAnsi="Calibri"/>
          <w:color w:val="12233F"/>
          <w:sz w:val="21"/>
        </w:rPr>
        <w:t xml:space="preserve"> Expected sanitary and process wastewater from connected users before GWI and RDII.</w:t>
      </w:r>
    </w:p>
    <w:p>
      <w:r>
        <w:rPr>
          <w:rFonts w:ascii="Calibri" w:hAnsi="Calibri"/>
          <w:b/>
          <w:color w:val="12233F"/>
          <w:sz w:val="21"/>
        </w:rPr>
        <w:t>Capacity margin:</w:t>
      </w:r>
      <w:r>
        <w:rPr>
          <w:rFonts w:ascii="Calibri" w:hAnsi="Calibri"/>
          <w:color w:val="12233F"/>
          <w:sz w:val="21"/>
        </w:rPr>
        <w:t xml:space="preserve"> Available capacity minus inflow, with the capacity basis explicitly named.</w:t>
      </w:r>
    </w:p>
    <w:p>
      <w:r>
        <w:rPr>
          <w:rFonts w:ascii="Calibri" w:hAnsi="Calibri"/>
          <w:b/>
          <w:color w:val="12233F"/>
          <w:sz w:val="21"/>
        </w:rPr>
        <w:t>Capture fraction:</w:t>
      </w:r>
      <w:r>
        <w:rPr>
          <w:rFonts w:ascii="Calibri" w:hAnsi="Calibri"/>
          <w:color w:val="12233F"/>
          <w:sz w:val="21"/>
        </w:rPr>
        <w:t xml:space="preserve"> RDII volume divided by rainfall volume over the declared tributary area.</w:t>
      </w:r>
    </w:p>
    <w:p>
      <w:r>
        <w:rPr>
          <w:rFonts w:ascii="Calibri" w:hAnsi="Calibri"/>
          <w:b/>
          <w:color w:val="12233F"/>
          <w:sz w:val="21"/>
        </w:rPr>
        <w:t>Colebrook-White equation:</w:t>
      </w:r>
      <w:r>
        <w:rPr>
          <w:rFonts w:ascii="Calibri" w:hAnsi="Calibri"/>
          <w:color w:val="12233F"/>
          <w:sz w:val="21"/>
        </w:rPr>
        <w:t xml:space="preserve"> Implicit relationship for turbulent Darcy friction factor as a function of Reynolds number and relative roughness.</w:t>
      </w:r>
    </w:p>
    <w:p>
      <w:r>
        <w:rPr>
          <w:rFonts w:ascii="Calibri" w:hAnsi="Calibri"/>
          <w:b/>
          <w:color w:val="12233F"/>
          <w:sz w:val="21"/>
        </w:rPr>
        <w:t>Control volume:</w:t>
      </w:r>
      <w:r>
        <w:rPr>
          <w:rFonts w:ascii="Calibri" w:hAnsi="Calibri"/>
          <w:color w:val="12233F"/>
          <w:sz w:val="21"/>
        </w:rPr>
        <w:t xml:space="preserve"> Declared physical boundary across which flow and storage are balanced.</w:t>
      </w:r>
    </w:p>
    <w:p>
      <w:r>
        <w:rPr>
          <w:rFonts w:ascii="Calibri" w:hAnsi="Calibri"/>
          <w:b/>
          <w:color w:val="12233F"/>
          <w:sz w:val="21"/>
        </w:rPr>
        <w:t>Darcy friction factor:</w:t>
      </w:r>
      <w:r>
        <w:rPr>
          <w:rFonts w:ascii="Calibri" w:hAnsi="Calibri"/>
          <w:color w:val="12233F"/>
          <w:sz w:val="21"/>
        </w:rPr>
        <w:t xml:space="preserve"> Dimensionless factor used in Darcy-Weisbach head-loss calculation.</w:t>
      </w:r>
    </w:p>
    <w:p>
      <w:r>
        <w:rPr>
          <w:rFonts w:ascii="Calibri" w:hAnsi="Calibri"/>
          <w:b/>
          <w:color w:val="12233F"/>
          <w:sz w:val="21"/>
        </w:rPr>
        <w:t>Dry-weather flow:</w:t>
      </w:r>
      <w:r>
        <w:rPr>
          <w:rFonts w:ascii="Calibri" w:hAnsi="Calibri"/>
          <w:color w:val="12233F"/>
          <w:sz w:val="21"/>
        </w:rPr>
        <w:t xml:space="preserve"> Flow expected or observed under accepted dry-weather conditions, commonly BWF plus GWI.</w:t>
      </w:r>
    </w:p>
    <w:p>
      <w:r>
        <w:rPr>
          <w:rFonts w:ascii="Calibri" w:hAnsi="Calibri"/>
          <w:b/>
          <w:color w:val="12233F"/>
          <w:sz w:val="21"/>
        </w:rPr>
        <w:t>Event window:</w:t>
      </w:r>
      <w:r>
        <w:rPr>
          <w:rFonts w:ascii="Calibri" w:hAnsi="Calibri"/>
          <w:color w:val="12233F"/>
          <w:sz w:val="21"/>
        </w:rPr>
        <w:t xml:space="preserve"> Start and end timestamps over which rainfall and sewer response are analyzed.</w:t>
      </w:r>
    </w:p>
    <w:p>
      <w:r>
        <w:rPr>
          <w:rFonts w:ascii="Calibri" w:hAnsi="Calibri"/>
          <w:b/>
          <w:color w:val="12233F"/>
          <w:sz w:val="21"/>
        </w:rPr>
        <w:t>Firm capacity:</w:t>
      </w:r>
      <w:r>
        <w:rPr>
          <w:rFonts w:ascii="Calibri" w:hAnsi="Calibri"/>
          <w:color w:val="12233F"/>
          <w:sz w:val="21"/>
        </w:rPr>
        <w:t xml:space="preserve"> Capacity available with the defined largest or required unit unavailable. The definition must state governing assumptions.</w:t>
      </w:r>
    </w:p>
    <w:p>
      <w:r>
        <w:rPr>
          <w:rFonts w:ascii="Calibri" w:hAnsi="Calibri"/>
          <w:b/>
          <w:color w:val="12233F"/>
          <w:sz w:val="21"/>
        </w:rPr>
        <w:t>Force main:</w:t>
      </w:r>
      <w:r>
        <w:rPr>
          <w:rFonts w:ascii="Calibri" w:hAnsi="Calibri"/>
          <w:color w:val="12233F"/>
          <w:sz w:val="21"/>
        </w:rPr>
        <w:t xml:space="preserve"> Pressurized pipeline conveying pump discharge.</w:t>
      </w:r>
    </w:p>
    <w:p>
      <w:r>
        <w:rPr>
          <w:rFonts w:ascii="Calibri" w:hAnsi="Calibri"/>
          <w:b/>
          <w:color w:val="12233F"/>
          <w:sz w:val="21"/>
        </w:rPr>
        <w:t>Groundwater infiltration:</w:t>
      </w:r>
      <w:r>
        <w:rPr>
          <w:rFonts w:ascii="Calibri" w:hAnsi="Calibri"/>
          <w:color w:val="12233F"/>
          <w:sz w:val="21"/>
        </w:rPr>
        <w:t xml:space="preserve"> Groundwater entering the sanitary collection system through defects or openings.</w:t>
      </w:r>
    </w:p>
    <w:p>
      <w:r>
        <w:rPr>
          <w:rFonts w:ascii="Calibri" w:hAnsi="Calibri"/>
          <w:b/>
          <w:color w:val="12233F"/>
          <w:sz w:val="21"/>
        </w:rPr>
        <w:t>Inch-diameter-mile:</w:t>
      </w:r>
      <w:r>
        <w:rPr>
          <w:rFonts w:ascii="Calibri" w:hAnsi="Calibri"/>
          <w:color w:val="12233F"/>
          <w:sz w:val="21"/>
        </w:rPr>
        <w:t xml:space="preserve"> Sum of pipe diameter in inches multiplied by segment length in miles.</w:t>
      </w:r>
    </w:p>
    <w:p>
      <w:r>
        <w:rPr>
          <w:rFonts w:ascii="Calibri" w:hAnsi="Calibri"/>
          <w:b/>
          <w:color w:val="12233F"/>
          <w:sz w:val="21"/>
        </w:rPr>
        <w:t>Infiltration:</w:t>
      </w:r>
      <w:r>
        <w:rPr>
          <w:rFonts w:ascii="Calibri" w:hAnsi="Calibri"/>
          <w:color w:val="12233F"/>
          <w:sz w:val="21"/>
        </w:rPr>
        <w:t xml:space="preserve"> Water entering through defects or openings, commonly influenced by groundwater or soil moisture.</w:t>
      </w:r>
    </w:p>
    <w:p>
      <w:r>
        <w:rPr>
          <w:rFonts w:ascii="Calibri" w:hAnsi="Calibri"/>
          <w:b/>
          <w:color w:val="12233F"/>
          <w:sz w:val="21"/>
        </w:rPr>
        <w:t>Inflow:</w:t>
      </w:r>
      <w:r>
        <w:rPr>
          <w:rFonts w:ascii="Calibri" w:hAnsi="Calibri"/>
          <w:color w:val="12233F"/>
          <w:sz w:val="21"/>
        </w:rPr>
        <w:t xml:space="preserve"> Water entering more directly through drains, cross-connections, openings, or similar rapid pathways.</w:t>
      </w:r>
    </w:p>
    <w:p>
      <w:r>
        <w:rPr>
          <w:rFonts w:ascii="Calibri" w:hAnsi="Calibri"/>
          <w:b/>
          <w:color w:val="12233F"/>
          <w:sz w:val="21"/>
        </w:rPr>
        <w:t>K parameter:</w:t>
      </w:r>
      <w:r>
        <w:rPr>
          <w:rFonts w:ascii="Calibri" w:hAnsi="Calibri"/>
          <w:color w:val="12233F"/>
          <w:sz w:val="21"/>
        </w:rPr>
        <w:t xml:space="preserve"> RTK ratio of recession time to time to peak.</w:t>
      </w:r>
    </w:p>
    <w:p>
      <w:r>
        <w:rPr>
          <w:rFonts w:ascii="Calibri" w:hAnsi="Calibri"/>
          <w:b/>
          <w:color w:val="12233F"/>
          <w:sz w:val="21"/>
        </w:rPr>
        <w:t>Mass balance:</w:t>
      </w:r>
      <w:r>
        <w:rPr>
          <w:rFonts w:ascii="Calibri" w:hAnsi="Calibri"/>
          <w:color w:val="12233F"/>
          <w:sz w:val="21"/>
        </w:rPr>
        <w:t xml:space="preserve"> Accounting in which change in storage equals inflow minus outflow over the control volume.</w:t>
      </w:r>
    </w:p>
    <w:p>
      <w:r>
        <w:rPr>
          <w:rFonts w:ascii="Calibri" w:hAnsi="Calibri"/>
          <w:b/>
          <w:color w:val="12233F"/>
          <w:sz w:val="21"/>
        </w:rPr>
        <w:t>Method applicability:</w:t>
      </w:r>
      <w:r>
        <w:rPr>
          <w:rFonts w:ascii="Calibri" w:hAnsi="Calibri"/>
          <w:color w:val="12233F"/>
          <w:sz w:val="21"/>
        </w:rPr>
        <w:t xml:space="preserve"> Conditions under which a formula or model is suitable for the intended data and decision.</w:t>
      </w:r>
    </w:p>
    <w:p>
      <w:r>
        <w:rPr>
          <w:rFonts w:ascii="Calibri" w:hAnsi="Calibri"/>
          <w:b/>
          <w:color w:val="12233F"/>
          <w:sz w:val="21"/>
        </w:rPr>
        <w:t>Minor loss:</w:t>
      </w:r>
      <w:r>
        <w:rPr>
          <w:rFonts w:ascii="Calibri" w:hAnsi="Calibri"/>
          <w:color w:val="12233F"/>
          <w:sz w:val="21"/>
        </w:rPr>
        <w:t xml:space="preserve"> Local head loss associated with fittings, valves, entrances, exits, and geometry, often represented by K v^2/(2g).</w:t>
      </w:r>
    </w:p>
    <w:p>
      <w:r>
        <w:rPr>
          <w:rFonts w:ascii="Calibri" w:hAnsi="Calibri"/>
          <w:b/>
          <w:color w:val="12233F"/>
          <w:sz w:val="21"/>
        </w:rPr>
        <w:t>NAPOT:</w:t>
      </w:r>
      <w:r>
        <w:rPr>
          <w:rFonts w:ascii="Calibri" w:hAnsi="Calibri"/>
          <w:color w:val="12233F"/>
          <w:sz w:val="21"/>
        </w:rPr>
        <w:t xml:space="preserve"> Miami-Dade consent-decree pump operating-time metric with source-specific averaging, denominator, and power-equivalence rules.</w:t>
      </w:r>
    </w:p>
    <w:p>
      <w:r>
        <w:rPr>
          <w:rFonts w:ascii="Calibri" w:hAnsi="Calibri"/>
          <w:b/>
          <w:color w:val="12233F"/>
          <w:sz w:val="21"/>
        </w:rPr>
        <w:t>Operating point:</w:t>
      </w:r>
      <w:r>
        <w:rPr>
          <w:rFonts w:ascii="Calibri" w:hAnsi="Calibri"/>
          <w:color w:val="12233F"/>
          <w:sz w:val="21"/>
        </w:rPr>
        <w:t xml:space="preserve"> Flow and head where the pump curve intersects the system curve.</w:t>
      </w:r>
    </w:p>
    <w:p>
      <w:r>
        <w:rPr>
          <w:rFonts w:ascii="Calibri" w:hAnsi="Calibri"/>
          <w:b/>
          <w:color w:val="12233F"/>
          <w:sz w:val="21"/>
        </w:rPr>
        <w:t>Peak wet-weather flow:</w:t>
      </w:r>
      <w:r>
        <w:rPr>
          <w:rFonts w:ascii="Calibri" w:hAnsi="Calibri"/>
          <w:color w:val="12233F"/>
          <w:sz w:val="21"/>
        </w:rPr>
        <w:t xml:space="preserve"> Maximum accepted flow during a defined wet-weather analysis window.</w:t>
      </w:r>
    </w:p>
    <w:p>
      <w:r>
        <w:rPr>
          <w:rFonts w:ascii="Calibri" w:hAnsi="Calibri"/>
          <w:b/>
          <w:color w:val="12233F"/>
          <w:sz w:val="21"/>
        </w:rPr>
        <w:t>Pump curve:</w:t>
      </w:r>
      <w:r>
        <w:rPr>
          <w:rFonts w:ascii="Calibri" w:hAnsi="Calibri"/>
          <w:color w:val="12233F"/>
          <w:sz w:val="21"/>
        </w:rPr>
        <w:t xml:space="preserve"> Relationship among pump flow, head, efficiency, and power at defined speed and impeller conditions.</w:t>
      </w:r>
    </w:p>
    <w:p>
      <w:r>
        <w:rPr>
          <w:rFonts w:ascii="Calibri" w:hAnsi="Calibri"/>
          <w:b/>
          <w:color w:val="12233F"/>
          <w:sz w:val="21"/>
        </w:rPr>
        <w:t>R parameter:</w:t>
      </w:r>
      <w:r>
        <w:rPr>
          <w:rFonts w:ascii="Calibri" w:hAnsi="Calibri"/>
          <w:color w:val="12233F"/>
          <w:sz w:val="21"/>
        </w:rPr>
        <w:t xml:space="preserve"> RTK fraction of rainfall volume represented as RDII for one response component.</w:t>
      </w:r>
    </w:p>
    <w:p>
      <w:r>
        <w:rPr>
          <w:rFonts w:ascii="Calibri" w:hAnsi="Calibri"/>
          <w:b/>
          <w:color w:val="12233F"/>
          <w:sz w:val="21"/>
        </w:rPr>
        <w:t>Rainfall-derived infiltration and inflow:</w:t>
      </w:r>
      <w:r>
        <w:rPr>
          <w:rFonts w:ascii="Calibri" w:hAnsi="Calibri"/>
          <w:color w:val="12233F"/>
          <w:sz w:val="21"/>
        </w:rPr>
        <w:t xml:space="preserve"> Wet-weather sanitary flow attributed to rainfall after expected dry-weather flow is removed.</w:t>
      </w:r>
    </w:p>
    <w:p>
      <w:r>
        <w:rPr>
          <w:rFonts w:ascii="Calibri" w:hAnsi="Calibri"/>
          <w:b/>
          <w:color w:val="12233F"/>
          <w:sz w:val="21"/>
        </w:rPr>
        <w:t>Reynolds number:</w:t>
      </w:r>
      <w:r>
        <w:rPr>
          <w:rFonts w:ascii="Calibri" w:hAnsi="Calibri"/>
          <w:color w:val="12233F"/>
          <w:sz w:val="21"/>
        </w:rPr>
        <w:t xml:space="preserve"> Dimensionless ratio characterizing inertial and viscous effects in flow.</w:t>
      </w:r>
    </w:p>
    <w:p>
      <w:r>
        <w:rPr>
          <w:rFonts w:ascii="Calibri" w:hAnsi="Calibri"/>
          <w:b/>
          <w:color w:val="12233F"/>
          <w:sz w:val="21"/>
        </w:rPr>
        <w:t>Rule pack:</w:t>
      </w:r>
      <w:r>
        <w:rPr>
          <w:rFonts w:ascii="Calibri" w:hAnsi="Calibri"/>
          <w:color w:val="12233F"/>
          <w:sz w:val="21"/>
        </w:rPr>
        <w:t xml:space="preserve"> Versioned set of jurisdiction-specific requirements kept separate from universal formulas.</w:t>
      </w:r>
    </w:p>
    <w:p>
      <w:r>
        <w:rPr>
          <w:rFonts w:ascii="Calibri" w:hAnsi="Calibri"/>
          <w:b/>
          <w:color w:val="12233F"/>
          <w:sz w:val="21"/>
        </w:rPr>
        <w:t>Sensitivity analysis:</w:t>
      </w:r>
      <w:r>
        <w:rPr>
          <w:rFonts w:ascii="Calibri" w:hAnsi="Calibri"/>
          <w:color w:val="12233F"/>
          <w:sz w:val="21"/>
        </w:rPr>
        <w:t xml:space="preserve"> Evaluation of how output changes when inputs or assumptions change.</w:t>
      </w:r>
    </w:p>
    <w:p>
      <w:r>
        <w:rPr>
          <w:rFonts w:ascii="Calibri" w:hAnsi="Calibri"/>
          <w:b/>
          <w:color w:val="12233F"/>
          <w:sz w:val="21"/>
        </w:rPr>
        <w:t>Static head:</w:t>
      </w:r>
      <w:r>
        <w:rPr>
          <w:rFonts w:ascii="Calibri" w:hAnsi="Calibri"/>
          <w:color w:val="12233F"/>
          <w:sz w:val="21"/>
        </w:rPr>
        <w:t xml:space="preserve"> Elevation or hydraulic-grade difference independent of flow-dependent losses.</w:t>
      </w:r>
    </w:p>
    <w:p>
      <w:r>
        <w:rPr>
          <w:rFonts w:ascii="Calibri" w:hAnsi="Calibri"/>
          <w:b/>
          <w:color w:val="12233F"/>
          <w:sz w:val="21"/>
        </w:rPr>
        <w:t>System curve:</w:t>
      </w:r>
      <w:r>
        <w:rPr>
          <w:rFonts w:ascii="Calibri" w:hAnsi="Calibri"/>
          <w:color w:val="12233F"/>
          <w:sz w:val="21"/>
        </w:rPr>
        <w:t xml:space="preserve"> Required total head as a function of flow for a stated system configuration.</w:t>
      </w:r>
    </w:p>
    <w:p>
      <w:r>
        <w:rPr>
          <w:rFonts w:ascii="Calibri" w:hAnsi="Calibri"/>
          <w:b/>
          <w:color w:val="12233F"/>
          <w:sz w:val="21"/>
        </w:rPr>
        <w:t>T parameter:</w:t>
      </w:r>
      <w:r>
        <w:rPr>
          <w:rFonts w:ascii="Calibri" w:hAnsi="Calibri"/>
          <w:color w:val="12233F"/>
          <w:sz w:val="21"/>
        </w:rPr>
        <w:t xml:space="preserve"> RTK time from rainfall-increment onset to a component hydrograph peak.</w:t>
      </w:r>
    </w:p>
    <w:p>
      <w:r>
        <w:rPr>
          <w:rFonts w:ascii="Calibri" w:hAnsi="Calibri"/>
          <w:b/>
          <w:color w:val="12233F"/>
          <w:sz w:val="21"/>
        </w:rPr>
        <w:t>Total dynamic head:</w:t>
      </w:r>
      <w:r>
        <w:rPr>
          <w:rFonts w:ascii="Calibri" w:hAnsi="Calibri"/>
          <w:color w:val="12233F"/>
          <w:sz w:val="21"/>
        </w:rPr>
        <w:t xml:space="preserve"> Energy per unit weight the pump must supply, expressed as head.</w:t>
      </w:r>
    </w:p>
    <w:p>
      <w:r>
        <w:rPr>
          <w:rFonts w:ascii="Calibri" w:hAnsi="Calibri"/>
          <w:b/>
          <w:color w:val="12233F"/>
          <w:sz w:val="21"/>
        </w:rPr>
        <w:t>Uncertainty:</w:t>
      </w:r>
      <w:r>
        <w:rPr>
          <w:rFonts w:ascii="Calibri" w:hAnsi="Calibri"/>
          <w:color w:val="12233F"/>
          <w:sz w:val="21"/>
        </w:rPr>
        <w:t xml:space="preserve"> Quantified or structured lack of certainty associated with inputs, methods, parameters, scenarios, and outputs.</w:t>
      </w:r>
    </w:p>
    <w:p>
      <w:r>
        <w:rPr>
          <w:rFonts w:ascii="Calibri" w:hAnsi="Calibri"/>
          <w:b/>
          <w:color w:val="12233F"/>
          <w:sz w:val="21"/>
        </w:rPr>
        <w:t>Usable storage:</w:t>
      </w:r>
      <w:r>
        <w:rPr>
          <w:rFonts w:ascii="Calibri" w:hAnsi="Calibri"/>
          <w:color w:val="12233F"/>
          <w:sz w:val="21"/>
        </w:rPr>
        <w:t xml:space="preserve"> Volume available between two explicitly defined hydraulic levels for the intended contingency.</w:t>
      </w:r>
    </w:p>
    <w:p>
      <w:r>
        <w:rPr>
          <w:rFonts w:ascii="Calibri" w:hAnsi="Calibri"/>
          <w:b/>
          <w:color w:val="12233F"/>
          <w:sz w:val="21"/>
        </w:rPr>
        <w:t>Wet well:</w:t>
      </w:r>
      <w:r>
        <w:rPr>
          <w:rFonts w:ascii="Calibri" w:hAnsi="Calibri"/>
          <w:color w:val="12233F"/>
          <w:sz w:val="21"/>
        </w:rPr>
        <w:t xml:space="preserve"> Pump-station storage structure from which wastewater pumps take suction.</w:t>
      </w:r>
    </w:p>
    <w:p>
      <w:r>
        <w:br w:type="page"/>
      </w:r>
    </w:p>
    <w:p>
      <w:pPr>
        <w:pStyle w:val="Heading1"/>
        <w:keepNext/>
      </w:pPr>
      <w:r>
        <w:t>14. References</w:t>
      </w:r>
    </w:p>
    <w:p>
      <w:r>
        <w:rPr>
          <w:rFonts w:ascii="Calibri" w:hAnsi="Calibri"/>
          <w:color w:val="12233F"/>
          <w:sz w:val="21"/>
        </w:rPr>
        <w:t xml:space="preserve">[R1] U.S. Environmental Protection Agency. </w:t>
      </w:r>
      <w:r>
        <w:rPr>
          <w:rFonts w:ascii="Calibri" w:hAnsi="Calibri"/>
          <w:i/>
          <w:color w:val="12233F"/>
          <w:sz w:val="21"/>
        </w:rPr>
        <w:t>Storm Water Management Model User's Manual Version 5.2</w:t>
      </w:r>
      <w:r>
        <w:rPr>
          <w:rFonts w:ascii="Calibri" w:hAnsi="Calibri"/>
          <w:color w:val="12233F"/>
          <w:sz w:val="21"/>
        </w:rPr>
        <w:t xml:space="preserve">. EPA-600/R-22/030, 2022. Printed page 67 and printed pages 321 to 323, 397 to 398. Preserved copy: </w:t>
      </w:r>
      <w:r>
        <w:rPr>
          <w:rFonts w:ascii="Consolas" w:hAnsi="Consolas"/>
          <w:color w:val="176B87"/>
          <w:sz w:val="20"/>
        </w:rPr>
        <w:t>research/sources/swmm-users-manual-version-5.2.pdf</w:t>
      </w:r>
      <w:r>
        <w:rPr>
          <w:rFonts w:ascii="Calibri" w:hAnsi="Calibri"/>
          <w:color w:val="12233F"/>
          <w:sz w:val="21"/>
        </w:rPr>
        <w:t>.</w:t>
      </w:r>
    </w:p>
    <w:p>
      <w:r>
        <w:rPr>
          <w:rFonts w:ascii="Calibri" w:hAnsi="Calibri"/>
          <w:color w:val="12233F"/>
          <w:sz w:val="21"/>
        </w:rPr>
        <w:t xml:space="preserve">[R2] U.S. Environmental Protection Agency. </w:t>
      </w:r>
      <w:r>
        <w:rPr>
          <w:rFonts w:ascii="Calibri" w:hAnsi="Calibri"/>
          <w:i/>
          <w:color w:val="12233F"/>
          <w:sz w:val="21"/>
        </w:rPr>
        <w:t>Computer Tools for Sanitary Sewer System Capacity Analysis and Planning</w:t>
      </w:r>
      <w:r>
        <w:rPr>
          <w:rFonts w:ascii="Calibri" w:hAnsi="Calibri"/>
          <w:color w:val="12233F"/>
          <w:sz w:val="21"/>
        </w:rPr>
        <w:t xml:space="preserve">. 2007. Printed pages 2-14 to 2-16 and 5-34 onward. Preserved copy: </w:t>
      </w:r>
      <w:r>
        <w:rPr>
          <w:rFonts w:ascii="Consolas" w:hAnsi="Consolas"/>
          <w:color w:val="176B87"/>
          <w:sz w:val="20"/>
        </w:rPr>
        <w:t>research/sources/P1008BBP.pdf</w:t>
      </w:r>
      <w:r>
        <w:rPr>
          <w:rFonts w:ascii="Calibri" w:hAnsi="Calibri"/>
          <w:color w:val="12233F"/>
          <w:sz w:val="21"/>
        </w:rPr>
        <w:t>.</w:t>
      </w:r>
    </w:p>
    <w:p>
      <w:r>
        <w:rPr>
          <w:rFonts w:ascii="Calibri" w:hAnsi="Calibri"/>
          <w:color w:val="12233F"/>
          <w:sz w:val="21"/>
        </w:rPr>
        <w:t xml:space="preserve">[R3] U.S. Environmental Protection Agency. </w:t>
      </w:r>
      <w:r>
        <w:rPr>
          <w:rFonts w:ascii="Calibri" w:hAnsi="Calibri"/>
          <w:i/>
          <w:color w:val="12233F"/>
          <w:sz w:val="21"/>
        </w:rPr>
        <w:t>Review of Sewer Design Criteria and RDII Prediction Methods</w:t>
      </w:r>
      <w:r>
        <w:rPr>
          <w:rFonts w:ascii="Calibri" w:hAnsi="Calibri"/>
          <w:color w:val="12233F"/>
          <w:sz w:val="21"/>
        </w:rPr>
        <w:t xml:space="preserve">. EPA-600/R-08/010, 2008. Abstract and printed pages 2-6 to 2-8, 4-15 to 4-18. Preserved copy: </w:t>
      </w:r>
      <w:r>
        <w:rPr>
          <w:rFonts w:ascii="Consolas" w:hAnsi="Consolas"/>
          <w:color w:val="176B87"/>
          <w:sz w:val="20"/>
        </w:rPr>
        <w:t>research/sources/P1008BP3.pdf</w:t>
      </w:r>
      <w:r>
        <w:rPr>
          <w:rFonts w:ascii="Calibri" w:hAnsi="Calibri"/>
          <w:color w:val="12233F"/>
          <w:sz w:val="21"/>
        </w:rPr>
        <w:t>.</w:t>
      </w:r>
    </w:p>
    <w:p>
      <w:r>
        <w:rPr>
          <w:rFonts w:ascii="Calibri" w:hAnsi="Calibri"/>
          <w:color w:val="12233F"/>
          <w:sz w:val="21"/>
        </w:rPr>
        <w:t xml:space="preserve">[R4] United States District Court for the Southern District of Florida. </w:t>
      </w:r>
      <w:r>
        <w:rPr>
          <w:rFonts w:ascii="Calibri" w:hAnsi="Calibri"/>
          <w:i/>
          <w:color w:val="12233F"/>
          <w:sz w:val="21"/>
        </w:rPr>
        <w:t>United States and State of Florida v. Miami-Dade County Consent Decree</w:t>
      </w:r>
      <w:r>
        <w:rPr>
          <w:rFonts w:ascii="Calibri" w:hAnsi="Calibri"/>
          <w:color w:val="12233F"/>
          <w:sz w:val="21"/>
        </w:rPr>
        <w:t xml:space="preserve">, Case 1:12-cv-24400-FAM, 2013. Document 25-1, Document 25-2 Appendix A. Preserved copy: </w:t>
      </w:r>
      <w:r>
        <w:rPr>
          <w:rFonts w:ascii="Consolas" w:hAnsi="Consolas"/>
          <w:color w:val="176B87"/>
          <w:sz w:val="20"/>
        </w:rPr>
        <w:t>research/sources/consent-decree-signed.pdf</w:t>
      </w:r>
      <w:r>
        <w:rPr>
          <w:rFonts w:ascii="Calibri" w:hAnsi="Calibri"/>
          <w:color w:val="12233F"/>
          <w:sz w:val="21"/>
        </w:rPr>
        <w:t>.</w:t>
      </w:r>
    </w:p>
    <w:p>
      <w:r>
        <w:rPr>
          <w:rFonts w:ascii="Calibri" w:hAnsi="Calibri"/>
          <w:color w:val="12233F"/>
          <w:sz w:val="21"/>
        </w:rPr>
        <w:t xml:space="preserve">[R5] U.S. Environmental Protection Agency. </w:t>
      </w:r>
      <w:r>
        <w:rPr>
          <w:rFonts w:ascii="Calibri" w:hAnsi="Calibri"/>
          <w:i/>
          <w:color w:val="12233F"/>
          <w:sz w:val="21"/>
        </w:rPr>
        <w:t>Storm Water Management Model Reference Manual Volume II - Hydraulics</w:t>
      </w:r>
      <w:r>
        <w:rPr>
          <w:rFonts w:ascii="Calibri" w:hAnsi="Calibri"/>
          <w:color w:val="12233F"/>
          <w:sz w:val="21"/>
        </w:rPr>
        <w:t xml:space="preserve">. EPA-600/R-17/111, 2017. Printed pages 136 to 141. Preserved copy: </w:t>
      </w:r>
      <w:r>
        <w:rPr>
          <w:rFonts w:ascii="Consolas" w:hAnsi="Consolas"/>
          <w:color w:val="176B87"/>
          <w:sz w:val="20"/>
        </w:rPr>
        <w:t>research/sources/swmm-reference-manual-volume-ii-hydraulics.pdf</w:t>
      </w:r>
      <w:r>
        <w:rPr>
          <w:rFonts w:ascii="Calibri" w:hAnsi="Calibri"/>
          <w:color w:val="12233F"/>
          <w:sz w:val="21"/>
        </w:rPr>
        <w:t>.</w:t>
      </w:r>
    </w:p>
    <w:p>
      <w:r>
        <w:rPr>
          <w:rFonts w:ascii="Calibri" w:hAnsi="Calibri"/>
          <w:color w:val="12233F"/>
          <w:sz w:val="21"/>
        </w:rPr>
        <w:t xml:space="preserve">[R6] U.S. Army Corps of Engineers. </w:t>
      </w:r>
      <w:r>
        <w:rPr>
          <w:rFonts w:ascii="Calibri" w:hAnsi="Calibri"/>
          <w:i/>
          <w:color w:val="12233F"/>
          <w:sz w:val="21"/>
        </w:rPr>
        <w:t>Engineering and Design: Wastewater Pumping Stations</w:t>
      </w:r>
      <w:r>
        <w:rPr>
          <w:rFonts w:ascii="Calibri" w:hAnsi="Calibri"/>
          <w:color w:val="12233F"/>
          <w:sz w:val="21"/>
        </w:rPr>
        <w:t xml:space="preserve">. EM 1110-3-173, April 9, 1984. PDF pages 18 to 23. Official locator: </w:t>
      </w:r>
      <w:r>
        <w:rPr>
          <w:rFonts w:ascii="Calibri" w:hAnsi="Calibri"/>
          <w:color w:val="176B87"/>
          <w:sz w:val="21"/>
          <w:u w:val="single"/>
        </w:rPr>
        <w:t>https://www.publications.usace.army.mil/Portals/76/Publications/EngineerManuals/EM_1110-3-173.pdf</w:t>
      </w:r>
      <w:r>
        <w:rPr>
          <w:rFonts w:ascii="Calibri" w:hAnsi="Calibri"/>
          <w:color w:val="12233F"/>
          <w:sz w:val="21"/>
        </w:rPr>
        <w:t>.</w:t>
      </w:r>
    </w:p>
    <w:p>
      <w:r>
        <w:rPr>
          <w:rFonts w:ascii="Calibri" w:hAnsi="Calibri"/>
          <w:color w:val="12233F"/>
          <w:sz w:val="21"/>
        </w:rPr>
        <w:t xml:space="preserve">[R7] U.S. Environmental Protection Agency. </w:t>
      </w:r>
      <w:r>
        <w:rPr>
          <w:rFonts w:ascii="Calibri" w:hAnsi="Calibri"/>
          <w:i/>
          <w:color w:val="12233F"/>
          <w:sz w:val="21"/>
        </w:rPr>
        <w:t>Wastewater Technology Fact Sheet: In-Plant Pump Stations</w:t>
      </w:r>
      <w:r>
        <w:rPr>
          <w:rFonts w:ascii="Calibri" w:hAnsi="Calibri"/>
          <w:color w:val="12233F"/>
          <w:sz w:val="21"/>
        </w:rPr>
        <w:t xml:space="preserve">. EPA-832-F-00-069, September 2000. Official text locator: </w:t>
      </w:r>
      <w:r>
        <w:rPr>
          <w:rFonts w:ascii="Calibri" w:hAnsi="Calibri"/>
          <w:color w:val="176B87"/>
          <w:sz w:val="21"/>
          <w:u w:val="single"/>
        </w:rPr>
        <w:t>https://nepis.epa.gov/Exe/ZyPURL.cgi?Dockey=P100IL4W.TXT</w:t>
      </w:r>
      <w:r>
        <w:rPr>
          <w:rFonts w:ascii="Calibri" w:hAnsi="Calibri"/>
          <w:color w:val="12233F"/>
          <w:sz w:val="21"/>
        </w:rPr>
        <w:t>.</w:t>
      </w:r>
    </w:p>
    <w:p>
      <w:r>
        <w:rPr>
          <w:rFonts w:ascii="Calibri" w:hAnsi="Calibri"/>
          <w:color w:val="12233F"/>
          <w:sz w:val="21"/>
        </w:rPr>
        <w:t xml:space="preserve">[R8] U.S. Environmental Protection Agency. </w:t>
      </w:r>
      <w:r>
        <w:rPr>
          <w:rFonts w:ascii="Calibri" w:hAnsi="Calibri"/>
          <w:i/>
          <w:color w:val="12233F"/>
          <w:sz w:val="21"/>
        </w:rPr>
        <w:t>Evaluation of Energy Conservation Measures for Wastewater Treatment Facilities</w:t>
      </w:r>
      <w:r>
        <w:rPr>
          <w:rFonts w:ascii="Calibri" w:hAnsi="Calibri"/>
          <w:color w:val="12233F"/>
          <w:sz w:val="21"/>
        </w:rPr>
        <w:t xml:space="preserve">. September 2010, Chapters 2 and 3. Preserved copy: </w:t>
      </w:r>
      <w:r>
        <w:rPr>
          <w:rFonts w:ascii="Consolas" w:hAnsi="Consolas"/>
          <w:color w:val="176B87"/>
          <w:sz w:val="20"/>
        </w:rPr>
        <w:t>research/sources/p1008sbm.pdf</w:t>
      </w:r>
      <w:r>
        <w:rPr>
          <w:rFonts w:ascii="Calibri" w:hAnsi="Calibri"/>
          <w:color w:val="12233F"/>
          <w:sz w:val="21"/>
        </w:rPr>
        <w:t>.</w:t>
      </w:r>
    </w:p>
    <w:p>
      <w:r>
        <w:rPr>
          <w:rFonts w:ascii="Calibri" w:hAnsi="Calibri"/>
          <w:color w:val="12233F"/>
          <w:sz w:val="21"/>
        </w:rPr>
        <w:t xml:space="preserve">[R9] Florida Department of Environmental Protection and Miami-Dade County. </w:t>
      </w:r>
      <w:r>
        <w:rPr>
          <w:rFonts w:ascii="Calibri" w:hAnsi="Calibri"/>
          <w:i/>
          <w:color w:val="12233F"/>
          <w:sz w:val="21"/>
        </w:rPr>
        <w:t>Consent Order, OGC No. 22-1805</w:t>
      </w:r>
      <w:r>
        <w:rPr>
          <w:rFonts w:ascii="Calibri" w:hAnsi="Calibri"/>
          <w:color w:val="12233F"/>
          <w:sz w:val="21"/>
        </w:rPr>
        <w:t xml:space="preserve">, included in Miami-Dade legislative matter 250122, 2025. Consent-order pages 5 and 6. Preserved copy: </w:t>
      </w:r>
      <w:r>
        <w:rPr>
          <w:rFonts w:ascii="Consolas" w:hAnsi="Consolas"/>
          <w:color w:val="176B87"/>
          <w:sz w:val="20"/>
        </w:rPr>
        <w:t>research/sources/miami-dade-fdep-consent-order-2025.pdf</w:t>
      </w:r>
      <w:r>
        <w:rPr>
          <w:rFonts w:ascii="Calibri" w:hAnsi="Calibri"/>
          <w:color w:val="12233F"/>
          <w:sz w:val="21"/>
        </w:rPr>
        <w:t>.</w:t>
      </w:r>
    </w:p>
    <w:p>
      <w:r>
        <w:rPr>
          <w:rFonts w:ascii="Calibri" w:hAnsi="Calibri"/>
          <w:color w:val="12233F"/>
          <w:sz w:val="21"/>
        </w:rPr>
        <w:t xml:space="preserve">[R10] Electronic Code of Federal Regulations. </w:t>
      </w:r>
      <w:r>
        <w:rPr>
          <w:rFonts w:ascii="Calibri" w:hAnsi="Calibri"/>
          <w:i/>
          <w:color w:val="12233F"/>
          <w:sz w:val="21"/>
        </w:rPr>
        <w:t>40 CFR 35.2005, Definitions</w:t>
      </w:r>
      <w:r>
        <w:rPr>
          <w:rFonts w:ascii="Calibri" w:hAnsi="Calibri"/>
          <w:color w:val="12233F"/>
          <w:sz w:val="21"/>
        </w:rPr>
        <w:t xml:space="preserve"> and </w:t>
      </w:r>
      <w:r>
        <w:rPr>
          <w:rFonts w:ascii="Calibri" w:hAnsi="Calibri"/>
          <w:i/>
          <w:color w:val="12233F"/>
          <w:sz w:val="21"/>
        </w:rPr>
        <w:t>40 CFR 35.2120, Infiltration/Inflow</w:t>
      </w:r>
      <w:r>
        <w:rPr>
          <w:rFonts w:ascii="Calibri" w:hAnsi="Calibri"/>
          <w:color w:val="12233F"/>
          <w:sz w:val="21"/>
        </w:rPr>
        <w:t xml:space="preserve">. Current applicability must be checked at use time: </w:t>
      </w:r>
      <w:r>
        <w:rPr>
          <w:rFonts w:ascii="Calibri" w:hAnsi="Calibri"/>
          <w:color w:val="176B87"/>
          <w:sz w:val="21"/>
          <w:u w:val="single"/>
        </w:rPr>
        <w:t>https://www.ecfr.gov/current/title-40/chapter-I/subchapter-B/part-35/subpart-I/section-35.2005</w:t>
      </w:r>
      <w:r>
        <w:rPr>
          <w:rFonts w:ascii="Calibri" w:hAnsi="Calibri"/>
          <w:color w:val="12233F"/>
          <w:sz w:val="21"/>
        </w:rPr>
        <w:t xml:space="preserve"> and </w:t>
      </w:r>
      <w:r>
        <w:rPr>
          <w:rFonts w:ascii="Calibri" w:hAnsi="Calibri"/>
          <w:color w:val="176B87"/>
          <w:sz w:val="21"/>
          <w:u w:val="single"/>
        </w:rPr>
        <w:t>https://www.ecfr.gov/current/title-40/chapter-I/subchapter-B/part-35/subpart-I/section-35.2120</w:t>
      </w:r>
      <w:r>
        <w:rPr>
          <w:rFonts w:ascii="Calibri" w:hAnsi="Calibri"/>
          <w:color w:val="12233F"/>
          <w:sz w:val="21"/>
        </w:rPr>
        <w:t>.</w:t>
      </w:r>
    </w:p>
    <w:p>
      <w:pPr>
        <w:pStyle w:val="Heading1"/>
        <w:keepNext/>
      </w:pPr>
      <w:r>
        <w:t>15. Reproducibility package</w:t>
      </w:r>
    </w:p>
    <w:tbl>
      <w:tblPr>
        <w:tblStyle w:val="TableGrid"/>
        <w:tblW w:type="dxa" w:w="9360"/>
        <w:tblLayout w:type="fixed"/>
        <w:tblLook w:firstColumn="1" w:firstRow="1" w:lastColumn="0" w:lastRow="0" w:noHBand="0" w:noVBand="1" w:val="04A0"/>
        <w:tblInd w:w="120" w:type="dxa"/>
      </w:tblPr>
      <w:tblGrid>
        <w:gridCol w:w="4507"/>
        <w:gridCol w:w="4853"/>
      </w:tblGrid>
      <w:tr>
        <w:trPr>
          <w:tblHeader w:val="true"/>
        </w:trPr>
        <w:tc>
          <w:tcPr>
            <w:tcW w:type="dxa" w:w="4507"/>
            <w:shd w:fill="176B87"/>
            <w:tcMar>
              <w:top w:w="80" w:type="dxa"/>
              <w:start w:w="120" w:type="dxa"/>
              <w:bottom w:w="80" w:type="dxa"/>
              <w:end w:w="120" w:type="dxa"/>
            </w:tcMar>
            <w:vAlign w:val="center"/>
          </w:tcPr>
          <w:p>
            <w:r>
              <w:rPr>
                <w:b/>
                <w:color w:val="FFFFFF"/>
              </w:rPr>
            </w:r>
            <w:r>
              <w:rPr>
                <w:rFonts w:ascii="Calibri" w:hAnsi="Calibri"/>
                <w:b/>
                <w:color w:val="FFFFFF"/>
                <w:sz w:val="18"/>
              </w:rPr>
              <w:t>Artifact</w:t>
            </w:r>
          </w:p>
        </w:tc>
        <w:tc>
          <w:tcPr>
            <w:tcW w:type="dxa" w:w="4853"/>
            <w:shd w:fill="176B87"/>
            <w:tcMar>
              <w:top w:w="80" w:type="dxa"/>
              <w:start w:w="120" w:type="dxa"/>
              <w:bottom w:w="80" w:type="dxa"/>
              <w:end w:w="120" w:type="dxa"/>
            </w:tcMar>
            <w:vAlign w:val="center"/>
          </w:tcPr>
          <w:p>
            <w:r>
              <w:rPr>
                <w:b/>
                <w:color w:val="FFFFFF"/>
              </w:rPr>
            </w:r>
            <w:r>
              <w:rPr>
                <w:rFonts w:ascii="Calibri" w:hAnsi="Calibri"/>
                <w:b/>
                <w:color w:val="FFFFFF"/>
                <w:sz w:val="18"/>
              </w:rPr>
              <w:t>Purpose</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sample-basin.yaml</w:t>
            </w:r>
          </w:p>
        </w:tc>
        <w:tc>
          <w:tcPr>
            <w:tcW w:type="dxa" w:w="4853"/>
            <w:tcMar>
              <w:top w:w="80" w:type="dxa"/>
              <w:start w:w="120" w:type="dxa"/>
              <w:bottom w:w="80" w:type="dxa"/>
              <w:end w:w="120" w:type="dxa"/>
            </w:tcMar>
            <w:vAlign w:val="center"/>
          </w:tcPr>
          <w:p>
            <w:pPr>
              <w:jc w:val="left"/>
            </w:pPr>
            <w:r>
              <w:rPr>
                <w:rFonts w:ascii="Calibri" w:hAnsi="Calibri"/>
                <w:color w:val="12233F"/>
                <w:sz w:val="17"/>
              </w:rPr>
              <w:t>complete synthetic input record</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formula-register.yaml</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machine-readable formula definitions, domains, and source traces</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sources.yaml</w:t>
            </w:r>
          </w:p>
        </w:tc>
        <w:tc>
          <w:tcPr>
            <w:tcW w:type="dxa" w:w="4853"/>
            <w:tcMar>
              <w:top w:w="80" w:type="dxa"/>
              <w:start w:w="120" w:type="dxa"/>
              <w:bottom w:w="80" w:type="dxa"/>
              <w:end w:w="120" w:type="dxa"/>
            </w:tcMar>
            <w:vAlign w:val="center"/>
          </w:tcPr>
          <w:p>
            <w:pPr>
              <w:jc w:val="left"/>
            </w:pPr>
            <w:r>
              <w:rPr>
                <w:rFonts w:ascii="Calibri" w:hAnsi="Calibri"/>
                <w:color w:val="12233F"/>
                <w:sz w:val="17"/>
              </w:rPr>
              <w:t>primary-source registry, locators, checksums, and status</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jurisdiction-rules/miami-dade.yaml</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isolated Miami-Dade rule pack</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tools/run_sample_basin.py</w:t>
            </w:r>
          </w:p>
        </w:tc>
        <w:tc>
          <w:tcPr>
            <w:tcW w:type="dxa" w:w="4853"/>
            <w:tcMar>
              <w:top w:w="80" w:type="dxa"/>
              <w:start w:w="120" w:type="dxa"/>
              <w:bottom w:w="80" w:type="dxa"/>
              <w:end w:w="120" w:type="dxa"/>
            </w:tcMar>
            <w:vAlign w:val="center"/>
          </w:tcPr>
          <w:p>
            <w:pPr>
              <w:jc w:val="left"/>
            </w:pPr>
            <w:r>
              <w:rPr>
                <w:rFonts w:ascii="Calibri" w:hAnsi="Calibri"/>
                <w:color w:val="12233F"/>
                <w:sz w:val="17"/>
              </w:rPr>
              <w:t>executable reference calculation</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generated/sample-basin-results.json</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machine-readable scalar outputs and lineage</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generated/sample-basin-timeseries.csv</w:t>
            </w:r>
          </w:p>
        </w:tc>
        <w:tc>
          <w:tcPr>
            <w:tcW w:type="dxa" w:w="4853"/>
            <w:tcMar>
              <w:top w:w="80" w:type="dxa"/>
              <w:start w:w="120" w:type="dxa"/>
              <w:bottom w:w="80" w:type="dxa"/>
              <w:end w:w="120" w:type="dxa"/>
            </w:tcMar>
            <w:vAlign w:val="center"/>
          </w:tcPr>
          <w:p>
            <w:pPr>
              <w:jc w:val="left"/>
            </w:pPr>
            <w:r>
              <w:rPr>
                <w:rFonts w:ascii="Calibri" w:hAnsi="Calibri"/>
                <w:color w:val="12233F"/>
                <w:sz w:val="17"/>
              </w:rPr>
              <w:t>rainfall, DWF, RTK, total flow, and storage series</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tools/validate_seed_formulas.py</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formula-level test vectors</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tools/test_sample_basin.py</w:t>
            </w:r>
          </w:p>
        </w:tc>
        <w:tc>
          <w:tcPr>
            <w:tcW w:type="dxa" w:w="4853"/>
            <w:tcMar>
              <w:top w:w="80" w:type="dxa"/>
              <w:start w:w="120" w:type="dxa"/>
              <w:bottom w:w="80" w:type="dxa"/>
              <w:end w:w="120" w:type="dxa"/>
            </w:tcMar>
            <w:vAlign w:val="center"/>
          </w:tcPr>
          <w:p>
            <w:pPr>
              <w:jc w:val="left"/>
            </w:pPr>
            <w:r>
              <w:rPr>
                <w:rFonts w:ascii="Calibri" w:hAnsi="Calibri"/>
                <w:color w:val="12233F"/>
                <w:sz w:val="17"/>
              </w:rPr>
              <w:t>end-to-end golden tests</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tools/check_formula_wiring.py</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formula, source, result, and paper linkage check</w:t>
            </w:r>
          </w:p>
        </w:tc>
      </w:tr>
      <w:tr>
        <w:tc>
          <w:tcPr>
            <w:tcW w:type="dxa" w:w="4507"/>
            <w:tcMar>
              <w:top w:w="80" w:type="dxa"/>
              <w:start w:w="120" w:type="dxa"/>
              <w:bottom w:w="80" w:type="dxa"/>
              <w:end w:w="120" w:type="dxa"/>
            </w:tcMar>
            <w:vAlign w:val="center"/>
          </w:tcPr>
          <w:p>
            <w:pPr>
              <w:jc w:val="left"/>
            </w:pPr>
            <w:r>
              <w:rPr>
                <w:rFonts w:ascii="Consolas" w:hAnsi="Consolas"/>
                <w:color w:val="176B87"/>
                <w:sz w:val="16"/>
              </w:rPr>
              <w:t>tools/generate_figures.py</w:t>
            </w:r>
          </w:p>
        </w:tc>
        <w:tc>
          <w:tcPr>
            <w:tcW w:type="dxa" w:w="4853"/>
            <w:tcMar>
              <w:top w:w="80" w:type="dxa"/>
              <w:start w:w="120" w:type="dxa"/>
              <w:bottom w:w="80" w:type="dxa"/>
              <w:end w:w="120" w:type="dxa"/>
            </w:tcMar>
            <w:vAlign w:val="center"/>
          </w:tcPr>
          <w:p>
            <w:pPr>
              <w:jc w:val="left"/>
            </w:pPr>
            <w:r>
              <w:rPr>
                <w:rFonts w:ascii="Calibri" w:hAnsi="Calibri"/>
                <w:color w:val="12233F"/>
                <w:sz w:val="17"/>
              </w:rPr>
              <w:t>dependency-free SVG generation from verified outputs</w:t>
            </w:r>
          </w:p>
        </w:tc>
      </w:tr>
      <w:tr>
        <w:tc>
          <w:tcPr>
            <w:tcW w:type="dxa" w:w="4507"/>
            <w:shd w:fill="F4F7F9"/>
            <w:tcMar>
              <w:top w:w="80" w:type="dxa"/>
              <w:start w:w="120" w:type="dxa"/>
              <w:bottom w:w="80" w:type="dxa"/>
              <w:end w:w="120" w:type="dxa"/>
            </w:tcMar>
            <w:vAlign w:val="center"/>
          </w:tcPr>
          <w:p>
            <w:pPr>
              <w:jc w:val="left"/>
            </w:pPr>
            <w:r>
              <w:rPr>
                <w:rFonts w:ascii="Consolas" w:hAnsi="Consolas"/>
                <w:color w:val="176B87"/>
                <w:sz w:val="16"/>
              </w:rPr>
              <w:t>figures/*.svg</w:t>
            </w:r>
          </w:p>
        </w:tc>
        <w:tc>
          <w:tcPr>
            <w:tcW w:type="dxa" w:w="4853"/>
            <w:shd w:fill="F4F7F9"/>
            <w:tcMar>
              <w:top w:w="80" w:type="dxa"/>
              <w:start w:w="120" w:type="dxa"/>
              <w:bottom w:w="80" w:type="dxa"/>
              <w:end w:w="120" w:type="dxa"/>
            </w:tcMar>
            <w:vAlign w:val="center"/>
          </w:tcPr>
          <w:p>
            <w:pPr>
              <w:jc w:val="left"/>
            </w:pPr>
            <w:r>
              <w:rPr>
                <w:rFonts w:ascii="Calibri" w:hAnsi="Calibri"/>
                <w:color w:val="12233F"/>
                <w:sz w:val="17"/>
              </w:rPr>
              <w:t>diagrams and engineering plots used in this paper</w:t>
            </w:r>
          </w:p>
        </w:tc>
      </w:tr>
    </w:tbl>
    <w:p>
      <w:pPr>
        <w:spacing w:after="20"/>
      </w:pPr>
    </w:p>
    <w:p>
      <w:r>
        <w:rPr>
          <w:rFonts w:ascii="Calibri" w:hAnsi="Calibri"/>
          <w:color w:val="12233F"/>
          <w:sz w:val="21"/>
        </w:rPr>
        <w:t>To reproduce:</w:t>
      </w:r>
    </w:p>
    <w:p>
      <w:pPr>
        <w:pStyle w:val="CodeBlock"/>
        <w:shd w:fill="E9EEF3"/>
      </w:pPr>
      <w:r>
        <w:t>python3 tools/run_sample_basin.py</w:t>
        <w:br/>
        <w:t>python3 tools/validate_seed_formulas.py</w:t>
        <w:br/>
        <w:t>python3 tools/test_sample_basin.py</w:t>
        <w:br/>
        <w:t>python3 tools/generate_figures.py</w:t>
        <w:br/>
        <w:t>python3 tools/check_formula_wiring.py</w:t>
      </w:r>
    </w:p>
    <w:p>
      <w:r>
        <w:rPr>
          <w:rFonts w:ascii="Calibri" w:hAnsi="Calibri"/>
          <w:color w:val="12233F"/>
          <w:sz w:val="21"/>
        </w:rPr>
        <w:t>The synthetic package is computationally reproducible. Production authorization remains blocked until independent implementation, field calibration, current jurisdiction review, and qualified professional approval are complete.</w:t>
      </w:r>
    </w:p>
    <w:sectPr w:rsidR="00FC693F" w:rsidRPr="0006063C" w:rsidSect="00034616">
      <w:headerReference w:type="default" r:id="rId9"/>
      <w:footerReference w:type="default" r:id="rId10"/>
      <w:pgSz w:w="12240" w:h="15840"/>
      <w:pgMar w:top="1152" w:right="1440" w:bottom="1080"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Candidate engineering research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D6DDE4"/>
      </w:pBdr>
    </w:pPr>
    <w:r>
      <w:rPr>
        <w:rFonts w:ascii="Calibri" w:hAnsi="Calibri"/>
        <w:b/>
        <w:color w:val="667085"/>
        <w:sz w:val="17"/>
      </w:rPr>
      <w:t>INFILTRATION AND INFLOW  |  TECHNICAL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2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223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color w:val="12233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color w:val="12233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100" w:after="140" w:line="252" w:lineRule="auto"/>
      <w:ind w:left="360" w:right="360"/>
    </w:pPr>
    <w:rPr>
      <w:rFonts w:ascii="Cambria Math" w:hAnsi="Cambria Math"/>
      <w:color w:val="12233F"/>
      <w:sz w:val="19"/>
    </w:rPr>
  </w:style>
  <w:style w:type="paragraph" w:customStyle="1" w:styleId="CodeBlock">
    <w:name w:val="Code Block"/>
    <w:pPr>
      <w:spacing w:before="80" w:after="140" w:line="240" w:lineRule="auto"/>
      <w:ind w:left="288" w:right="288"/>
    </w:pPr>
    <w:rPr>
      <w:rFonts w:ascii="Consolas" w:hAnsi="Consolas"/>
      <w:color w:val="1223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Infiltration and Inflow</dc:title>
  <dc:subject>National engineering calculation framework with a Miami-Dade basin and pump-station case</dc:subject>
  <dc:creator>OWOS technical research</dc:creator>
  <cp:keywords>infiltration, inflow, RDII, RTK, pump station, Miami-Dade</cp:keywords>
  <dc:description>generated by python-docx</dc:description>
  <cp:lastModifiedBy/>
  <cp:revision>1</cp:revision>
  <dcterms:created xsi:type="dcterms:W3CDTF">2013-12-23T23:15:00Z</dcterms:created>
  <dcterms:modified xsi:type="dcterms:W3CDTF">2013-12-23T23:15:00Z</dcterms:modified>
  <cp:category/>
</cp:coreProperties>
</file>