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7754112" cy="9985248"/>
            <wp:docPr id="1" name="Picture 1" title="Data Ready Before AI Ready cover" descr="APAS AI application-paper cover in ivory, ink, water blue and amber with a utility data evidence-chain illustration."/>
            <wp:cNvGraphicFramePr>
              <a:graphicFrameLocks noChangeAspect="1"/>
            </wp:cNvGraphicFramePr>
            <a:graphic>
              <a:graphicData uri="http://schemas.openxmlformats.org/drawingml/2006/picture">
                <pic:pic>
                  <pic:nvPicPr>
                    <pic:cNvPr id="0" name="cover-page.png"/>
                    <pic:cNvPicPr/>
                  </pic:nvPicPr>
                  <pic:blipFill>
                    <a:blip r:embed="rId13"/>
                    <a:stretch>
                      <a:fillRect/>
                    </a:stretch>
                  </pic:blipFill>
                  <pic:spPr>
                    <a:xfrm>
                      <a:off x="0" y="0"/>
                      <a:ext cx="7754112" cy="9985248"/>
                    </a:xfrm>
                    <a:prstGeom prst="rect"/>
                  </pic:spPr>
                </pic:pic>
              </a:graphicData>
            </a:graphic>
          </wp:inline>
        </w:drawing>
      </w:r>
    </w:p>
    <w:p>
      <w:pPr>
        <w:sectPr>
          <w:headerReference w:type="default" r:id="rId9"/>
          <w:headerReference w:type="even" r:id="rId10"/>
          <w:footerReference w:type="default" r:id="rId11"/>
          <w:footerReference w:type="even" r:id="rId12"/>
          <w:pgSz w:w="12240" w:h="15840"/>
          <w:pgMar w:top="0" w:right="0" w:bottom="0" w:left="0" w:header="0" w:footer="0" w:gutter="0"/>
          <w:cols w:space="720"/>
          <w:docGrid w:linePitch="360"/>
        </w:sectPr>
      </w:pPr>
    </w:p>
    <w:p>
      <w:pPr>
        <w:spacing w:before="0" w:after="0" w:line="240" w:lineRule="auto"/>
        <w:jc w:val="center"/>
      </w:pPr>
      <w:r>
        <w:drawing>
          <wp:inline xmlns:a="http://schemas.openxmlformats.org/drawingml/2006/main" xmlns:pic="http://schemas.openxmlformats.org/drawingml/2006/picture">
            <wp:extent cx="7754112" cy="9985248"/>
            <wp:docPr id="2" name="Picture 2" title="Data Ready Before AI Ready manifesto page" descr="Dark APAS statement page stating that a utility cannot govern AI if it cannot explain the data behind the decision."/>
            <wp:cNvGraphicFramePr>
              <a:graphicFrameLocks noChangeAspect="1"/>
            </wp:cNvGraphicFramePr>
            <a:graphic>
              <a:graphicData uri="http://schemas.openxmlformats.org/drawingml/2006/picture">
                <pic:pic>
                  <pic:nvPicPr>
                    <pic:cNvPr id="0" name="black-page.png"/>
                    <pic:cNvPicPr/>
                  </pic:nvPicPr>
                  <pic:blipFill>
                    <a:blip r:embed="rId18"/>
                    <a:stretch>
                      <a:fillRect/>
                    </a:stretch>
                  </pic:blipFill>
                  <pic:spPr>
                    <a:xfrm>
                      <a:off x="0" y="0"/>
                      <a:ext cx="7754112" cy="9985248"/>
                    </a:xfrm>
                    <a:prstGeom prst="rect"/>
                  </pic:spPr>
                </pic:pic>
              </a:graphicData>
            </a:graphic>
          </wp:inline>
        </w:drawing>
      </w:r>
    </w:p>
    <w:p>
      <w:pPr>
        <w:sectPr>
          <w:headerReference w:type="default" r:id="rId14"/>
          <w:headerReference w:type="even" r:id="rId15"/>
          <w:footerReference w:type="default" r:id="rId16"/>
          <w:footerReference w:type="even" r:id="rId17"/>
          <w:pgSz w:w="12240" w:h="15840"/>
          <w:pgMar w:top="0" w:right="0" w:bottom="0" w:left="0" w:header="0" w:footer="0" w:gutter="0"/>
          <w:cols w:space="720"/>
          <w:docGrid w:linePitch="360"/>
        </w:sectPr>
      </w:pPr>
    </w:p>
    <w:p>
      <w:pPr>
        <w:spacing w:after="100"/>
      </w:pPr>
      <w:r>
        <w:rPr>
          <w:rFonts w:ascii="Arial" w:hAnsi="Arial"/>
          <w:b/>
          <w:color w:val="2F7F9E"/>
          <w:sz w:val="17"/>
        </w:rPr>
        <w:t>CONTENTS</w:t>
      </w:r>
    </w:p>
    <w:p>
      <w:pPr>
        <w:pStyle w:val="Heading1"/>
      </w:pPr>
      <w:r>
        <w:t>Table of contents</w:t>
      </w:r>
    </w:p>
    <w:p>
      <w:pPr>
        <w:spacing w:after="100"/>
      </w:pPr>
      <w:r>
        <w:rPr>
          <w:rFonts w:ascii="Times New Roman" w:hAnsi="Times New Roman"/>
          <w:i/>
          <w:color w:val="3C3B36"/>
          <w:sz w:val="23"/>
        </w:rPr>
        <w:t>A practitioner paper for utility leaders, data teams, operators, regulators and technology partners.</w:t>
      </w:r>
    </w:p>
    <w:p>
      <w:pPr>
        <w:spacing w:after="200"/>
      </w:pPr>
      <w:r>
        <w:rPr>
          <w:rFonts w:ascii="Arial" w:hAnsi="Arial"/>
          <w:color w:val="7D766A"/>
          <w:sz w:val="15"/>
        </w:rPr>
        <w:t>Product names: Pump Operating System (Pump OS), Pipe Operating System (Pipe OS) and Regulatory Operating System (Reg OS).</w:t>
      </w:r>
    </w:p>
    <w:tbl>
      <w:tblPr>
        <w:tblW w:type="auto" w:w="0"/>
        <w:jc w:val="center"/>
        <w:tblLayout w:type="fixed"/>
        <w:tblLook w:firstColumn="1" w:firstRow="1" w:lastColumn="0" w:lastRow="0" w:noHBand="0" w:noVBand="1" w:val="04A0"/>
        <w:tblBorders>
          <w:top w:val="single" w:sz="2" w:space="0" w:color="D8D2C3"/>
          <w:left w:val="single" w:sz="2" w:space="0" w:color="D8D2C3"/>
          <w:bottom w:val="single" w:sz="2" w:space="0" w:color="D8D2C3"/>
          <w:right w:val="single" w:sz="2" w:space="0" w:color="D8D2C3"/>
          <w:insideH w:val="single" w:sz="2" w:space="0" w:color="D8D2C3"/>
          <w:insideV w:val="single" w:sz="2" w:space="0" w:color="D8D2C3"/>
        </w:tblBorders>
      </w:tblPr>
      <w:tblGrid>
        <w:gridCol w:w="3273"/>
        <w:gridCol w:w="3273"/>
        <w:gridCol w:w="3273"/>
      </w:tblGrid>
      <w:tr>
        <w:tc>
          <w:tcPr>
            <w:tcW w:type="dxa" w:w="1300"/>
            <w:tcMar>
              <w:top w:w="75" w:type="dxa"/>
              <w:start w:w="75" w:type="dxa"/>
              <w:bottom w:w="75" w:type="dxa"/>
              <w:end w:w="75" w:type="dxa"/>
            </w:tcMar>
          </w:tcPr>
          <w:p>
            <w:pPr>
              <w:spacing w:after="0"/>
            </w:pPr>
            <w:r>
              <w:rPr>
                <w:rFonts w:ascii="Arial" w:hAnsi="Arial"/>
                <w:b/>
                <w:color w:val="2F7F9E"/>
                <w:sz w:val="17"/>
              </w:rPr>
              <w:t>Foreword</w:t>
            </w:r>
          </w:p>
        </w:tc>
        <w:tc>
          <w:tcPr>
            <w:tcW w:type="dxa" w:w="6700"/>
            <w:tcMar>
              <w:top w:w="75" w:type="dxa"/>
              <w:start w:w="75" w:type="dxa"/>
              <w:bottom w:w="75" w:type="dxa"/>
              <w:end w:w="75" w:type="dxa"/>
            </w:tcMar>
          </w:tcPr>
          <w:p>
            <w:pPr>
              <w:spacing w:after="0"/>
            </w:pPr>
            <w:r>
              <w:rPr>
                <w:rFonts w:ascii="Arial" w:hAnsi="Arial"/>
                <w:color w:val="1B1B1C"/>
                <w:sz w:val="17"/>
              </w:rPr>
              <w:t>Why I wrote this</w:t>
            </w:r>
          </w:p>
        </w:tc>
        <w:tc>
          <w:tcPr>
            <w:tcW w:type="dxa" w:w="700"/>
            <w:tcMar>
              <w:top w:w="75" w:type="dxa"/>
              <w:start w:w="75" w:type="dxa"/>
              <w:bottom w:w="75" w:type="dxa"/>
              <w:end w:w="75" w:type="dxa"/>
            </w:tcMar>
          </w:tcPr>
          <w:p>
            <w:pPr>
              <w:spacing w:after="0"/>
              <w:jc w:val="right"/>
            </w:pPr>
            <w:r>
              <w:rPr>
                <w:rFonts w:ascii="Arial" w:hAnsi="Arial"/>
                <w:b/>
                <w:color w:val="7D766A"/>
                <w:sz w:val="17"/>
              </w:rPr>
              <w:t>4</w:t>
            </w:r>
          </w:p>
        </w:tc>
      </w:tr>
      <w:tr>
        <w:tc>
          <w:tcPr>
            <w:tcW w:type="dxa" w:w="1300"/>
            <w:tcMar>
              <w:top w:w="75" w:type="dxa"/>
              <w:start w:w="75" w:type="dxa"/>
              <w:bottom w:w="75" w:type="dxa"/>
              <w:end w:w="75" w:type="dxa"/>
            </w:tcMar>
            <w:shd w:fill="F1EFE5"/>
          </w:tcPr>
          <w:p>
            <w:pPr>
              <w:spacing w:after="0"/>
            </w:pPr>
            <w:r>
              <w:rPr>
                <w:rFonts w:ascii="Arial" w:hAnsi="Arial"/>
                <w:b/>
                <w:color w:val="2F7F9E"/>
                <w:sz w:val="17"/>
              </w:rPr>
              <w:t>Executive summary</w:t>
            </w:r>
          </w:p>
        </w:tc>
        <w:tc>
          <w:tcPr>
            <w:tcW w:type="dxa" w:w="6700"/>
            <w:tcMar>
              <w:top w:w="75" w:type="dxa"/>
              <w:start w:w="75" w:type="dxa"/>
              <w:bottom w:w="75" w:type="dxa"/>
              <w:end w:w="75" w:type="dxa"/>
            </w:tcMar>
            <w:shd w:fill="F1EFE5"/>
          </w:tcPr>
          <w:p>
            <w:pPr>
              <w:spacing w:after="0"/>
            </w:pPr>
            <w:r>
              <w:rPr>
                <w:rFonts w:ascii="Arial" w:hAnsi="Arial"/>
                <w:color w:val="1B1B1C"/>
                <w:sz w:val="17"/>
              </w:rPr>
              <w:t>The decisions this paper supports</w:t>
            </w:r>
          </w:p>
        </w:tc>
        <w:tc>
          <w:tcPr>
            <w:tcW w:type="dxa" w:w="700"/>
            <w:tcMar>
              <w:top w:w="75" w:type="dxa"/>
              <w:start w:w="75" w:type="dxa"/>
              <w:bottom w:w="75" w:type="dxa"/>
              <w:end w:w="75" w:type="dxa"/>
            </w:tcMar>
            <w:shd w:fill="F1EFE5"/>
          </w:tcPr>
          <w:p>
            <w:pPr>
              <w:spacing w:after="0"/>
              <w:jc w:val="right"/>
            </w:pPr>
            <w:r>
              <w:rPr>
                <w:rFonts w:ascii="Arial" w:hAnsi="Arial"/>
                <w:b/>
                <w:color w:val="7D766A"/>
                <w:sz w:val="17"/>
              </w:rPr>
              <w:t>5</w:t>
            </w:r>
          </w:p>
        </w:tc>
      </w:tr>
      <w:tr>
        <w:tc>
          <w:tcPr>
            <w:tcW w:type="dxa" w:w="1300"/>
            <w:tcMar>
              <w:top w:w="75" w:type="dxa"/>
              <w:start w:w="75" w:type="dxa"/>
              <w:bottom w:w="75" w:type="dxa"/>
              <w:end w:w="75" w:type="dxa"/>
            </w:tcMar>
          </w:tcPr>
          <w:p>
            <w:pPr>
              <w:spacing w:after="0"/>
            </w:pPr>
            <w:r>
              <w:rPr>
                <w:rFonts w:ascii="Arial" w:hAnsi="Arial"/>
                <w:b/>
                <w:color w:val="2F7F9E"/>
                <w:sz w:val="17"/>
              </w:rPr>
              <w:t>Author</w:t>
            </w:r>
          </w:p>
        </w:tc>
        <w:tc>
          <w:tcPr>
            <w:tcW w:type="dxa" w:w="6700"/>
            <w:tcMar>
              <w:top w:w="75" w:type="dxa"/>
              <w:start w:w="75" w:type="dxa"/>
              <w:bottom w:w="75" w:type="dxa"/>
              <w:end w:w="75" w:type="dxa"/>
            </w:tcMar>
          </w:tcPr>
          <w:p>
            <w:pPr>
              <w:spacing w:after="0"/>
            </w:pPr>
            <w:r>
              <w:rPr>
                <w:rFonts w:ascii="Arial" w:hAnsi="Arial"/>
                <w:color w:val="1B1B1C"/>
                <w:sz w:val="17"/>
              </w:rPr>
              <w:t>Hardeep Anand, Professional Engineer (P.E.)</w:t>
            </w:r>
          </w:p>
        </w:tc>
        <w:tc>
          <w:tcPr>
            <w:tcW w:type="dxa" w:w="700"/>
            <w:tcMar>
              <w:top w:w="75" w:type="dxa"/>
              <w:start w:w="75" w:type="dxa"/>
              <w:bottom w:w="75" w:type="dxa"/>
              <w:end w:w="75" w:type="dxa"/>
            </w:tcMar>
          </w:tcPr>
          <w:p>
            <w:pPr>
              <w:spacing w:after="0"/>
              <w:jc w:val="right"/>
            </w:pPr>
            <w:r>
              <w:rPr>
                <w:rFonts w:ascii="Arial" w:hAnsi="Arial"/>
                <w:b/>
                <w:color w:val="7D766A"/>
                <w:sz w:val="17"/>
              </w:rPr>
              <w:t>6</w:t>
            </w:r>
          </w:p>
        </w:tc>
      </w:tr>
      <w:tr>
        <w:tc>
          <w:tcPr>
            <w:tcW w:type="dxa" w:w="1300"/>
            <w:tcMar>
              <w:top w:w="75" w:type="dxa"/>
              <w:start w:w="75" w:type="dxa"/>
              <w:bottom w:w="75" w:type="dxa"/>
              <w:end w:w="75" w:type="dxa"/>
            </w:tcMar>
            <w:shd w:fill="F1EFE5"/>
          </w:tcPr>
          <w:p>
            <w:pPr>
              <w:spacing w:after="0"/>
            </w:pPr>
            <w:r>
              <w:rPr>
                <w:rFonts w:ascii="Arial" w:hAnsi="Arial"/>
                <w:b/>
                <w:color w:val="2F7F9E"/>
                <w:sz w:val="17"/>
              </w:rPr>
              <w:t>1</w:t>
            </w:r>
          </w:p>
        </w:tc>
        <w:tc>
          <w:tcPr>
            <w:tcW w:type="dxa" w:w="6700"/>
            <w:tcMar>
              <w:top w:w="75" w:type="dxa"/>
              <w:start w:w="75" w:type="dxa"/>
              <w:bottom w:w="75" w:type="dxa"/>
              <w:end w:w="75" w:type="dxa"/>
            </w:tcMar>
            <w:shd w:fill="F1EFE5"/>
          </w:tcPr>
          <w:p>
            <w:pPr>
              <w:spacing w:after="0"/>
            </w:pPr>
            <w:r>
              <w:rPr>
                <w:rFonts w:ascii="Arial" w:hAnsi="Arial"/>
                <w:color w:val="1B1B1C"/>
                <w:sz w:val="17"/>
              </w:rPr>
              <w:t>Why utility data governance matters now</w:t>
            </w:r>
          </w:p>
        </w:tc>
        <w:tc>
          <w:tcPr>
            <w:tcW w:type="dxa" w:w="700"/>
            <w:tcMar>
              <w:top w:w="75" w:type="dxa"/>
              <w:start w:w="75" w:type="dxa"/>
              <w:bottom w:w="75" w:type="dxa"/>
              <w:end w:w="75" w:type="dxa"/>
            </w:tcMar>
            <w:shd w:fill="F1EFE5"/>
          </w:tcPr>
          <w:p>
            <w:pPr>
              <w:spacing w:after="0"/>
              <w:jc w:val="right"/>
            </w:pPr>
            <w:r>
              <w:rPr>
                <w:rFonts w:ascii="Arial" w:hAnsi="Arial"/>
                <w:b/>
                <w:color w:val="7D766A"/>
                <w:sz w:val="17"/>
              </w:rPr>
              <w:t>7</w:t>
            </w:r>
          </w:p>
        </w:tc>
      </w:tr>
      <w:tr>
        <w:tc>
          <w:tcPr>
            <w:tcW w:type="dxa" w:w="1300"/>
            <w:tcMar>
              <w:top w:w="75" w:type="dxa"/>
              <w:start w:w="75" w:type="dxa"/>
              <w:bottom w:w="75" w:type="dxa"/>
              <w:end w:w="75" w:type="dxa"/>
            </w:tcMar>
          </w:tcPr>
          <w:p>
            <w:pPr>
              <w:spacing w:after="0"/>
            </w:pPr>
            <w:r>
              <w:rPr>
                <w:rFonts w:ascii="Arial" w:hAnsi="Arial"/>
                <w:b/>
                <w:color w:val="2F7F9E"/>
                <w:sz w:val="17"/>
              </w:rPr>
              <w:t>2</w:t>
            </w:r>
          </w:p>
        </w:tc>
        <w:tc>
          <w:tcPr>
            <w:tcW w:type="dxa" w:w="6700"/>
            <w:tcMar>
              <w:top w:w="75" w:type="dxa"/>
              <w:start w:w="75" w:type="dxa"/>
              <w:bottom w:w="75" w:type="dxa"/>
              <w:end w:w="75" w:type="dxa"/>
            </w:tcMar>
          </w:tcPr>
          <w:p>
            <w:pPr>
              <w:spacing w:after="0"/>
            </w:pPr>
            <w:r>
              <w:rPr>
                <w:rFonts w:ascii="Arial" w:hAnsi="Arial"/>
                <w:color w:val="1B1B1C"/>
                <w:sz w:val="17"/>
              </w:rPr>
              <w:t>The terms that matter</w:t>
            </w:r>
          </w:p>
        </w:tc>
        <w:tc>
          <w:tcPr>
            <w:tcW w:type="dxa" w:w="700"/>
            <w:tcMar>
              <w:top w:w="75" w:type="dxa"/>
              <w:start w:w="75" w:type="dxa"/>
              <w:bottom w:w="75" w:type="dxa"/>
              <w:end w:w="75" w:type="dxa"/>
            </w:tcMar>
          </w:tcPr>
          <w:p>
            <w:pPr>
              <w:spacing w:after="0"/>
              <w:jc w:val="right"/>
            </w:pPr>
            <w:r>
              <w:rPr>
                <w:rFonts w:ascii="Arial" w:hAnsi="Arial"/>
                <w:b/>
                <w:color w:val="7D766A"/>
                <w:sz w:val="17"/>
              </w:rPr>
              <w:t>10</w:t>
            </w:r>
          </w:p>
        </w:tc>
      </w:tr>
      <w:tr>
        <w:tc>
          <w:tcPr>
            <w:tcW w:type="dxa" w:w="1300"/>
            <w:tcMar>
              <w:top w:w="75" w:type="dxa"/>
              <w:start w:w="75" w:type="dxa"/>
              <w:bottom w:w="75" w:type="dxa"/>
              <w:end w:w="75" w:type="dxa"/>
            </w:tcMar>
            <w:shd w:fill="F1EFE5"/>
          </w:tcPr>
          <w:p>
            <w:pPr>
              <w:spacing w:after="0"/>
            </w:pPr>
            <w:r>
              <w:rPr>
                <w:rFonts w:ascii="Arial" w:hAnsi="Arial"/>
                <w:b/>
                <w:color w:val="2F7F9E"/>
                <w:sz w:val="17"/>
              </w:rPr>
              <w:t>3</w:t>
            </w:r>
          </w:p>
        </w:tc>
        <w:tc>
          <w:tcPr>
            <w:tcW w:type="dxa" w:w="6700"/>
            <w:tcMar>
              <w:top w:w="75" w:type="dxa"/>
              <w:start w:w="75" w:type="dxa"/>
              <w:bottom w:w="75" w:type="dxa"/>
              <w:end w:w="75" w:type="dxa"/>
            </w:tcMar>
            <w:shd w:fill="F1EFE5"/>
          </w:tcPr>
          <w:p>
            <w:pPr>
              <w:spacing w:after="0"/>
            </w:pPr>
            <w:r>
              <w:rPr>
                <w:rFonts w:ascii="Arial" w:hAnsi="Arial"/>
                <w:color w:val="1B1B1C"/>
                <w:sz w:val="17"/>
              </w:rPr>
              <w:t>How the standards fit together</w:t>
            </w:r>
          </w:p>
        </w:tc>
        <w:tc>
          <w:tcPr>
            <w:tcW w:type="dxa" w:w="700"/>
            <w:tcMar>
              <w:top w:w="75" w:type="dxa"/>
              <w:start w:w="75" w:type="dxa"/>
              <w:bottom w:w="75" w:type="dxa"/>
              <w:end w:w="75" w:type="dxa"/>
            </w:tcMar>
            <w:shd w:fill="F1EFE5"/>
          </w:tcPr>
          <w:p>
            <w:pPr>
              <w:spacing w:after="0"/>
              <w:jc w:val="right"/>
            </w:pPr>
            <w:r>
              <w:rPr>
                <w:rFonts w:ascii="Arial" w:hAnsi="Arial"/>
                <w:b/>
                <w:color w:val="7D766A"/>
                <w:sz w:val="17"/>
              </w:rPr>
              <w:t>12</w:t>
            </w:r>
          </w:p>
        </w:tc>
      </w:tr>
      <w:tr>
        <w:tc>
          <w:tcPr>
            <w:tcW w:type="dxa" w:w="1300"/>
            <w:tcMar>
              <w:top w:w="75" w:type="dxa"/>
              <w:start w:w="75" w:type="dxa"/>
              <w:bottom w:w="75" w:type="dxa"/>
              <w:end w:w="75" w:type="dxa"/>
            </w:tcMar>
          </w:tcPr>
          <w:p>
            <w:pPr>
              <w:spacing w:after="0"/>
            </w:pPr>
            <w:r>
              <w:rPr>
                <w:rFonts w:ascii="Arial" w:hAnsi="Arial"/>
                <w:b/>
                <w:color w:val="2F7F9E"/>
                <w:sz w:val="17"/>
              </w:rPr>
              <w:t>4</w:t>
            </w:r>
          </w:p>
        </w:tc>
        <w:tc>
          <w:tcPr>
            <w:tcW w:type="dxa" w:w="6700"/>
            <w:tcMar>
              <w:top w:w="75" w:type="dxa"/>
              <w:start w:w="75" w:type="dxa"/>
              <w:bottom w:w="75" w:type="dxa"/>
              <w:end w:w="75" w:type="dxa"/>
            </w:tcMar>
          </w:tcPr>
          <w:p>
            <w:pPr>
              <w:spacing w:after="0"/>
            </w:pPr>
            <w:r>
              <w:rPr>
                <w:rFonts w:ascii="Arial" w:hAnsi="Arial"/>
                <w:color w:val="1B1B1C"/>
                <w:sz w:val="17"/>
              </w:rPr>
              <w:t>The utility operating model</w:t>
            </w:r>
          </w:p>
        </w:tc>
        <w:tc>
          <w:tcPr>
            <w:tcW w:type="dxa" w:w="700"/>
            <w:tcMar>
              <w:top w:w="75" w:type="dxa"/>
              <w:start w:w="75" w:type="dxa"/>
              <w:bottom w:w="75" w:type="dxa"/>
              <w:end w:w="75" w:type="dxa"/>
            </w:tcMar>
          </w:tcPr>
          <w:p>
            <w:pPr>
              <w:spacing w:after="0"/>
              <w:jc w:val="right"/>
            </w:pPr>
            <w:r>
              <w:rPr>
                <w:rFonts w:ascii="Arial" w:hAnsi="Arial"/>
                <w:b/>
                <w:color w:val="7D766A"/>
                <w:sz w:val="17"/>
              </w:rPr>
              <w:t>17</w:t>
            </w:r>
          </w:p>
        </w:tc>
      </w:tr>
      <w:tr>
        <w:tc>
          <w:tcPr>
            <w:tcW w:type="dxa" w:w="1300"/>
            <w:tcMar>
              <w:top w:w="75" w:type="dxa"/>
              <w:start w:w="75" w:type="dxa"/>
              <w:bottom w:w="75" w:type="dxa"/>
              <w:end w:w="75" w:type="dxa"/>
            </w:tcMar>
            <w:shd w:fill="F1EFE5"/>
          </w:tcPr>
          <w:p>
            <w:pPr>
              <w:spacing w:after="0"/>
            </w:pPr>
            <w:r>
              <w:rPr>
                <w:rFonts w:ascii="Arial" w:hAnsi="Arial"/>
                <w:b/>
                <w:color w:val="2F7F9E"/>
                <w:sz w:val="17"/>
              </w:rPr>
              <w:t>5</w:t>
            </w:r>
          </w:p>
        </w:tc>
        <w:tc>
          <w:tcPr>
            <w:tcW w:type="dxa" w:w="6700"/>
            <w:tcMar>
              <w:top w:w="75" w:type="dxa"/>
              <w:start w:w="75" w:type="dxa"/>
              <w:bottom w:w="75" w:type="dxa"/>
              <w:end w:w="75" w:type="dxa"/>
            </w:tcMar>
            <w:shd w:fill="F1EFE5"/>
          </w:tcPr>
          <w:p>
            <w:pPr>
              <w:spacing w:after="0"/>
            </w:pPr>
            <w:r>
              <w:rPr>
                <w:rFonts w:ascii="Arial" w:hAnsi="Arial"/>
                <w:color w:val="1B1B1C"/>
                <w:sz w:val="17"/>
              </w:rPr>
              <w:t>The assessment framework</w:t>
            </w:r>
          </w:p>
        </w:tc>
        <w:tc>
          <w:tcPr>
            <w:tcW w:type="dxa" w:w="700"/>
            <w:tcMar>
              <w:top w:w="75" w:type="dxa"/>
              <w:start w:w="75" w:type="dxa"/>
              <w:bottom w:w="75" w:type="dxa"/>
              <w:end w:w="75" w:type="dxa"/>
            </w:tcMar>
            <w:shd w:fill="F1EFE5"/>
          </w:tcPr>
          <w:p>
            <w:pPr>
              <w:spacing w:after="0"/>
              <w:jc w:val="right"/>
            </w:pPr>
            <w:r>
              <w:rPr>
                <w:rFonts w:ascii="Arial" w:hAnsi="Arial"/>
                <w:b/>
                <w:color w:val="7D766A"/>
                <w:sz w:val="17"/>
              </w:rPr>
              <w:t>23</w:t>
            </w:r>
          </w:p>
        </w:tc>
      </w:tr>
      <w:tr>
        <w:tc>
          <w:tcPr>
            <w:tcW w:type="dxa" w:w="1300"/>
            <w:tcMar>
              <w:top w:w="75" w:type="dxa"/>
              <w:start w:w="75" w:type="dxa"/>
              <w:bottom w:w="75" w:type="dxa"/>
              <w:end w:w="75" w:type="dxa"/>
            </w:tcMar>
          </w:tcPr>
          <w:p>
            <w:pPr>
              <w:spacing w:after="0"/>
            </w:pPr>
            <w:r>
              <w:rPr>
                <w:rFonts w:ascii="Arial" w:hAnsi="Arial"/>
                <w:b/>
                <w:color w:val="2F7F9E"/>
                <w:sz w:val="17"/>
              </w:rPr>
              <w:t>6</w:t>
            </w:r>
          </w:p>
        </w:tc>
        <w:tc>
          <w:tcPr>
            <w:tcW w:type="dxa" w:w="6700"/>
            <w:tcMar>
              <w:top w:w="75" w:type="dxa"/>
              <w:start w:w="75" w:type="dxa"/>
              <w:bottom w:w="75" w:type="dxa"/>
              <w:end w:w="75" w:type="dxa"/>
            </w:tcMar>
          </w:tcPr>
          <w:p>
            <w:pPr>
              <w:spacing w:after="0"/>
            </w:pPr>
            <w:r>
              <w:rPr>
                <w:rFonts w:ascii="Arial" w:hAnsi="Arial"/>
                <w:color w:val="1B1B1C"/>
                <w:sz w:val="17"/>
              </w:rPr>
              <w:t>From finding to funded roadmap</w:t>
            </w:r>
          </w:p>
        </w:tc>
        <w:tc>
          <w:tcPr>
            <w:tcW w:type="dxa" w:w="700"/>
            <w:tcMar>
              <w:top w:w="75" w:type="dxa"/>
              <w:start w:w="75" w:type="dxa"/>
              <w:bottom w:w="75" w:type="dxa"/>
              <w:end w:w="75" w:type="dxa"/>
            </w:tcMar>
          </w:tcPr>
          <w:p>
            <w:pPr>
              <w:spacing w:after="0"/>
              <w:jc w:val="right"/>
            </w:pPr>
            <w:r>
              <w:rPr>
                <w:rFonts w:ascii="Arial" w:hAnsi="Arial"/>
                <w:b/>
                <w:color w:val="7D766A"/>
                <w:sz w:val="17"/>
              </w:rPr>
              <w:t>29</w:t>
            </w:r>
          </w:p>
        </w:tc>
      </w:tr>
      <w:tr>
        <w:tc>
          <w:tcPr>
            <w:tcW w:type="dxa" w:w="1300"/>
            <w:tcMar>
              <w:top w:w="75" w:type="dxa"/>
              <w:start w:w="75" w:type="dxa"/>
              <w:bottom w:w="75" w:type="dxa"/>
              <w:end w:w="75" w:type="dxa"/>
            </w:tcMar>
            <w:shd w:fill="F1EFE5"/>
          </w:tcPr>
          <w:p>
            <w:pPr>
              <w:spacing w:after="0"/>
            </w:pPr>
            <w:r>
              <w:rPr>
                <w:rFonts w:ascii="Arial" w:hAnsi="Arial"/>
                <w:b/>
                <w:color w:val="2F7F9E"/>
                <w:sz w:val="17"/>
              </w:rPr>
              <w:t>7</w:t>
            </w:r>
          </w:p>
        </w:tc>
        <w:tc>
          <w:tcPr>
            <w:tcW w:type="dxa" w:w="6700"/>
            <w:tcMar>
              <w:top w:w="75" w:type="dxa"/>
              <w:start w:w="75" w:type="dxa"/>
              <w:bottom w:w="75" w:type="dxa"/>
              <w:end w:w="75" w:type="dxa"/>
            </w:tcMar>
            <w:shd w:fill="F1EFE5"/>
          </w:tcPr>
          <w:p>
            <w:pPr>
              <w:spacing w:after="0"/>
            </w:pPr>
            <w:r>
              <w:rPr>
                <w:rFonts w:ascii="Arial" w:hAnsi="Arial"/>
                <w:color w:val="1B1B1C"/>
                <w:sz w:val="17"/>
              </w:rPr>
              <w:t>Government, law and policy</w:t>
            </w:r>
          </w:p>
        </w:tc>
        <w:tc>
          <w:tcPr>
            <w:tcW w:type="dxa" w:w="700"/>
            <w:tcMar>
              <w:top w:w="75" w:type="dxa"/>
              <w:start w:w="75" w:type="dxa"/>
              <w:bottom w:w="75" w:type="dxa"/>
              <w:end w:w="75" w:type="dxa"/>
            </w:tcMar>
            <w:shd w:fill="F1EFE5"/>
          </w:tcPr>
          <w:p>
            <w:pPr>
              <w:spacing w:after="0"/>
              <w:jc w:val="right"/>
            </w:pPr>
            <w:r>
              <w:rPr>
                <w:rFonts w:ascii="Arial" w:hAnsi="Arial"/>
                <w:b/>
                <w:color w:val="7D766A"/>
                <w:sz w:val="17"/>
              </w:rPr>
              <w:t>31</w:t>
            </w:r>
          </w:p>
        </w:tc>
      </w:tr>
      <w:tr>
        <w:tc>
          <w:tcPr>
            <w:tcW w:type="dxa" w:w="1300"/>
            <w:tcMar>
              <w:top w:w="75" w:type="dxa"/>
              <w:start w:w="75" w:type="dxa"/>
              <w:bottom w:w="75" w:type="dxa"/>
              <w:end w:w="75" w:type="dxa"/>
            </w:tcMar>
          </w:tcPr>
          <w:p>
            <w:pPr>
              <w:spacing w:after="0"/>
            </w:pPr>
            <w:r>
              <w:rPr>
                <w:rFonts w:ascii="Arial" w:hAnsi="Arial"/>
                <w:b/>
                <w:color w:val="2F7F9E"/>
                <w:sz w:val="17"/>
              </w:rPr>
              <w:t>8</w:t>
            </w:r>
          </w:p>
        </w:tc>
        <w:tc>
          <w:tcPr>
            <w:tcW w:type="dxa" w:w="6700"/>
            <w:tcMar>
              <w:top w:w="75" w:type="dxa"/>
              <w:start w:w="75" w:type="dxa"/>
              <w:bottom w:w="75" w:type="dxa"/>
              <w:end w:w="75" w:type="dxa"/>
            </w:tcMar>
          </w:tcPr>
          <w:p>
            <w:pPr>
              <w:spacing w:after="0"/>
            </w:pPr>
            <w:r>
              <w:rPr>
                <w:rFonts w:ascii="Arial" w:hAnsi="Arial"/>
                <w:color w:val="1B1B1C"/>
                <w:sz w:val="17"/>
              </w:rPr>
              <w:t>Reference cases</w:t>
            </w:r>
          </w:p>
        </w:tc>
        <w:tc>
          <w:tcPr>
            <w:tcW w:type="dxa" w:w="700"/>
            <w:tcMar>
              <w:top w:w="75" w:type="dxa"/>
              <w:start w:w="75" w:type="dxa"/>
              <w:bottom w:w="75" w:type="dxa"/>
              <w:end w:w="75" w:type="dxa"/>
            </w:tcMar>
          </w:tcPr>
          <w:p>
            <w:pPr>
              <w:spacing w:after="0"/>
              <w:jc w:val="right"/>
            </w:pPr>
            <w:r>
              <w:rPr>
                <w:rFonts w:ascii="Arial" w:hAnsi="Arial"/>
                <w:b/>
                <w:color w:val="7D766A"/>
                <w:sz w:val="17"/>
              </w:rPr>
              <w:t>34</w:t>
            </w:r>
          </w:p>
        </w:tc>
      </w:tr>
      <w:tr>
        <w:tc>
          <w:tcPr>
            <w:tcW w:type="dxa" w:w="1300"/>
            <w:tcMar>
              <w:top w:w="75" w:type="dxa"/>
              <w:start w:w="75" w:type="dxa"/>
              <w:bottom w:w="75" w:type="dxa"/>
              <w:end w:w="75" w:type="dxa"/>
            </w:tcMar>
            <w:shd w:fill="F1EFE5"/>
          </w:tcPr>
          <w:p>
            <w:pPr>
              <w:spacing w:after="0"/>
            </w:pPr>
            <w:r>
              <w:rPr>
                <w:rFonts w:ascii="Arial" w:hAnsi="Arial"/>
                <w:b/>
                <w:color w:val="2F7F9E"/>
                <w:sz w:val="17"/>
              </w:rPr>
              <w:t>9</w:t>
            </w:r>
          </w:p>
        </w:tc>
        <w:tc>
          <w:tcPr>
            <w:tcW w:type="dxa" w:w="6700"/>
            <w:tcMar>
              <w:top w:w="75" w:type="dxa"/>
              <w:start w:w="75" w:type="dxa"/>
              <w:bottom w:w="75" w:type="dxa"/>
              <w:end w:w="75" w:type="dxa"/>
            </w:tcMar>
            <w:shd w:fill="F1EFE5"/>
          </w:tcPr>
          <w:p>
            <w:pPr>
              <w:spacing w:after="0"/>
            </w:pPr>
            <w:r>
              <w:rPr>
                <w:rFonts w:ascii="Arial" w:hAnsi="Arial"/>
                <w:color w:val="1B1B1C"/>
                <w:sz w:val="17"/>
              </w:rPr>
              <w:t>The commercial application</w:t>
            </w:r>
          </w:p>
        </w:tc>
        <w:tc>
          <w:tcPr>
            <w:tcW w:type="dxa" w:w="700"/>
            <w:tcMar>
              <w:top w:w="75" w:type="dxa"/>
              <w:start w:w="75" w:type="dxa"/>
              <w:bottom w:w="75" w:type="dxa"/>
              <w:end w:w="75" w:type="dxa"/>
            </w:tcMar>
            <w:shd w:fill="F1EFE5"/>
          </w:tcPr>
          <w:p>
            <w:pPr>
              <w:spacing w:after="0"/>
              <w:jc w:val="right"/>
            </w:pPr>
            <w:r>
              <w:rPr>
                <w:rFonts w:ascii="Arial" w:hAnsi="Arial"/>
                <w:b/>
                <w:color w:val="7D766A"/>
                <w:sz w:val="17"/>
              </w:rPr>
              <w:t>36</w:t>
            </w:r>
          </w:p>
        </w:tc>
      </w:tr>
      <w:tr>
        <w:tc>
          <w:tcPr>
            <w:tcW w:type="dxa" w:w="1300"/>
            <w:tcMar>
              <w:top w:w="75" w:type="dxa"/>
              <w:start w:w="75" w:type="dxa"/>
              <w:bottom w:w="75" w:type="dxa"/>
              <w:end w:w="75" w:type="dxa"/>
            </w:tcMar>
          </w:tcPr>
          <w:p>
            <w:pPr>
              <w:spacing w:after="0"/>
            </w:pPr>
            <w:r>
              <w:rPr>
                <w:rFonts w:ascii="Arial" w:hAnsi="Arial"/>
                <w:b/>
                <w:color w:val="2F7F9E"/>
                <w:sz w:val="17"/>
              </w:rPr>
              <w:t>10</w:t>
            </w:r>
          </w:p>
        </w:tc>
        <w:tc>
          <w:tcPr>
            <w:tcW w:type="dxa" w:w="6700"/>
            <w:tcMar>
              <w:top w:w="75" w:type="dxa"/>
              <w:start w:w="75" w:type="dxa"/>
              <w:bottom w:w="75" w:type="dxa"/>
              <w:end w:w="75" w:type="dxa"/>
            </w:tcMar>
          </w:tcPr>
          <w:p>
            <w:pPr>
              <w:spacing w:after="0"/>
            </w:pPr>
            <w:r>
              <w:rPr>
                <w:rFonts w:ascii="Arial" w:hAnsi="Arial"/>
                <w:color w:val="1B1B1C"/>
                <w:sz w:val="17"/>
              </w:rPr>
              <w:t>The governance backbone for Pump OS, Pipe OS and Reg OS</w:t>
            </w:r>
          </w:p>
        </w:tc>
        <w:tc>
          <w:tcPr>
            <w:tcW w:type="dxa" w:w="700"/>
            <w:tcMar>
              <w:top w:w="75" w:type="dxa"/>
              <w:start w:w="75" w:type="dxa"/>
              <w:bottom w:w="75" w:type="dxa"/>
              <w:end w:w="75" w:type="dxa"/>
            </w:tcMar>
          </w:tcPr>
          <w:p>
            <w:pPr>
              <w:spacing w:after="0"/>
              <w:jc w:val="right"/>
            </w:pPr>
            <w:r>
              <w:rPr>
                <w:rFonts w:ascii="Arial" w:hAnsi="Arial"/>
                <w:b/>
                <w:color w:val="7D766A"/>
                <w:sz w:val="17"/>
              </w:rPr>
              <w:t>42</w:t>
            </w:r>
          </w:p>
        </w:tc>
      </w:tr>
      <w:tr>
        <w:tc>
          <w:tcPr>
            <w:tcW w:type="dxa" w:w="1300"/>
            <w:tcMar>
              <w:top w:w="75" w:type="dxa"/>
              <w:start w:w="75" w:type="dxa"/>
              <w:bottom w:w="75" w:type="dxa"/>
              <w:end w:w="75" w:type="dxa"/>
            </w:tcMar>
            <w:shd w:fill="F1EFE5"/>
          </w:tcPr>
          <w:p>
            <w:pPr>
              <w:spacing w:after="0"/>
            </w:pPr>
            <w:r>
              <w:rPr>
                <w:rFonts w:ascii="Arial" w:hAnsi="Arial"/>
                <w:b/>
                <w:color w:val="2F7F9E"/>
                <w:sz w:val="17"/>
              </w:rPr>
              <w:t>11</w:t>
            </w:r>
          </w:p>
        </w:tc>
        <w:tc>
          <w:tcPr>
            <w:tcW w:type="dxa" w:w="6700"/>
            <w:tcMar>
              <w:top w:w="75" w:type="dxa"/>
              <w:start w:w="75" w:type="dxa"/>
              <w:bottom w:w="75" w:type="dxa"/>
              <w:end w:w="75" w:type="dxa"/>
            </w:tcMar>
            <w:shd w:fill="F1EFE5"/>
          </w:tcPr>
          <w:p>
            <w:pPr>
              <w:spacing w:after="0"/>
            </w:pPr>
            <w:r>
              <w:rPr>
                <w:rFonts w:ascii="Arial" w:hAnsi="Arial"/>
                <w:color w:val="1B1B1C"/>
                <w:sz w:val="17"/>
              </w:rPr>
              <w:t>A practical 90-day start</w:t>
            </w:r>
          </w:p>
        </w:tc>
        <w:tc>
          <w:tcPr>
            <w:tcW w:type="dxa" w:w="700"/>
            <w:tcMar>
              <w:top w:w="75" w:type="dxa"/>
              <w:start w:w="75" w:type="dxa"/>
              <w:bottom w:w="75" w:type="dxa"/>
              <w:end w:w="75" w:type="dxa"/>
            </w:tcMar>
            <w:shd w:fill="F1EFE5"/>
          </w:tcPr>
          <w:p>
            <w:pPr>
              <w:spacing w:after="0"/>
              <w:jc w:val="right"/>
            </w:pPr>
            <w:r>
              <w:rPr>
                <w:rFonts w:ascii="Arial" w:hAnsi="Arial"/>
                <w:b/>
                <w:color w:val="7D766A"/>
                <w:sz w:val="17"/>
              </w:rPr>
              <w:t>47</w:t>
            </w:r>
          </w:p>
        </w:tc>
      </w:tr>
      <w:tr>
        <w:tc>
          <w:tcPr>
            <w:tcW w:type="dxa" w:w="1300"/>
            <w:tcMar>
              <w:top w:w="75" w:type="dxa"/>
              <w:start w:w="75" w:type="dxa"/>
              <w:bottom w:w="75" w:type="dxa"/>
              <w:end w:w="75" w:type="dxa"/>
            </w:tcMar>
          </w:tcPr>
          <w:p>
            <w:pPr>
              <w:spacing w:after="0"/>
            </w:pPr>
            <w:r>
              <w:rPr>
                <w:rFonts w:ascii="Arial" w:hAnsi="Arial"/>
                <w:b/>
                <w:color w:val="2F7F9E"/>
                <w:sz w:val="17"/>
              </w:rPr>
              <w:t>Closing</w:t>
            </w:r>
          </w:p>
        </w:tc>
        <w:tc>
          <w:tcPr>
            <w:tcW w:type="dxa" w:w="6700"/>
            <w:tcMar>
              <w:top w:w="75" w:type="dxa"/>
              <w:start w:w="75" w:type="dxa"/>
              <w:bottom w:w="75" w:type="dxa"/>
              <w:end w:w="75" w:type="dxa"/>
            </w:tcMar>
          </w:tcPr>
          <w:p>
            <w:pPr>
              <w:spacing w:after="0"/>
            </w:pPr>
            <w:r>
              <w:rPr>
                <w:rFonts w:ascii="Arial" w:hAnsi="Arial"/>
                <w:color w:val="1B1B1C"/>
                <w:sz w:val="17"/>
              </w:rPr>
              <w:t>The work is to make data usable and accountable</w:t>
            </w:r>
          </w:p>
        </w:tc>
        <w:tc>
          <w:tcPr>
            <w:tcW w:type="dxa" w:w="700"/>
            <w:tcMar>
              <w:top w:w="75" w:type="dxa"/>
              <w:start w:w="75" w:type="dxa"/>
              <w:bottom w:w="75" w:type="dxa"/>
              <w:end w:w="75" w:type="dxa"/>
            </w:tcMar>
          </w:tcPr>
          <w:p>
            <w:pPr>
              <w:spacing w:after="0"/>
              <w:jc w:val="right"/>
            </w:pPr>
            <w:r>
              <w:rPr>
                <w:rFonts w:ascii="Arial" w:hAnsi="Arial"/>
                <w:b/>
                <w:color w:val="7D766A"/>
                <w:sz w:val="17"/>
              </w:rPr>
              <w:t>49</w:t>
            </w:r>
          </w:p>
        </w:tc>
      </w:tr>
      <w:tr>
        <w:tc>
          <w:tcPr>
            <w:tcW w:type="dxa" w:w="1300"/>
            <w:tcMar>
              <w:top w:w="75" w:type="dxa"/>
              <w:start w:w="75" w:type="dxa"/>
              <w:bottom w:w="75" w:type="dxa"/>
              <w:end w:w="75" w:type="dxa"/>
            </w:tcMar>
            <w:shd w:fill="F1EFE5"/>
          </w:tcPr>
          <w:p>
            <w:pPr>
              <w:spacing w:after="0"/>
            </w:pPr>
            <w:r>
              <w:rPr>
                <w:rFonts w:ascii="Arial" w:hAnsi="Arial"/>
                <w:b/>
                <w:color w:val="2F7F9E"/>
                <w:sz w:val="17"/>
              </w:rPr>
              <w:t>Appendix A</w:t>
            </w:r>
          </w:p>
        </w:tc>
        <w:tc>
          <w:tcPr>
            <w:tcW w:type="dxa" w:w="6700"/>
            <w:tcMar>
              <w:top w:w="75" w:type="dxa"/>
              <w:start w:w="75" w:type="dxa"/>
              <w:bottom w:w="75" w:type="dxa"/>
              <w:end w:w="75" w:type="dxa"/>
            </w:tcMar>
            <w:shd w:fill="F1EFE5"/>
          </w:tcPr>
          <w:p>
            <w:pPr>
              <w:spacing w:after="0"/>
            </w:pPr>
            <w:r>
              <w:rPr>
                <w:rFonts w:ascii="Arial" w:hAnsi="Arial"/>
                <w:color w:val="1B1B1C"/>
                <w:sz w:val="17"/>
              </w:rPr>
              <w:t>The 60 assessment criteria</w:t>
            </w:r>
          </w:p>
        </w:tc>
        <w:tc>
          <w:tcPr>
            <w:tcW w:type="dxa" w:w="700"/>
            <w:tcMar>
              <w:top w:w="75" w:type="dxa"/>
              <w:start w:w="75" w:type="dxa"/>
              <w:bottom w:w="75" w:type="dxa"/>
              <w:end w:w="75" w:type="dxa"/>
            </w:tcMar>
            <w:shd w:fill="F1EFE5"/>
          </w:tcPr>
          <w:p>
            <w:pPr>
              <w:spacing w:after="0"/>
              <w:jc w:val="right"/>
            </w:pPr>
            <w:r>
              <w:rPr>
                <w:rFonts w:ascii="Arial" w:hAnsi="Arial"/>
                <w:b/>
                <w:color w:val="7D766A"/>
                <w:sz w:val="17"/>
              </w:rPr>
              <w:t>50</w:t>
            </w:r>
          </w:p>
        </w:tc>
      </w:tr>
      <w:tr>
        <w:tc>
          <w:tcPr>
            <w:tcW w:type="dxa" w:w="1300"/>
            <w:tcMar>
              <w:top w:w="75" w:type="dxa"/>
              <w:start w:w="75" w:type="dxa"/>
              <w:bottom w:w="75" w:type="dxa"/>
              <w:end w:w="75" w:type="dxa"/>
            </w:tcMar>
          </w:tcPr>
          <w:p>
            <w:pPr>
              <w:spacing w:after="0"/>
            </w:pPr>
            <w:r>
              <w:rPr>
                <w:rFonts w:ascii="Arial" w:hAnsi="Arial"/>
                <w:b/>
                <w:color w:val="2F7F9E"/>
                <w:sz w:val="17"/>
              </w:rPr>
              <w:t>Appendix B</w:t>
            </w:r>
          </w:p>
        </w:tc>
        <w:tc>
          <w:tcPr>
            <w:tcW w:type="dxa" w:w="6700"/>
            <w:tcMar>
              <w:top w:w="75" w:type="dxa"/>
              <w:start w:w="75" w:type="dxa"/>
              <w:bottom w:w="75" w:type="dxa"/>
              <w:end w:w="75" w:type="dxa"/>
            </w:tcMar>
          </w:tcPr>
          <w:p>
            <w:pPr>
              <w:spacing w:after="0"/>
            </w:pPr>
            <w:r>
              <w:rPr>
                <w:rFonts w:ascii="Arial" w:hAnsi="Arial"/>
                <w:color w:val="1B1B1C"/>
                <w:sz w:val="17"/>
              </w:rPr>
              <w:t>Linked references and source register</w:t>
            </w:r>
          </w:p>
        </w:tc>
        <w:tc>
          <w:tcPr>
            <w:tcW w:type="dxa" w:w="700"/>
            <w:tcMar>
              <w:top w:w="75" w:type="dxa"/>
              <w:start w:w="75" w:type="dxa"/>
              <w:bottom w:w="75" w:type="dxa"/>
              <w:end w:w="75" w:type="dxa"/>
            </w:tcMar>
          </w:tcPr>
          <w:p>
            <w:pPr>
              <w:spacing w:after="0"/>
              <w:jc w:val="right"/>
            </w:pPr>
            <w:r>
              <w:rPr>
                <w:rFonts w:ascii="Arial" w:hAnsi="Arial"/>
                <w:b/>
                <w:color w:val="7D766A"/>
                <w:sz w:val="17"/>
              </w:rPr>
              <w:t>57</w:t>
            </w:r>
          </w:p>
        </w:tc>
      </w:tr>
      <w:tr>
        <w:tc>
          <w:tcPr>
            <w:tcW w:type="dxa" w:w="1300"/>
            <w:tcMar>
              <w:top w:w="75" w:type="dxa"/>
              <w:start w:w="75" w:type="dxa"/>
              <w:bottom w:w="75" w:type="dxa"/>
              <w:end w:w="75" w:type="dxa"/>
            </w:tcMar>
            <w:shd w:fill="F1EFE5"/>
          </w:tcPr>
          <w:p>
            <w:pPr>
              <w:spacing w:after="0"/>
            </w:pPr>
            <w:r>
              <w:rPr>
                <w:rFonts w:ascii="Arial" w:hAnsi="Arial"/>
                <w:b/>
                <w:color w:val="2F7F9E"/>
                <w:sz w:val="17"/>
              </w:rPr>
              <w:t>Appendix C</w:t>
            </w:r>
          </w:p>
        </w:tc>
        <w:tc>
          <w:tcPr>
            <w:tcW w:type="dxa" w:w="6700"/>
            <w:tcMar>
              <w:top w:w="75" w:type="dxa"/>
              <w:start w:w="75" w:type="dxa"/>
              <w:bottom w:w="75" w:type="dxa"/>
              <w:end w:w="75" w:type="dxa"/>
            </w:tcMar>
            <w:shd w:fill="F1EFE5"/>
          </w:tcPr>
          <w:p>
            <w:pPr>
              <w:spacing w:after="0"/>
            </w:pPr>
            <w:r>
              <w:rPr>
                <w:rFonts w:ascii="Arial" w:hAnsi="Arial"/>
                <w:color w:val="1B1B1C"/>
                <w:sz w:val="17"/>
              </w:rPr>
              <w:t>Plain-language glossary</w:t>
            </w:r>
          </w:p>
        </w:tc>
        <w:tc>
          <w:tcPr>
            <w:tcW w:type="dxa" w:w="700"/>
            <w:tcMar>
              <w:top w:w="75" w:type="dxa"/>
              <w:start w:w="75" w:type="dxa"/>
              <w:bottom w:w="75" w:type="dxa"/>
              <w:end w:w="75" w:type="dxa"/>
            </w:tcMar>
            <w:shd w:fill="F1EFE5"/>
          </w:tcPr>
          <w:p>
            <w:pPr>
              <w:spacing w:after="0"/>
              <w:jc w:val="right"/>
            </w:pPr>
            <w:r>
              <w:rPr>
                <w:rFonts w:ascii="Arial" w:hAnsi="Arial"/>
                <w:b/>
                <w:color w:val="7D766A"/>
                <w:sz w:val="17"/>
              </w:rPr>
              <w:t>63</w:t>
            </w:r>
          </w:p>
        </w:tc>
      </w:tr>
      <w:tr>
        <w:tc>
          <w:tcPr>
            <w:tcW w:type="dxa" w:w="1300"/>
            <w:tcMar>
              <w:top w:w="75" w:type="dxa"/>
              <w:start w:w="75" w:type="dxa"/>
              <w:bottom w:w="75" w:type="dxa"/>
              <w:end w:w="75" w:type="dxa"/>
            </w:tcMar>
          </w:tcPr>
          <w:p>
            <w:pPr>
              <w:spacing w:after="0"/>
            </w:pPr>
            <w:r>
              <w:rPr>
                <w:rFonts w:ascii="Arial" w:hAnsi="Arial"/>
                <w:b/>
                <w:color w:val="2F7F9E"/>
                <w:sz w:val="17"/>
              </w:rPr>
              <w:t>Appendix D</w:t>
            </w:r>
          </w:p>
        </w:tc>
        <w:tc>
          <w:tcPr>
            <w:tcW w:type="dxa" w:w="6700"/>
            <w:tcMar>
              <w:top w:w="75" w:type="dxa"/>
              <w:start w:w="75" w:type="dxa"/>
              <w:bottom w:w="75" w:type="dxa"/>
              <w:end w:w="75" w:type="dxa"/>
            </w:tcMar>
          </w:tcPr>
          <w:p>
            <w:pPr>
              <w:spacing w:after="0"/>
            </w:pPr>
            <w:r>
              <w:rPr>
                <w:rFonts w:ascii="Arial" w:hAnsi="Arial"/>
                <w:color w:val="1B1B1C"/>
                <w:sz w:val="17"/>
              </w:rPr>
              <w:t>Validation protocol, worked example and release gates</w:t>
            </w:r>
          </w:p>
        </w:tc>
        <w:tc>
          <w:tcPr>
            <w:tcW w:type="dxa" w:w="700"/>
            <w:tcMar>
              <w:top w:w="75" w:type="dxa"/>
              <w:start w:w="75" w:type="dxa"/>
              <w:bottom w:w="75" w:type="dxa"/>
              <w:end w:w="75" w:type="dxa"/>
            </w:tcMar>
          </w:tcPr>
          <w:p>
            <w:pPr>
              <w:spacing w:after="0"/>
              <w:jc w:val="right"/>
            </w:pPr>
            <w:r>
              <w:rPr>
                <w:rFonts w:ascii="Arial" w:hAnsi="Arial"/>
                <w:b/>
                <w:color w:val="7D766A"/>
                <w:sz w:val="17"/>
              </w:rPr>
              <w:t>69</w:t>
            </w:r>
          </w:p>
        </w:tc>
      </w:tr>
    </w:tbl>
    <w:p>
      <w:pPr>
        <w:spacing w:before="200" w:after="0"/>
      </w:pPr>
      <w:r>
        <w:rPr>
          <w:rFonts w:ascii="Arial" w:hAnsi="Arial"/>
          <w:color w:val="7D766A"/>
          <w:sz w:val="16"/>
        </w:rPr>
        <w:t>Research basis: 217 primary sources and 60 evidence-backed assessment criteria. Verified through 18 July 2026.</w:t>
      </w:r>
    </w:p>
    <w:p>
      <w:pPr>
        <w:pageBreakBefore/>
        <w:spacing w:after="100"/>
      </w:pPr>
      <w:r>
        <w:rPr>
          <w:rFonts w:ascii="Arial" w:hAnsi="Arial"/>
          <w:b/>
          <w:color w:val="2F7F9E"/>
          <w:sz w:val="17"/>
        </w:rPr>
        <w:t>APPLICATION PAPER</w:t>
      </w:r>
    </w:p>
    <w:p>
      <w:pPr>
        <w:pStyle w:val="Heading1"/>
      </w:pPr>
      <w:r>
        <w:t>Foreword | Why I wrote this</w:t>
      </w:r>
    </w:p>
    <w:p>
      <w:pPr>
        <w:pStyle w:val="Subtitle"/>
        <w:spacing w:after="280"/>
      </w:pPr>
      <w:r>
        <w:rPr>
          <w:color w:val="3C3B36"/>
          <w:sz w:val="25"/>
        </w:rPr>
        <w:t>Data governance has to leave the conference room and enter the work.</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820"/>
      </w:tblGrid>
      <w:tr>
        <w:tc>
          <w:tcPr>
            <w:tcW w:type="dxa" w:w="1500"/>
            <w:shd w:fill="E0A64A"/>
            <w:tcMar>
              <w:top w:w="0" w:type="dxa"/>
              <w:start w:w="0" w:type="dxa"/>
              <w:bottom w:w="0" w:type="dxa"/>
              <w:end w:w="0" w:type="dxa"/>
            </w:tcMar>
          </w:tcPr>
          <w:p>
            <w:pPr>
              <w:spacing w:after="0"/>
            </w:pPr>
            <w:r>
              <w:rPr>
                <w:sz w:val="4"/>
              </w:rPr>
              <w:t xml:space="preserve"> </w:t>
            </w:r>
          </w:p>
        </w:tc>
      </w:tr>
    </w:tbl>
    <w:p>
      <w:pPr>
        <w:spacing w:after="200"/>
      </w:pPr>
      <w:r>
        <w:rPr>
          <w:rFonts w:ascii="Times New Roman" w:hAnsi="Times New Roman"/>
          <w:color w:val="1B1B1C"/>
          <w:sz w:val="25"/>
        </w:rPr>
        <w:t>For 30 years, I have worked where public responsibility meets the physical reality of water. I have seen the work from the regulatory side and from the operator's chair. From both seats, the same truth keeps returning: a utility can own excellent systems and still struggle to explain which answer is authoritative, who accepted it and what evidence stands behind the decision.</w:t>
      </w:r>
    </w:p>
    <w:p>
      <w:r>
        <w:t>That is why I wrote this paper. I did not want to add another abstract definition of data governance. I wanted to make the work operational. If we use the word One in One Water, we should be able to show what One means across control systems, assets, laboratories, models, customers, regulation and the decisions that connect them. If we say artificial intelligence (AI) governance or data governance, we should be able to name the person, the control, the evidence and the outcome.</w:t>
      </w:r>
    </w:p>
    <w:tbl>
      <w:tblPr>
        <w:tblW w:type="auto" w:w="0"/>
        <w:jc w:val="center"/>
        <w:tblLayout w:type="fixed"/>
        <w:tblLook w:firstColumn="1" w:firstRow="1" w:lastColumn="0" w:lastRow="0" w:noHBand="0" w:noVBand="1" w:val="04A0"/>
        <w:tblBorders>
          <w:top w:val="single" w:sz="10" w:space="0" w:color="E0A64A"/>
          <w:left w:val="single" w:sz="10" w:space="0" w:color="E0A64A"/>
          <w:bottom w:val="single" w:sz="10" w:space="0" w:color="E0A64A"/>
          <w:right w:val="single" w:sz="10" w:space="0" w:color="E0A64A"/>
          <w:insideH w:val="single" w:sz="10" w:space="0" w:color="E0A64A"/>
          <w:insideV w:val="single" w:sz="10" w:space="0" w:color="E0A64A"/>
        </w:tblBorders>
      </w:tblPr>
      <w:tblGrid>
        <w:gridCol w:w="9820"/>
      </w:tblGrid>
      <w:tr>
        <w:trPr>
          <w:cantSplit/>
        </w:trPr>
        <w:tc>
          <w:tcPr>
            <w:tcW w:type="dxa" w:w="9820"/>
            <w:shd w:fill="1B1B1C"/>
            <w:tcMar>
              <w:top w:w="140" w:type="dxa"/>
              <w:start w:w="170" w:type="dxa"/>
              <w:bottom w:w="140" w:type="dxa"/>
              <w:end w:w="170" w:type="dxa"/>
            </w:tcMar>
          </w:tcPr>
          <w:p>
            <w:pPr>
              <w:spacing w:after="80"/>
            </w:pPr>
            <w:r>
              <w:rPr>
                <w:rFonts w:ascii="Arial" w:hAnsi="Arial"/>
                <w:b/>
                <w:color w:val="E0A64A"/>
                <w:sz w:val="20"/>
              </w:rPr>
              <w:t>The point</w:t>
            </w:r>
          </w:p>
          <w:p>
            <w:pPr>
              <w:spacing w:after="0"/>
            </w:pPr>
            <w:r>
              <w:rPr>
                <w:rFonts w:ascii="Arial" w:hAnsi="Arial"/>
                <w:color w:val="FFFFFF"/>
                <w:sz w:val="20"/>
              </w:rPr>
              <w:t>A transaction closes a task. A transformation changes the way a utility decides, operates and learns. Our work should create transformational systems, not a larger collection of disconnected transactions.</w:t>
            </w:r>
          </w:p>
        </w:tc>
      </w:tr>
    </w:tbl>
    <w:p>
      <w:pPr>
        <w:spacing w:after="0"/>
      </w:pPr>
    </w:p>
    <w:p>
      <w:r>
        <w:t>AI will change utility work. The harder question is whether utilities will prepare their data before placing more decisions on top of it. If the data cannot be found, joined, understood, traced and challenged, AI will not create transformation. It will automate uncertainty and make weak decisions move faster.</w:t>
      </w:r>
    </w:p>
    <w:p>
      <w:r>
        <w:t>In critical infrastructure, this is not a minor technology problem. Data shapes service, safety, compliance, capital, customer and emergency decisions. When a serious incident occurs, people will ask what information was used, where it came from, who approved it and what warning was missed. The utility should be able to answer before the incident, not after it.</w:t>
      </w:r>
    </w:p>
    <w:p>
      <w:pPr>
        <w:spacing w:after="100"/>
      </w:pPr>
      <w:r>
        <w:t>This paper joins the world of standards, provenance, controls, quality, privacy, cybersecurity and AI to the physical and public work of a utility. A standard becomes useful when it changes a handoff, a decision, a control or a result. Your data is part of your utility. Govern it with the same seriousness as the assets, money and public trust that depend on it.</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10"/>
        <w:gridCol w:w="4910"/>
      </w:tblGrid>
      <w:tr>
        <w:tc>
          <w:tcPr>
            <w:tcW w:type="dxa" w:w="3500"/>
            <w:tcMar>
              <w:top w:w="60" w:type="dxa"/>
              <w:start w:w="20" w:type="dxa"/>
              <w:bottom w:w="40" w:type="dxa"/>
              <w:end w:w="120" w:type="dxa"/>
            </w:tcMar>
          </w:tcPr>
          <w:p>
            <w:pPr>
              <w:spacing w:after="0"/>
            </w:pPr>
            <w:r>
              <w:rPr>
                <w:rFonts w:ascii="Arial" w:hAnsi="Arial"/>
                <w:b/>
                <w:color w:val="2F7F9E"/>
                <w:sz w:val="12"/>
              </w:rPr>
              <w:t>ELECTRONIC PUBLICATION SIGNATURE</w:t>
            </w:r>
          </w:p>
          <w:p>
            <w:pPr>
              <w:spacing w:before="40" w:after="0"/>
            </w:pPr>
            <w:r>
              <w:drawing>
                <wp:inline xmlns:a="http://schemas.openxmlformats.org/drawingml/2006/main" xmlns:pic="http://schemas.openxmlformats.org/drawingml/2006/picture">
                  <wp:extent cx="2057400" cy="452628"/>
                  <wp:docPr id="3" name="Picture 3" title="Electronic publication signature of Hardeep Anand" descr="Typographic electronic signature reading Hardeep Anand, used for this publication."/>
                  <wp:cNvGraphicFramePr>
                    <a:graphicFrameLocks noChangeAspect="1"/>
                  </wp:cNvGraphicFramePr>
                  <a:graphic>
                    <a:graphicData uri="http://schemas.openxmlformats.org/drawingml/2006/picture">
                      <pic:pic>
                        <pic:nvPicPr>
                          <pic:cNvPr id="0" name="electronic-publication-signature.png"/>
                          <pic:cNvPicPr/>
                        </pic:nvPicPr>
                        <pic:blipFill>
                          <a:blip r:embed="rId23"/>
                          <a:stretch>
                            <a:fillRect/>
                          </a:stretch>
                        </pic:blipFill>
                        <pic:spPr>
                          <a:xfrm>
                            <a:off x="0" y="0"/>
                            <a:ext cx="2057400" cy="452628"/>
                          </a:xfrm>
                          <a:prstGeom prst="rect"/>
                        </pic:spPr>
                      </pic:pic>
                    </a:graphicData>
                  </a:graphic>
                </wp:inline>
              </w:drawing>
            </w:r>
          </w:p>
        </w:tc>
        <w:tc>
          <w:tcPr>
            <w:tcW w:type="dxa" w:w="5800"/>
            <w:tcMar>
              <w:top w:w="70" w:type="dxa"/>
              <w:start w:w="180" w:type="dxa"/>
              <w:bottom w:w="40" w:type="dxa"/>
              <w:end w:w="20" w:type="dxa"/>
            </w:tcMar>
          </w:tcPr>
          <w:p>
            <w:pPr>
              <w:spacing w:after="20"/>
            </w:pPr>
            <w:r>
              <w:rPr>
                <w:rFonts w:ascii="Times New Roman" w:hAnsi="Times New Roman"/>
                <w:b/>
                <w:color w:val="1B1B1C"/>
                <w:sz w:val="23"/>
              </w:rPr>
              <w:t>Hardeep Anand, P.E.</w:t>
            </w:r>
          </w:p>
          <w:p>
            <w:pPr>
              <w:spacing w:after="60"/>
            </w:pPr>
            <w:r>
              <w:rPr>
                <w:rFonts w:ascii="Arial" w:hAnsi="Arial"/>
                <w:b/>
                <w:color w:val="2F7F9E"/>
                <w:sz w:val="16"/>
              </w:rPr>
              <w:t>Founder, APAS AI</w:t>
            </w:r>
          </w:p>
          <w:p>
            <w:pPr>
              <w:spacing w:after="0"/>
            </w:pPr>
            <w:hyperlink r:id="rId24">
              <w:r>
                <w:rPr>
                  <w:color w:val="2F7F9E"/>
                  <w:rFonts w:ascii="Arial" w:hAnsi="Arial"/>
                  <w:sz w:val="13"/>
                  <w:u w:val="none"/>
                </w:rPr>
                <w:t>hardeep@apas.ai</w:t>
              </w:r>
            </w:hyperlink>
            <w:r>
              <w:rPr>
                <w:color w:val="7D766A"/>
              </w:rPr>
              <w:t xml:space="preserve">  |  </w:t>
            </w:r>
            <w:hyperlink r:id="rId25">
              <w:r>
                <w:rPr>
                  <w:color w:val="2F7F9E"/>
                  <w:rFonts w:ascii="Arial" w:hAnsi="Arial"/>
                  <w:sz w:val="13"/>
                  <w:u w:val="none"/>
                </w:rPr>
                <w:t>apas.ai</w:t>
              </w:r>
            </w:hyperlink>
            <w:r>
              <w:rPr>
                <w:color w:val="7D766A"/>
              </w:rPr>
              <w:t xml:space="preserve">  |  </w:t>
            </w:r>
            <w:hyperlink r:id="rId26">
              <w:r>
                <w:rPr>
                  <w:color w:val="2F7F9E"/>
                  <w:rFonts w:ascii="Arial" w:hAnsi="Arial"/>
                  <w:sz w:val="13"/>
                  <w:u w:val="none"/>
                </w:rPr>
                <w:t>LinkedIn</w:t>
              </w:r>
            </w:hyperlink>
          </w:p>
        </w:tc>
      </w:tr>
    </w:tbl>
    <w:p>
      <w:pPr>
        <w:pageBreakBefore/>
        <w:spacing w:after="100"/>
      </w:pPr>
      <w:r>
        <w:rPr>
          <w:rFonts w:ascii="Arial" w:hAnsi="Arial"/>
          <w:b/>
          <w:color w:val="2F7F9E"/>
          <w:sz w:val="17"/>
        </w:rPr>
        <w:t>APPLICATION PAPER</w:t>
      </w:r>
    </w:p>
    <w:p>
      <w:pPr>
        <w:pStyle w:val="Heading1"/>
      </w:pPr>
      <w:r>
        <w:t>Executive summary</w:t>
      </w:r>
    </w:p>
    <w:p>
      <w:pPr>
        <w:pStyle w:val="Subtitle"/>
        <w:spacing w:after="280"/>
      </w:pPr>
      <w:r>
        <w:rPr>
          <w:color w:val="3C3B36"/>
          <w:sz w:val="25"/>
        </w:rPr>
        <w:t>Utilities do not need another governance slogan. They need an operating system for accountable data decisions.</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820"/>
      </w:tblGrid>
      <w:tr>
        <w:tc>
          <w:tcPr>
            <w:tcW w:type="dxa" w:w="1500"/>
            <w:shd w:fill="E0A64A"/>
            <w:tcMar>
              <w:top w:w="0" w:type="dxa"/>
              <w:start w:w="0" w:type="dxa"/>
              <w:bottom w:w="0" w:type="dxa"/>
              <w:end w:w="0" w:type="dxa"/>
            </w:tcMar>
          </w:tcPr>
          <w:p>
            <w:pPr>
              <w:spacing w:after="0"/>
            </w:pPr>
            <w:r>
              <w:rPr>
                <w:sz w:val="4"/>
              </w:rPr>
              <w:t xml:space="preserve"> </w:t>
            </w:r>
          </w:p>
        </w:tc>
      </w:tr>
    </w:tbl>
    <w:p>
      <w:pPr>
        <w:spacing w:after="200"/>
      </w:pPr>
      <w:r>
        <w:rPr>
          <w:rFonts w:ascii="Times New Roman" w:hAnsi="Times New Roman"/>
          <w:color w:val="1B1B1C"/>
          <w:sz w:val="25"/>
        </w:rPr>
        <w:t>The central finding is direct: a utility becomes AI-ready by becoming data-ready first. The work is not a technology cleanup exercise. It is the operating discipline that makes consequential decisions explainable, testable and improvable.</w:t>
      </w:r>
    </w:p>
    <w:p>
      <w:pPr>
        <w:pStyle w:val="Heading2"/>
      </w:pPr>
      <w:r>
        <w:t>Three conclusions</w:t>
      </w:r>
    </w:p>
    <w:p>
      <w:pPr>
        <w:pStyle w:val="ListNumber"/>
        <w:numPr>
          <w:ilvl w:val="0"/>
          <w:numId w:val="10"/>
        </w:numPr>
      </w:pPr>
      <w:r>
        <w:t>No single standard completes the job. The International Organization for Standardization (ISO) supplies governance direction. The World Wide Web Consortium (W3C) supplies portable provenance and data descriptions. The National Institute of Standards and Technology (NIST) and the International Electrotechnical Commission (IEC) supply control, risk and assurance methods. Law, regulation and utility context determine what must operate.</w:t>
      </w:r>
    </w:p>
    <w:p>
      <w:pPr>
        <w:pStyle w:val="ListNumber"/>
        <w:numPr>
          <w:ilvl w:val="0"/>
          <w:numId w:val="10"/>
        </w:numPr>
      </w:pPr>
      <w:r>
        <w:t>The utility is one decision system. Control, operational history, mapping, modeling, maintenance, laboratory, meter, customer, finance, regulatory and AI data must connect through shared identity, meaning, ownership, lineage, quality and rights.</w:t>
      </w:r>
    </w:p>
    <w:p>
      <w:pPr>
        <w:pStyle w:val="ListNumber"/>
        <w:numPr>
          <w:ilvl w:val="0"/>
          <w:numId w:val="10"/>
        </w:numPr>
      </w:pPr>
      <w:r>
        <w:t>A score without evidence is an opinion. Maturity, evidence confidence, consequence and urgency must remain visible. Progress is demonstrated by recurring operation, measured results, verified closure and better decisions over time.</w:t>
      </w:r>
    </w:p>
    <w:p>
      <w:pPr>
        <w:pStyle w:val="Heading2"/>
      </w:pPr>
      <w:r>
        <w:t>What a utility should be able to prove</w:t>
      </w:r>
    </w:p>
    <w:p>
      <w:pPr>
        <w:pStyle w:val="ListBullet"/>
      </w:pPr>
      <w:r>
        <w:t>Which source was authoritative for the material decision and why it was fit for that use.</w:t>
      </w:r>
    </w:p>
    <w:p>
      <w:pPr>
        <w:pStyle w:val="ListBullet"/>
      </w:pPr>
      <w:r>
        <w:t>How identity, time, units, location, version and quality survived each system handoff.</w:t>
      </w:r>
    </w:p>
    <w:p>
      <w:pPr>
        <w:pStyle w:val="ListBullet"/>
      </w:pPr>
      <w:r>
        <w:t>Who owned the data, who could change it and who accepted any exception or residual risk.</w:t>
      </w:r>
    </w:p>
    <w:p>
      <w:pPr>
        <w:pStyle w:val="ListBullet"/>
      </w:pPr>
      <w:r>
        <w:t>How the answer moved from physical source through transformation, model or spreadsheet to action and outcome.</w:t>
      </w:r>
    </w:p>
    <w:p>
      <w:pPr>
        <w:pStyle w:val="ListBullet"/>
      </w:pPr>
      <w:r>
        <w:t>What a regulator, auditor, operator, customer or incident team can review later.</w:t>
      </w:r>
    </w:p>
    <w:tbl>
      <w:tblPr>
        <w:tblW w:type="auto" w:w="0"/>
        <w:jc w:val="center"/>
        <w:tblLayout w:type="fixed"/>
        <w:tblLook w:firstColumn="1" w:firstRow="1" w:lastColumn="0" w:lastRow="0" w:noHBand="0" w:noVBand="1" w:val="04A0"/>
        <w:tblBorders>
          <w:top w:val="single" w:sz="10" w:space="0" w:color="2F7F9E"/>
          <w:left w:val="single" w:sz="10" w:space="0" w:color="2F7F9E"/>
          <w:bottom w:val="single" w:sz="10" w:space="0" w:color="2F7F9E"/>
          <w:right w:val="single" w:sz="10" w:space="0" w:color="2F7F9E"/>
          <w:insideH w:val="single" w:sz="10" w:space="0" w:color="2F7F9E"/>
          <w:insideV w:val="single" w:sz="10" w:space="0" w:color="2F7F9E"/>
        </w:tblBorders>
      </w:tblPr>
      <w:tblGrid>
        <w:gridCol w:w="9820"/>
      </w:tblGrid>
      <w:tr>
        <w:trPr>
          <w:cantSplit/>
        </w:trPr>
        <w:tc>
          <w:tcPr>
            <w:tcW w:type="dxa" w:w="9820"/>
            <w:shd w:fill="EAF6FB"/>
            <w:tcMar>
              <w:top w:w="140" w:type="dxa"/>
              <w:start w:w="170" w:type="dxa"/>
              <w:bottom w:w="140" w:type="dxa"/>
              <w:end w:w="170" w:type="dxa"/>
            </w:tcMar>
          </w:tcPr>
          <w:p>
            <w:pPr>
              <w:spacing w:after="80"/>
            </w:pPr>
            <w:r>
              <w:rPr>
                <w:rFonts w:ascii="Arial" w:hAnsi="Arial"/>
                <w:b/>
                <w:color w:val="2F7F9E"/>
                <w:sz w:val="20"/>
              </w:rPr>
              <w:t>Executive decision</w:t>
            </w:r>
          </w:p>
          <w:p>
            <w:pPr>
              <w:spacing w:after="0"/>
            </w:pPr>
            <w:r>
              <w:rPr>
                <w:rFonts w:ascii="Arial" w:hAnsi="Arial"/>
                <w:color w:val="1B1B1C"/>
                <w:sz w:val="20"/>
              </w:rPr>
              <w:t>Treat data readiness as utility readiness. Fund it as an operating capability tied to service, safety, resilience, affordability, compliance and capital delivery. Do not leave it as a technology cleanup project.</w:t>
            </w:r>
          </w:p>
        </w:tc>
      </w:tr>
    </w:tbl>
    <w:p>
      <w:pPr>
        <w:spacing w:after="0"/>
      </w:pPr>
    </w:p>
    <w:p>
      <w:pPr>
        <w:pStyle w:val="Heading2"/>
      </w:pPr>
      <w:r>
        <w:t>The application in one sentence</w:t>
      </w:r>
    </w:p>
    <w:p>
      <w:r>
        <w:t>Build a governed evidence chain from the physical source to the public outcome, use it to locate the current maturity and twin phase, then improve the highest-consequence decisions first.</w:t>
      </w:r>
    </w:p>
    <w:p>
      <w:pPr>
        <w:pageBreakBefore/>
        <w:spacing w:after="100"/>
      </w:pPr>
      <w:r>
        <w:rPr>
          <w:rFonts w:ascii="Arial" w:hAnsi="Arial"/>
          <w:b/>
          <w:color w:val="2F7F9E"/>
          <w:sz w:val="17"/>
        </w:rPr>
        <w:t>APPLICATION PAPER</w:t>
      </w:r>
    </w:p>
    <w:p>
      <w:pPr>
        <w:pStyle w:val="Heading1"/>
      </w:pPr>
      <w:r>
        <w:t>About the author</w:t>
      </w:r>
    </w:p>
    <w:p>
      <w:pPr>
        <w:pStyle w:val="Subtitle"/>
        <w:spacing w:after="280"/>
      </w:pPr>
      <w:r>
        <w:rPr>
          <w:color w:val="3C3B36"/>
          <w:sz w:val="25"/>
        </w:rPr>
        <w:t>Utility leadership, regulatory accountability</w:t>
        <w:br/>
        <w:t>and technology in one operating perspective.</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820"/>
      </w:tblGrid>
      <w:tr>
        <w:tc>
          <w:tcPr>
            <w:tcW w:type="dxa" w:w="1500"/>
            <w:shd w:fill="E0A64A"/>
            <w:tcMar>
              <w:top w:w="0" w:type="dxa"/>
              <w:start w:w="0" w:type="dxa"/>
              <w:bottom w:w="0" w:type="dxa"/>
              <w:end w:w="0" w:type="dxa"/>
            </w:tcMar>
          </w:tcPr>
          <w:p>
            <w:pPr>
              <w:spacing w:after="0"/>
            </w:pPr>
            <w:r>
              <w:rPr>
                <w:sz w:val="4"/>
              </w:rPr>
              <w:t xml:space="preserve"> </w:t>
            </w:r>
          </w:p>
        </w:tc>
      </w:tr>
    </w:tbl>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10"/>
        <w:gridCol w:w="4910"/>
      </w:tblGrid>
      <w:tr>
        <w:tc>
          <w:tcPr>
            <w:tcW w:type="dxa" w:w="2550"/>
            <w:tcMar>
              <w:top w:w="60" w:type="dxa"/>
              <w:start w:w="50" w:type="dxa"/>
              <w:bottom w:w="60" w:type="dxa"/>
              <w:end w:w="120" w:type="dxa"/>
            </w:tcMar>
          </w:tcPr>
          <w:p>
            <w:pPr>
              <w:spacing w:after="120"/>
              <w:jc w:val="center"/>
            </w:pPr>
            <w:r>
              <w:drawing>
                <wp:inline xmlns:a="http://schemas.openxmlformats.org/drawingml/2006/main" xmlns:pic="http://schemas.openxmlformats.org/drawingml/2006/picture">
                  <wp:extent cx="1572768" cy="1572768"/>
                  <wp:docPr id="4" name="Picture 4" title="Hardeep Anand, P.E." descr="Circular portrait of Hardeep Anand, P.E., founder of APAS AI."/>
                  <wp:cNvGraphicFramePr>
                    <a:graphicFrameLocks noChangeAspect="1"/>
                  </wp:cNvGraphicFramePr>
                  <a:graphic>
                    <a:graphicData uri="http://schemas.openxmlformats.org/drawingml/2006/picture">
                      <pic:pic>
                        <pic:nvPicPr>
                          <pic:cNvPr id="0" name="author-portrait.png"/>
                          <pic:cNvPicPr/>
                        </pic:nvPicPr>
                        <pic:blipFill>
                          <a:blip r:embed="rId27"/>
                          <a:stretch>
                            <a:fillRect/>
                          </a:stretch>
                        </pic:blipFill>
                        <pic:spPr>
                          <a:xfrm>
                            <a:off x="0" y="0"/>
                            <a:ext cx="1572768" cy="1572768"/>
                          </a:xfrm>
                          <a:prstGeom prst="rect"/>
                        </pic:spPr>
                      </pic:pic>
                    </a:graphicData>
                  </a:graphic>
                </wp:inline>
              </w:drawing>
            </w:r>
          </w:p>
          <w:p>
            <w:pPr>
              <w:spacing w:after="0"/>
              <w:jc w:val="center"/>
            </w:pPr>
            <w:r>
              <w:rPr>
                <w:rFonts w:ascii="Arial" w:hAnsi="Arial"/>
                <w:i/>
                <w:color w:val="7D766A"/>
                <w:sz w:val="13"/>
              </w:rPr>
              <w:t>Portrait from the author's public LinkedIn profile</w:t>
            </w:r>
          </w:p>
        </w:tc>
        <w:tc>
          <w:tcPr>
            <w:tcW w:type="dxa" w:w="6750"/>
            <w:tcMar>
              <w:top w:w="35" w:type="dxa"/>
              <w:start w:w="160" w:type="dxa"/>
              <w:bottom w:w="35" w:type="dxa"/>
              <w:end w:w="80" w:type="dxa"/>
            </w:tcMar>
          </w:tcPr>
          <w:p>
            <w:pPr>
              <w:spacing w:after="40"/>
            </w:pPr>
            <w:r>
              <w:rPr>
                <w:rFonts w:ascii="Times New Roman" w:hAnsi="Times New Roman"/>
                <w:b/>
                <w:color w:val="1B1B1C"/>
                <w:sz w:val="42"/>
              </w:rPr>
              <w:t>Hardeep Anand, P.E.</w:t>
            </w:r>
          </w:p>
          <w:p>
            <w:pPr>
              <w:spacing w:after="200"/>
            </w:pPr>
            <w:r>
              <w:rPr>
                <w:rFonts w:ascii="Arial" w:hAnsi="Arial"/>
                <w:b/>
                <w:color w:val="2F7F9E"/>
                <w:sz w:val="18"/>
              </w:rPr>
              <w:t>Founder, APAS AI | Professional Engineer | Utility and One Water leader</w:t>
            </w:r>
          </w:p>
          <w:p>
            <w:pPr>
              <w:spacing w:after="60"/>
            </w:pPr>
            <w:hyperlink r:id="rId24">
              <w:r>
                <w:rPr>
                  <w:color w:val="2F7F9E"/>
                  <w:rFonts w:ascii="Arial" w:hAnsi="Arial"/>
                  <w:sz w:val="16"/>
                  <w:u w:val="none"/>
                </w:rPr>
                <w:t>hardeep@apas.ai</w:t>
              </w:r>
            </w:hyperlink>
            <w:r>
              <w:rPr>
                <w:color w:val="7D766A"/>
              </w:rPr>
              <w:t xml:space="preserve">  |  </w:t>
            </w:r>
            <w:hyperlink r:id="rId25">
              <w:r>
                <w:rPr>
                  <w:color w:val="2F7F9E"/>
                  <w:rFonts w:ascii="Arial" w:hAnsi="Arial"/>
                  <w:sz w:val="16"/>
                  <w:u w:val="none"/>
                </w:rPr>
                <w:t>apas.ai</w:t>
              </w:r>
            </w:hyperlink>
          </w:p>
          <w:p>
            <w:pPr>
              <w:spacing w:after="0"/>
            </w:pPr>
            <w:hyperlink r:id="rId26">
              <w:r>
                <w:rPr>
                  <w:color w:val="2F7F9E"/>
                  <w:rFonts w:ascii="Arial" w:hAnsi="Arial"/>
                  <w:sz w:val="16"/>
                  <w:u w:val="none"/>
                </w:rPr>
                <w:t>LinkedIn: /in/hardeepanand</w:t>
              </w:r>
            </w:hyperlink>
          </w:p>
        </w:tc>
      </w:tr>
    </w:tbl>
    <w:p>
      <w:pPr>
        <w:pStyle w:val="Heading2"/>
      </w:pPr>
      <w:r>
        <w:t>A career inside the decisions this paper addresses</w:t>
      </w:r>
    </w:p>
    <w:p>
      <w:r>
        <w:t>Hardeep Anand, P.E., has spent three decades across utility operations, public works, regulatory compliance, capital delivery and One Water strategy. His perspective comes from both sides of accountability: the public agency that must set and enforce requirements, and the utility leader who must translate those requirements into reliable work at scale.</w:t>
      </w:r>
    </w:p>
    <w:p>
      <w:r>
        <w:t>His public-service roles have included Director of One Water Strategy and Deputy Director of Capital Improvements and Regulatory Compliance at Miami-Dade Water and Sewer Department, as well as Public Works Director for the City of Fort Lauderdale. He founded One Water Academy, serves as founder and policy director of the Resilient Utility Coalition, and previously served on the board of The Water Research Foundation.</w:t>
      </w:r>
    </w:p>
    <w:p>
      <w:r>
        <w:t>At APAS AI, he is building operating systems that connect fragmented utility data to the physical asset, the governing rule, the accountable person and the evidence behind the decision. The purpose is practical: help utilities see risk earlier, explain material answers clearly and prepare their data before placing more decisions on AI.</w:t>
      </w:r>
    </w:p>
    <w:tbl>
      <w:tblPr>
        <w:tblW w:type="auto" w:w="0"/>
        <w:jc w:val="center"/>
        <w:tblLayout w:type="fixed"/>
        <w:tblLook w:firstColumn="1" w:firstRow="1" w:lastColumn="0" w:lastRow="0" w:noHBand="0" w:noVBand="1" w:val="04A0"/>
        <w:tblBorders>
          <w:top w:val="single" w:sz="10" w:space="0" w:color="E0A64A"/>
          <w:left w:val="single" w:sz="10" w:space="0" w:color="E0A64A"/>
          <w:bottom w:val="single" w:sz="10" w:space="0" w:color="E0A64A"/>
          <w:right w:val="single" w:sz="10" w:space="0" w:color="E0A64A"/>
          <w:insideH w:val="single" w:sz="10" w:space="0" w:color="E0A64A"/>
          <w:insideV w:val="single" w:sz="10" w:space="0" w:color="E0A64A"/>
        </w:tblBorders>
      </w:tblPr>
      <w:tblGrid>
        <w:gridCol w:w="9820"/>
      </w:tblGrid>
      <w:tr>
        <w:trPr>
          <w:cantSplit/>
        </w:trPr>
        <w:tc>
          <w:tcPr>
            <w:tcW w:type="dxa" w:w="9820"/>
            <w:shd w:fill="1B1B1C"/>
            <w:tcMar>
              <w:top w:w="140" w:type="dxa"/>
              <w:start w:w="170" w:type="dxa"/>
              <w:bottom w:w="140" w:type="dxa"/>
              <w:end w:w="170" w:type="dxa"/>
            </w:tcMar>
          </w:tcPr>
          <w:p>
            <w:pPr>
              <w:spacing w:after="80"/>
            </w:pPr>
            <w:r>
              <w:rPr>
                <w:rFonts w:ascii="Arial" w:hAnsi="Arial"/>
                <w:b/>
                <w:color w:val="E0A64A"/>
                <w:sz w:val="20"/>
              </w:rPr>
              <w:t>Author's operating principle</w:t>
            </w:r>
          </w:p>
          <w:p>
            <w:pPr>
              <w:spacing w:after="0"/>
            </w:pPr>
            <w:r>
              <w:rPr>
                <w:rFonts w:ascii="Arial" w:hAnsi="Arial"/>
                <w:color w:val="FFFFFF"/>
                <w:sz w:val="20"/>
              </w:rPr>
              <w:t>The data was never separate from the utility. The systems and people were separated around it. The work is to reconnect the decision end to end.</w:t>
            </w:r>
          </w:p>
        </w:tc>
      </w:tr>
    </w:tbl>
    <w:p>
      <w:pPr>
        <w:pageBreakBefore/>
        <w:spacing w:after="100"/>
      </w:pPr>
      <w:r>
        <w:rPr>
          <w:rFonts w:ascii="Arial" w:hAnsi="Arial"/>
          <w:b/>
          <w:color w:val="2F7F9E"/>
          <w:sz w:val="17"/>
        </w:rPr>
        <w:t>APPLICATION PAPER</w:t>
      </w:r>
    </w:p>
    <w:p>
      <w:pPr>
        <w:pStyle w:val="Heading1"/>
      </w:pPr>
      <w:r>
        <w:t>1. Why utility data governance matters now</w:t>
      </w:r>
    </w:p>
    <w:p>
      <w:pPr>
        <w:pStyle w:val="Subtitle"/>
        <w:spacing w:after="280"/>
      </w:pPr>
      <w:r>
        <w:rPr>
          <w:color w:val="3C3B36"/>
          <w:sz w:val="25"/>
        </w:rPr>
        <w:t>The issue is not whether a utility has data. The issue is whether it can use the data with accountability.</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820"/>
      </w:tblGrid>
      <w:tr>
        <w:tc>
          <w:tcPr>
            <w:tcW w:type="dxa" w:w="1500"/>
            <w:shd w:fill="E0A64A"/>
            <w:tcMar>
              <w:top w:w="0" w:type="dxa"/>
              <w:start w:w="0" w:type="dxa"/>
              <w:bottom w:w="0" w:type="dxa"/>
              <w:end w:w="0" w:type="dxa"/>
            </w:tcMar>
          </w:tcPr>
          <w:p>
            <w:pPr>
              <w:spacing w:after="0"/>
            </w:pPr>
            <w:r>
              <w:rPr>
                <w:sz w:val="4"/>
              </w:rPr>
              <w:t xml:space="preserve"> </w:t>
            </w:r>
          </w:p>
        </w:tc>
      </w:tr>
    </w:tbl>
    <w:p>
      <w:pPr>
        <w:spacing w:after="200"/>
      </w:pPr>
      <w:r>
        <w:rPr>
          <w:rFonts w:ascii="Times New Roman" w:hAnsi="Times New Roman"/>
          <w:color w:val="1B1B1C"/>
          <w:sz w:val="25"/>
        </w:rPr>
        <w:t>Most utilities already own the source systems. They have supervisory control and data acquisition (SCADA), operational historians, a geographic information system (GIS), advanced metering infrastructure (AMI), customer and billing platforms, a computerized maintenance management system (CMMS) or enterprise asset management (EAM) platform, a laboratory information management system (LIMS), finance tools and many local spreadsheets. The weakness sits above and between them. The organization often cannot answer, quickly and consistently, what data exists, what it means, how it connects, who owns it and whether it is safe to use for a specific decision.</w:t>
      </w:r>
    </w:p>
    <w:tbl>
      <w:tblPr>
        <w:tblW w:type="auto" w:w="0"/>
        <w:jc w:val="center"/>
        <w:tblLayout w:type="fixed"/>
        <w:tblLook w:firstColumn="1" w:firstRow="1" w:lastColumn="0" w:lastRow="0" w:noHBand="0" w:noVBand="1" w:val="04A0"/>
        <w:tblBorders>
          <w:top w:val="single" w:sz="10" w:space="0" w:color="2F7F9E"/>
          <w:left w:val="single" w:sz="10" w:space="0" w:color="2F7F9E"/>
          <w:bottom w:val="single" w:sz="10" w:space="0" w:color="2F7F9E"/>
          <w:right w:val="single" w:sz="10" w:space="0" w:color="2F7F9E"/>
          <w:insideH w:val="single" w:sz="10" w:space="0" w:color="2F7F9E"/>
          <w:insideV w:val="single" w:sz="10" w:space="0" w:color="2F7F9E"/>
        </w:tblBorders>
      </w:tblPr>
      <w:tblGrid>
        <w:gridCol w:w="9820"/>
      </w:tblGrid>
      <w:tr>
        <w:trPr>
          <w:cantSplit/>
        </w:trPr>
        <w:tc>
          <w:tcPr>
            <w:tcW w:type="dxa" w:w="9820"/>
            <w:shd w:fill="EAF6FB"/>
            <w:tcMar>
              <w:top w:w="140" w:type="dxa"/>
              <w:start w:w="170" w:type="dxa"/>
              <w:bottom w:w="140" w:type="dxa"/>
              <w:end w:w="170" w:type="dxa"/>
            </w:tcMar>
          </w:tcPr>
          <w:p>
            <w:pPr>
              <w:spacing w:after="80"/>
            </w:pPr>
            <w:r>
              <w:rPr>
                <w:rFonts w:ascii="Arial" w:hAnsi="Arial"/>
                <w:b/>
                <w:color w:val="2F7F9E"/>
                <w:sz w:val="20"/>
              </w:rPr>
              <w:t>More data is not better data</w:t>
            </w:r>
          </w:p>
          <w:p>
            <w:pPr>
              <w:spacing w:after="0"/>
            </w:pPr>
            <w:r>
              <w:rPr>
                <w:rFonts w:ascii="Arial" w:hAnsi="Arial"/>
                <w:color w:val="1B1B1C"/>
                <w:sz w:val="20"/>
              </w:rPr>
              <w:t>The volume of data created, captured, copied and consumed globally was estimated at 64.2 zettabytes in 2020, while a pre-2025 European Commission forecast placed 2025 at 175 zettabytes, nearly three times as much in five years. One zettabyte equals 1,000 exabytes, 1 million petabytes or 1 billion terabytes; the correct term is petabyte, not penderbyte. Yet quantity is not quality: without identity, context, ownership, lineage, controls and fitness for purpose, more data creates more noise, duplication and risk rather than better decisions. [DG01] [DG02]</w:t>
            </w:r>
          </w:p>
        </w:tc>
      </w:tr>
    </w:tbl>
    <w:p>
      <w:pPr>
        <w:spacing w:after="0"/>
      </w:pPr>
    </w:p>
    <w:p>
      <w:pPr>
        <w:spacing w:before="120" w:after="0"/>
        <w:jc w:val="center"/>
      </w:pPr>
      <w:r>
        <w:drawing>
          <wp:inline xmlns:a="http://schemas.openxmlformats.org/drawingml/2006/main" xmlns:pic="http://schemas.openxmlformats.org/drawingml/2006/picture">
            <wp:extent cx="6126480" cy="3539744"/>
            <wp:docPr id="5" name="Picture 5" title="Figure 1. The missing layer above utility systems" descr="Utilities usually have the source systems. The gap is the governed layer that identifies data, states what it means, names who is accountable, records how it changed, and tells a user whether it is fit for a decision."/>
            <wp:cNvGraphicFramePr>
              <a:graphicFrameLocks noChangeAspect="1"/>
            </wp:cNvGraphicFramePr>
            <a:graphic>
              <a:graphicData uri="http://schemas.openxmlformats.org/drawingml/2006/picture">
                <pic:pic>
                  <pic:nvPicPr>
                    <pic:cNvPr id="0" name="01_missing_layer.png"/>
                    <pic:cNvPicPr/>
                  </pic:nvPicPr>
                  <pic:blipFill>
                    <a:blip r:embed="rId28"/>
                    <a:stretch>
                      <a:fillRect/>
                    </a:stretch>
                  </pic:blipFill>
                  <pic:spPr>
                    <a:xfrm>
                      <a:off x="0" y="0"/>
                      <a:ext cx="6126480" cy="3539744"/>
                    </a:xfrm>
                    <a:prstGeom prst="rect"/>
                  </pic:spPr>
                </pic:pic>
              </a:graphicData>
            </a:graphic>
          </wp:inline>
        </w:drawing>
      </w:r>
    </w:p>
    <w:p>
      <w:pPr>
        <w:pStyle w:val="Caption"/>
        <w:jc w:val="left"/>
      </w:pPr>
      <w:r>
        <w:t>Figure 1. The missing layer above utility systems</w:t>
      </w:r>
    </w:p>
    <w:p>
      <w:pPr>
        <w:spacing w:after="40"/>
      </w:pPr>
      <w:r>
        <w:rPr>
          <w:b/>
          <w:color w:val="2F7F9E"/>
        </w:rPr>
        <w:t xml:space="preserve">What this shows. </w:t>
      </w:r>
      <w:r>
        <w:t>Utilities usually have the source systems. The gap is the governed layer that identifies data, states what it means, names who is accountable, records how it changed, and tells a user whether it is fit for a decision.</w:t>
      </w:r>
    </w:p>
    <w:p>
      <w:pPr>
        <w:spacing w:after="180"/>
      </w:pPr>
      <w:r>
        <w:rPr>
          <w:rFonts w:ascii="Arial" w:hAnsi="Arial"/>
          <w:i/>
          <w:color w:val="7D766A"/>
          <w:sz w:val="15"/>
        </w:rPr>
        <w:t>Source: APAS AI synthesis based on the standards and utility research in this paper.</w:t>
      </w:r>
    </w:p>
    <w:p>
      <w:pPr>
        <w:pStyle w:val="Heading2"/>
      </w:pPr>
      <w:r>
        <w:t>Governance is the way a decision becomes accountable</w:t>
      </w:r>
    </w:p>
    <w:p>
      <w:r>
        <w:t>A policy is part of governance, but it is not the whole of governance. Governance is visible when a utility can point to a decision right, a named owner, an operating control, a retained record and a way to correct failure. If any one of those parts is missing, the utility has a statement of intent, not a dependable capability.</w:t>
      </w:r>
    </w:p>
    <w:tbl>
      <w:tblPr>
        <w:tblW w:type="auto" w:w="0"/>
        <w:jc w:val="center"/>
        <w:tblLayout w:type="fixed"/>
        <w:tblLook w:firstColumn="1" w:firstRow="1" w:lastColumn="0" w:lastRow="0" w:noHBand="0" w:noVBand="1" w:val="04A0"/>
        <w:tblBorders>
          <w:top w:val="single" w:sz="10" w:space="0" w:color="C9A26A"/>
          <w:left w:val="single" w:sz="10" w:space="0" w:color="C9A26A"/>
          <w:bottom w:val="single" w:sz="10" w:space="0" w:color="C9A26A"/>
          <w:right w:val="single" w:sz="10" w:space="0" w:color="C9A26A"/>
          <w:insideH w:val="single" w:sz="10" w:space="0" w:color="C9A26A"/>
          <w:insideV w:val="single" w:sz="10" w:space="0" w:color="C9A26A"/>
        </w:tblBorders>
      </w:tblPr>
      <w:tblGrid>
        <w:gridCol w:w="9820"/>
      </w:tblGrid>
      <w:tr>
        <w:trPr>
          <w:cantSplit/>
        </w:trPr>
        <w:tc>
          <w:tcPr>
            <w:tcW w:type="dxa" w:w="9820"/>
            <w:shd w:fill="FFF7E6"/>
            <w:tcMar>
              <w:top w:w="140" w:type="dxa"/>
              <w:start w:w="170" w:type="dxa"/>
              <w:bottom w:w="140" w:type="dxa"/>
              <w:end w:w="170" w:type="dxa"/>
            </w:tcMar>
          </w:tcPr>
          <w:p>
            <w:pPr>
              <w:spacing w:after="80"/>
            </w:pPr>
            <w:r>
              <w:rPr>
                <w:rFonts w:ascii="Arial" w:hAnsi="Arial"/>
                <w:b/>
                <w:color w:val="C9A26A"/>
                <w:sz w:val="20"/>
              </w:rPr>
              <w:t>A practical test</w:t>
            </w:r>
          </w:p>
          <w:p>
            <w:pPr>
              <w:spacing w:after="0"/>
            </w:pPr>
            <w:r>
              <w:rPr>
                <w:rFonts w:ascii="Arial" w:hAnsi="Arial"/>
                <w:color w:val="1B1B1C"/>
                <w:sz w:val="20"/>
              </w:rPr>
              <w:t>Can a qualified new team member find, access, join and understand the data needed for a material decision without relying on one person who knows where everything is hidden? If the answer is no, the organization has knowledge risk and data risk at the same time.</w:t>
            </w:r>
          </w:p>
        </w:tc>
      </w:tr>
    </w:tbl>
    <w:p>
      <w:pPr>
        <w:spacing w:after="0"/>
      </w:pPr>
    </w:p>
    <w:p>
      <w:pPr>
        <w:pStyle w:val="Heading2"/>
      </w:pPr>
      <w:r>
        <w:t>The utility consequences</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3273"/>
        <w:gridCol w:w="3273"/>
        <w:gridCol w:w="3273"/>
      </w:tblGrid>
      <w:tr>
        <w:trPr>
          <w:tblHeader w:val="true"/>
          <w:cantSplit/>
        </w:trPr>
        <w:tc>
          <w:tcPr>
            <w:tcW w:type="dxa" w:w="1700"/>
            <w:tcMar>
              <w:top w:w="75" w:type="dxa"/>
              <w:start w:w="90" w:type="dxa"/>
              <w:bottom w:w="75" w:type="dxa"/>
              <w:end w:w="90" w:type="dxa"/>
            </w:tcMar>
            <w:shd w:fill="1B1B1C"/>
          </w:tcPr>
          <w:p>
            <w:pPr>
              <w:spacing w:after="0"/>
            </w:pPr>
            <w:r>
              <w:rPr>
                <w:rFonts w:ascii="Arial" w:hAnsi="Arial"/>
                <w:b/>
                <w:color w:val="FFFFFF"/>
                <w:sz w:val="16"/>
              </w:rPr>
              <w:t>Decision area</w:t>
            </w:r>
          </w:p>
        </w:tc>
        <w:tc>
          <w:tcPr>
            <w:tcW w:type="dxa" w:w="3500"/>
            <w:tcMar>
              <w:top w:w="75" w:type="dxa"/>
              <w:start w:w="90" w:type="dxa"/>
              <w:bottom w:w="75" w:type="dxa"/>
              <w:end w:w="90" w:type="dxa"/>
            </w:tcMar>
            <w:shd w:fill="1B1B1C"/>
          </w:tcPr>
          <w:p>
            <w:pPr>
              <w:spacing w:after="0"/>
            </w:pPr>
            <w:r>
              <w:rPr>
                <w:rFonts w:ascii="Arial" w:hAnsi="Arial"/>
                <w:b/>
                <w:color w:val="FFFFFF"/>
                <w:sz w:val="16"/>
              </w:rPr>
              <w:t>What weak governance looks like</w:t>
            </w:r>
          </w:p>
        </w:tc>
        <w:tc>
          <w:tcPr>
            <w:tcW w:type="dxa" w:w="4100"/>
            <w:tcMar>
              <w:top w:w="75" w:type="dxa"/>
              <w:start w:w="90" w:type="dxa"/>
              <w:bottom w:w="75" w:type="dxa"/>
              <w:end w:w="90" w:type="dxa"/>
            </w:tcMar>
            <w:shd w:fill="1B1B1C"/>
          </w:tcPr>
          <w:p>
            <w:pPr>
              <w:spacing w:after="0"/>
            </w:pPr>
            <w:r>
              <w:rPr>
                <w:rFonts w:ascii="Arial" w:hAnsi="Arial"/>
                <w:b/>
                <w:color w:val="FFFFFF"/>
                <w:sz w:val="16"/>
              </w:rPr>
              <w:t>What good governance changes</w:t>
            </w:r>
          </w:p>
        </w:tc>
      </w:tr>
      <w:tr>
        <w:trPr>
          <w:cantSplit/>
        </w:trPr>
        <w:tc>
          <w:tcPr>
            <w:tcW w:type="dxa" w:w="1700"/>
            <w:tcMar>
              <w:top w:w="70" w:type="dxa"/>
              <w:start w:w="90" w:type="dxa"/>
              <w:bottom w:w="70" w:type="dxa"/>
              <w:end w:w="90" w:type="dxa"/>
            </w:tcMar>
            <w:vAlign w:val="center"/>
          </w:tcPr>
          <w:p>
            <w:pPr>
              <w:spacing w:after="0"/>
            </w:pPr>
            <w:r>
              <w:rPr>
                <w:rFonts w:ascii="Arial" w:hAnsi="Arial"/>
                <w:b/>
                <w:color w:val="0E2530"/>
                <w:sz w:val="16"/>
              </w:rPr>
              <w:t>Operations</w:t>
            </w:r>
          </w:p>
        </w:tc>
        <w:tc>
          <w:tcPr>
            <w:tcW w:type="dxa" w:w="3500"/>
            <w:tcMar>
              <w:top w:w="70" w:type="dxa"/>
              <w:start w:w="90" w:type="dxa"/>
              <w:bottom w:w="70" w:type="dxa"/>
              <w:end w:w="90" w:type="dxa"/>
            </w:tcMar>
            <w:vAlign w:val="center"/>
          </w:tcPr>
          <w:p>
            <w:pPr>
              <w:spacing w:after="0"/>
            </w:pPr>
            <w:r>
              <w:rPr>
                <w:rFonts w:ascii="Arial" w:hAnsi="Arial"/>
                <w:color w:val="1B1B1C"/>
                <w:sz w:val="16"/>
              </w:rPr>
              <w:t>Alarm, sensor or network data is used without time, unit, calibration or source context.</w:t>
            </w:r>
          </w:p>
        </w:tc>
        <w:tc>
          <w:tcPr>
            <w:tcW w:type="dxa" w:w="4100"/>
            <w:tcMar>
              <w:top w:w="70" w:type="dxa"/>
              <w:start w:w="90" w:type="dxa"/>
              <w:bottom w:w="70" w:type="dxa"/>
              <w:end w:w="90" w:type="dxa"/>
            </w:tcMar>
            <w:vAlign w:val="center"/>
          </w:tcPr>
          <w:p>
            <w:pPr>
              <w:spacing w:after="0"/>
            </w:pPr>
            <w:r>
              <w:rPr>
                <w:rFonts w:ascii="Arial" w:hAnsi="Arial"/>
                <w:color w:val="1B1B1C"/>
                <w:sz w:val="16"/>
              </w:rPr>
              <w:t>The operator sees source, quality state, freshness, exception and the approved rule.</w:t>
            </w:r>
          </w:p>
        </w:tc>
      </w:tr>
      <w:tr>
        <w:trPr>
          <w:cantSplit/>
        </w:trPr>
        <w:tc>
          <w:tcPr>
            <w:tcW w:type="dxa" w:w="1700"/>
            <w:tcMar>
              <w:top w:w="70" w:type="dxa"/>
              <w:start w:w="90" w:type="dxa"/>
              <w:bottom w:w="70" w:type="dxa"/>
              <w:end w:w="90" w:type="dxa"/>
            </w:tcMar>
            <w:shd w:fill="F1EFE5"/>
            <w:vAlign w:val="center"/>
          </w:tcPr>
          <w:p>
            <w:pPr>
              <w:spacing w:after="0"/>
            </w:pPr>
            <w:r>
              <w:rPr>
                <w:rFonts w:ascii="Arial" w:hAnsi="Arial"/>
                <w:b/>
                <w:color w:val="0E2530"/>
                <w:sz w:val="16"/>
              </w:rPr>
              <w:t>Assets and capital</w:t>
            </w:r>
          </w:p>
        </w:tc>
        <w:tc>
          <w:tcPr>
            <w:tcW w:type="dxa" w:w="3500"/>
            <w:tcMar>
              <w:top w:w="70" w:type="dxa"/>
              <w:start w:w="90" w:type="dxa"/>
              <w:bottom w:w="70" w:type="dxa"/>
              <w:end w:w="90" w:type="dxa"/>
            </w:tcMar>
            <w:shd w:fill="F1EFE5"/>
            <w:vAlign w:val="center"/>
          </w:tcPr>
          <w:p>
            <w:pPr>
              <w:spacing w:after="0"/>
            </w:pPr>
            <w:r>
              <w:rPr>
                <w:rFonts w:ascii="Arial" w:hAnsi="Arial"/>
                <w:color w:val="1B1B1C"/>
                <w:sz w:val="16"/>
              </w:rPr>
              <w:t>GIS, drawings, EAM and field records disagree about the same asset.</w:t>
            </w:r>
          </w:p>
        </w:tc>
        <w:tc>
          <w:tcPr>
            <w:tcW w:type="dxa" w:w="4100"/>
            <w:tcMar>
              <w:top w:w="70" w:type="dxa"/>
              <w:start w:w="90" w:type="dxa"/>
              <w:bottom w:w="70" w:type="dxa"/>
              <w:end w:w="90" w:type="dxa"/>
            </w:tcMar>
            <w:shd w:fill="F1EFE5"/>
            <w:vAlign w:val="center"/>
          </w:tcPr>
          <w:p>
            <w:pPr>
              <w:spacing w:after="0"/>
            </w:pPr>
            <w:r>
              <w:rPr>
                <w:rFonts w:ascii="Arial" w:hAnsi="Arial"/>
                <w:color w:val="1B1B1C"/>
                <w:sz w:val="16"/>
              </w:rPr>
              <w:t>A governed identifier and version process connects the physical asset to the work and decision.</w:t>
            </w:r>
          </w:p>
        </w:tc>
      </w:tr>
      <w:tr>
        <w:trPr>
          <w:cantSplit/>
        </w:trPr>
        <w:tc>
          <w:tcPr>
            <w:tcW w:type="dxa" w:w="1700"/>
            <w:tcMar>
              <w:top w:w="70" w:type="dxa"/>
              <w:start w:w="90" w:type="dxa"/>
              <w:bottom w:w="70" w:type="dxa"/>
              <w:end w:w="90" w:type="dxa"/>
            </w:tcMar>
            <w:vAlign w:val="center"/>
          </w:tcPr>
          <w:p>
            <w:pPr>
              <w:spacing w:after="0"/>
            </w:pPr>
            <w:r>
              <w:rPr>
                <w:rFonts w:ascii="Arial" w:hAnsi="Arial"/>
                <w:b/>
                <w:color w:val="0E2530"/>
                <w:sz w:val="16"/>
              </w:rPr>
              <w:t>Customer</w:t>
            </w:r>
          </w:p>
        </w:tc>
        <w:tc>
          <w:tcPr>
            <w:tcW w:type="dxa" w:w="3500"/>
            <w:tcMar>
              <w:top w:w="70" w:type="dxa"/>
              <w:start w:w="90" w:type="dxa"/>
              <w:bottom w:w="70" w:type="dxa"/>
              <w:end w:w="90" w:type="dxa"/>
            </w:tcMar>
            <w:vAlign w:val="center"/>
          </w:tcPr>
          <w:p>
            <w:pPr>
              <w:spacing w:after="0"/>
            </w:pPr>
            <w:r>
              <w:rPr>
                <w:rFonts w:ascii="Arial" w:hAnsi="Arial"/>
                <w:color w:val="1B1B1C"/>
                <w:sz w:val="16"/>
              </w:rPr>
              <w:t>Interval use, estimates, corrections and eligibility decisions cannot be reconstructed.</w:t>
            </w:r>
          </w:p>
        </w:tc>
        <w:tc>
          <w:tcPr>
            <w:tcW w:type="dxa" w:w="4100"/>
            <w:tcMar>
              <w:top w:w="70" w:type="dxa"/>
              <w:start w:w="90" w:type="dxa"/>
              <w:bottom w:w="70" w:type="dxa"/>
              <w:end w:w="90" w:type="dxa"/>
            </w:tcMar>
            <w:vAlign w:val="center"/>
          </w:tcPr>
          <w:p>
            <w:pPr>
              <w:spacing w:after="0"/>
            </w:pPr>
            <w:r>
              <w:rPr>
                <w:rFonts w:ascii="Arial" w:hAnsi="Arial"/>
                <w:color w:val="1B1B1C"/>
                <w:sz w:val="16"/>
              </w:rPr>
              <w:t>Purpose, source, estimation, approval, notice and correction evidence travel with the output.</w:t>
            </w:r>
          </w:p>
        </w:tc>
      </w:tr>
      <w:tr>
        <w:trPr>
          <w:cantSplit/>
        </w:trPr>
        <w:tc>
          <w:tcPr>
            <w:tcW w:type="dxa" w:w="1700"/>
            <w:tcMar>
              <w:top w:w="70" w:type="dxa"/>
              <w:start w:w="90" w:type="dxa"/>
              <w:bottom w:w="70" w:type="dxa"/>
              <w:end w:w="90" w:type="dxa"/>
            </w:tcMar>
            <w:shd w:fill="F1EFE5"/>
            <w:vAlign w:val="center"/>
          </w:tcPr>
          <w:p>
            <w:pPr>
              <w:spacing w:after="0"/>
            </w:pPr>
            <w:r>
              <w:rPr>
                <w:rFonts w:ascii="Arial" w:hAnsi="Arial"/>
                <w:b/>
                <w:color w:val="0E2530"/>
                <w:sz w:val="16"/>
              </w:rPr>
              <w:t>Regulatory</w:t>
            </w:r>
          </w:p>
        </w:tc>
        <w:tc>
          <w:tcPr>
            <w:tcW w:type="dxa" w:w="3500"/>
            <w:tcMar>
              <w:top w:w="70" w:type="dxa"/>
              <w:start w:w="90" w:type="dxa"/>
              <w:bottom w:w="70" w:type="dxa"/>
              <w:end w:w="90" w:type="dxa"/>
            </w:tcMar>
            <w:shd w:fill="F1EFE5"/>
            <w:vAlign w:val="center"/>
          </w:tcPr>
          <w:p>
            <w:pPr>
              <w:spacing w:after="0"/>
            </w:pPr>
            <w:r>
              <w:rPr>
                <w:rFonts w:ascii="Arial" w:hAnsi="Arial"/>
                <w:color w:val="1B1B1C"/>
                <w:sz w:val="16"/>
              </w:rPr>
              <w:t>A reported number is rebuilt through spreadsheets and personal knowledge.</w:t>
            </w:r>
          </w:p>
        </w:tc>
        <w:tc>
          <w:tcPr>
            <w:tcW w:type="dxa" w:w="4100"/>
            <w:tcMar>
              <w:top w:w="70" w:type="dxa"/>
              <w:start w:w="90" w:type="dxa"/>
              <w:bottom w:w="70" w:type="dxa"/>
              <w:end w:w="90" w:type="dxa"/>
            </w:tcMar>
            <w:shd w:fill="F1EFE5"/>
            <w:vAlign w:val="center"/>
          </w:tcPr>
          <w:p>
            <w:pPr>
              <w:spacing w:after="0"/>
            </w:pPr>
            <w:r>
              <w:rPr>
                <w:rFonts w:ascii="Arial" w:hAnsi="Arial"/>
                <w:color w:val="1B1B1C"/>
                <w:sz w:val="16"/>
              </w:rPr>
              <w:t>The filing traces to authoritative data, transformations, reconciliations and sign-off.</w:t>
            </w:r>
          </w:p>
        </w:tc>
      </w:tr>
      <w:tr>
        <w:trPr>
          <w:cantSplit/>
        </w:trPr>
        <w:tc>
          <w:tcPr>
            <w:tcW w:type="dxa" w:w="1700"/>
            <w:tcMar>
              <w:top w:w="70" w:type="dxa"/>
              <w:start w:w="90" w:type="dxa"/>
              <w:bottom w:w="70" w:type="dxa"/>
              <w:end w:w="90" w:type="dxa"/>
            </w:tcMar>
            <w:vAlign w:val="center"/>
          </w:tcPr>
          <w:p>
            <w:pPr>
              <w:spacing w:after="0"/>
            </w:pPr>
            <w:r>
              <w:rPr>
                <w:rFonts w:ascii="Arial" w:hAnsi="Arial"/>
                <w:b/>
                <w:color w:val="0E2530"/>
                <w:sz w:val="16"/>
              </w:rPr>
              <w:t>AI and analytics</w:t>
            </w:r>
          </w:p>
        </w:tc>
        <w:tc>
          <w:tcPr>
            <w:tcW w:type="dxa" w:w="3500"/>
            <w:tcMar>
              <w:top w:w="70" w:type="dxa"/>
              <w:start w:w="90" w:type="dxa"/>
              <w:bottom w:w="70" w:type="dxa"/>
              <w:end w:w="90" w:type="dxa"/>
            </w:tcMar>
            <w:vAlign w:val="center"/>
          </w:tcPr>
          <w:p>
            <w:pPr>
              <w:spacing w:after="0"/>
            </w:pPr>
            <w:r>
              <w:rPr>
                <w:rFonts w:ascii="Arial" w:hAnsi="Arial"/>
                <w:color w:val="1B1B1C"/>
                <w:sz w:val="16"/>
              </w:rPr>
              <w:t>A model is deployed before the data is shown to be suitable and representative.</w:t>
            </w:r>
          </w:p>
        </w:tc>
        <w:tc>
          <w:tcPr>
            <w:tcW w:type="dxa" w:w="4100"/>
            <w:tcMar>
              <w:top w:w="70" w:type="dxa"/>
              <w:start w:w="90" w:type="dxa"/>
              <w:bottom w:w="70" w:type="dxa"/>
              <w:end w:w="90" w:type="dxa"/>
            </w:tcMar>
            <w:vAlign w:val="center"/>
          </w:tcPr>
          <w:p>
            <w:pPr>
              <w:spacing w:after="0"/>
            </w:pPr>
            <w:r>
              <w:rPr>
                <w:rFonts w:ascii="Arial" w:hAnsi="Arial"/>
                <w:color w:val="1B1B1C"/>
                <w:sz w:val="16"/>
              </w:rPr>
              <w:t>The use case has named accountability, data provenance, tests, limits, monitoring and retirement rules.</w:t>
            </w:r>
          </w:p>
        </w:tc>
      </w:tr>
    </w:tbl>
    <w:p>
      <w:pPr>
        <w:spacing w:after="0"/>
      </w:pPr>
    </w:p>
    <w:p>
      <w:pPr>
        <w:pStyle w:val="Heading2"/>
      </w:pPr>
      <w:r>
        <w:t>The risk of moving faster on weak foundations</w:t>
      </w:r>
    </w:p>
    <w:p>
      <w:r>
        <w:t>AI can reduce effort, improve pattern detection and help people ask better questions. It can also create a faster mess. When a model draws from data that is late, incomplete, misjoined, mislabeled or outside its approved purpose, the error can travel farther than the original record ever could.</w:t>
      </w:r>
    </w:p>
    <w:p>
      <w:r>
        <w:t>A utility should expect questions after any material failure: Which version was used? Which source was authoritative? Was the data fit for this use? Who approved the exception? What changed? Was the result challenged? The governance program should be designed to answer those questions as part of normal work.</w:t>
      </w:r>
    </w:p>
    <w:p>
      <w:pPr>
        <w:pageBreakBefore/>
        <w:spacing w:after="100"/>
      </w:pPr>
      <w:r>
        <w:rPr>
          <w:rFonts w:ascii="Arial" w:hAnsi="Arial"/>
          <w:b/>
          <w:color w:val="2F7F9E"/>
          <w:sz w:val="17"/>
        </w:rPr>
        <w:t>APPLICATION PAPER</w:t>
      </w:r>
    </w:p>
    <w:p>
      <w:pPr>
        <w:pStyle w:val="Heading1"/>
      </w:pPr>
      <w:r>
        <w:t>2. The terms that matter</w:t>
      </w:r>
    </w:p>
    <w:p>
      <w:pPr>
        <w:pStyle w:val="Subtitle"/>
        <w:spacing w:after="280"/>
      </w:pPr>
      <w:r>
        <w:rPr>
          <w:color w:val="3C3B36"/>
          <w:sz w:val="25"/>
        </w:rPr>
        <w:t>Clear terms prevent weak controls from hiding behind broad language.</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820"/>
      </w:tblGrid>
      <w:tr>
        <w:tc>
          <w:tcPr>
            <w:tcW w:type="dxa" w:w="1500"/>
            <w:shd w:fill="E0A64A"/>
            <w:tcMar>
              <w:top w:w="0" w:type="dxa"/>
              <w:start w:w="0" w:type="dxa"/>
              <w:bottom w:w="0" w:type="dxa"/>
              <w:end w:w="0" w:type="dxa"/>
            </w:tcMar>
          </w:tcPr>
          <w:p>
            <w:pPr>
              <w:spacing w:after="0"/>
            </w:pPr>
            <w:r>
              <w:rPr>
                <w:sz w:val="4"/>
              </w:rPr>
              <w:t xml:space="preserve"> </w:t>
            </w:r>
          </w:p>
        </w:tc>
      </w:tr>
    </w:tbl>
    <w:p>
      <w:pPr>
        <w:spacing w:before="120" w:after="0"/>
        <w:jc w:val="center"/>
      </w:pPr>
      <w:r>
        <w:drawing>
          <wp:inline xmlns:a="http://schemas.openxmlformats.org/drawingml/2006/main" xmlns:pic="http://schemas.openxmlformats.org/drawingml/2006/picture">
            <wp:extent cx="6126480" cy="3539744"/>
            <wp:docPr id="6" name="Picture 6" title="Figure 2. Lineage, provenance and integrity answer different questions" descr="Lineage shows the route. Provenance explains the history and responsibility. Integrity provides evidence that the data and its history were not altered outside the approved process."/>
            <wp:cNvGraphicFramePr>
              <a:graphicFrameLocks noChangeAspect="1"/>
            </wp:cNvGraphicFramePr>
            <a:graphic>
              <a:graphicData uri="http://schemas.openxmlformats.org/drawingml/2006/picture">
                <pic:pic>
                  <pic:nvPicPr>
                    <pic:cNvPr id="0" name="02_three_questions.png"/>
                    <pic:cNvPicPr/>
                  </pic:nvPicPr>
                  <pic:blipFill>
                    <a:blip r:embed="rId29"/>
                    <a:stretch>
                      <a:fillRect/>
                    </a:stretch>
                  </pic:blipFill>
                  <pic:spPr>
                    <a:xfrm>
                      <a:off x="0" y="0"/>
                      <a:ext cx="6126480" cy="3539744"/>
                    </a:xfrm>
                    <a:prstGeom prst="rect"/>
                  </pic:spPr>
                </pic:pic>
              </a:graphicData>
            </a:graphic>
          </wp:inline>
        </w:drawing>
      </w:r>
    </w:p>
    <w:p>
      <w:pPr>
        <w:pStyle w:val="Caption"/>
        <w:jc w:val="left"/>
      </w:pPr>
      <w:r>
        <w:t>Figure 2. Lineage, provenance and integrity answer different questions</w:t>
      </w:r>
    </w:p>
    <w:p>
      <w:pPr>
        <w:spacing w:after="40"/>
      </w:pPr>
      <w:r>
        <w:rPr>
          <w:b/>
          <w:color w:val="2F7F9E"/>
        </w:rPr>
        <w:t xml:space="preserve">What this shows. </w:t>
      </w:r>
      <w:r>
        <w:t>Lineage shows the route. Provenance explains the history and responsibility. Integrity provides evidence that the data and its history were not altered outside the approved process.</w:t>
      </w:r>
    </w:p>
    <w:p>
      <w:pPr>
        <w:spacing w:after="180"/>
      </w:pPr>
      <w:r>
        <w:rPr>
          <w:rFonts w:ascii="Arial" w:hAnsi="Arial"/>
          <w:i/>
          <w:color w:val="7D766A"/>
          <w:sz w:val="15"/>
        </w:rPr>
        <w:t>Source: APAS AI synthesis of the W3C Provenance Data Model (PROV) and NIST control concepts.</w:t>
      </w:r>
    </w:p>
    <w:p>
      <w:pPr>
        <w:pStyle w:val="Heading2"/>
      </w:pPr>
      <w:r>
        <w:t>Plain-language definitions</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2455"/>
        <w:gridCol w:w="2455"/>
        <w:gridCol w:w="2455"/>
        <w:gridCol w:w="2455"/>
      </w:tblGrid>
      <w:tr>
        <w:trPr>
          <w:tblHeader w:val="true"/>
          <w:cantSplit/>
        </w:trPr>
        <w:tc>
          <w:tcPr>
            <w:tcW w:type="dxa" w:w="1300"/>
            <w:tcMar>
              <w:top w:w="75" w:type="dxa"/>
              <w:start w:w="90" w:type="dxa"/>
              <w:bottom w:w="75" w:type="dxa"/>
              <w:end w:w="90" w:type="dxa"/>
            </w:tcMar>
            <w:shd w:fill="1B1B1C"/>
          </w:tcPr>
          <w:p>
            <w:pPr>
              <w:spacing w:after="0"/>
            </w:pPr>
            <w:r>
              <w:rPr>
                <w:rFonts w:ascii="Arial" w:hAnsi="Arial"/>
                <w:b/>
                <w:color w:val="FFFFFF"/>
                <w:sz w:val="15"/>
              </w:rPr>
              <w:t>Term</w:t>
            </w:r>
          </w:p>
        </w:tc>
        <w:tc>
          <w:tcPr>
            <w:tcW w:type="dxa" w:w="2200"/>
            <w:tcMar>
              <w:top w:w="75" w:type="dxa"/>
              <w:start w:w="90" w:type="dxa"/>
              <w:bottom w:w="75" w:type="dxa"/>
              <w:end w:w="90" w:type="dxa"/>
            </w:tcMar>
            <w:shd w:fill="1B1B1C"/>
          </w:tcPr>
          <w:p>
            <w:pPr>
              <w:spacing w:after="0"/>
            </w:pPr>
            <w:r>
              <w:rPr>
                <w:rFonts w:ascii="Arial" w:hAnsi="Arial"/>
                <w:b/>
                <w:color w:val="FFFFFF"/>
                <w:sz w:val="15"/>
              </w:rPr>
              <w:t>Plain meaning</w:t>
            </w:r>
          </w:p>
        </w:tc>
        <w:tc>
          <w:tcPr>
            <w:tcW w:type="dxa" w:w="3000"/>
            <w:tcMar>
              <w:top w:w="75" w:type="dxa"/>
              <w:start w:w="90" w:type="dxa"/>
              <w:bottom w:w="75" w:type="dxa"/>
              <w:end w:w="90" w:type="dxa"/>
            </w:tcMar>
            <w:shd w:fill="1B1B1C"/>
          </w:tcPr>
          <w:p>
            <w:pPr>
              <w:spacing w:after="0"/>
            </w:pPr>
            <w:r>
              <w:rPr>
                <w:rFonts w:ascii="Arial" w:hAnsi="Arial"/>
                <w:b/>
                <w:color w:val="FFFFFF"/>
                <w:sz w:val="15"/>
              </w:rPr>
              <w:t>Utility example</w:t>
            </w:r>
          </w:p>
        </w:tc>
        <w:tc>
          <w:tcPr>
            <w:tcW w:type="dxa" w:w="2800"/>
            <w:tcMar>
              <w:top w:w="75" w:type="dxa"/>
              <w:start w:w="90" w:type="dxa"/>
              <w:bottom w:w="75" w:type="dxa"/>
              <w:end w:w="90" w:type="dxa"/>
            </w:tcMar>
            <w:shd w:fill="1B1B1C"/>
          </w:tcPr>
          <w:p>
            <w:pPr>
              <w:spacing w:after="0"/>
            </w:pPr>
            <w:r>
              <w:rPr>
                <w:rFonts w:ascii="Arial" w:hAnsi="Arial"/>
                <w:b/>
                <w:color w:val="FFFFFF"/>
                <w:sz w:val="15"/>
              </w:rPr>
              <w:t>Evidence to retain</w:t>
            </w:r>
          </w:p>
        </w:tc>
      </w:tr>
      <w:tr>
        <w:trPr>
          <w:cantSplit/>
        </w:trPr>
        <w:tc>
          <w:tcPr>
            <w:tcW w:type="dxa" w:w="1300"/>
            <w:tcMar>
              <w:top w:w="70" w:type="dxa"/>
              <w:start w:w="90" w:type="dxa"/>
              <w:bottom w:w="70" w:type="dxa"/>
              <w:end w:w="90" w:type="dxa"/>
            </w:tcMar>
            <w:vAlign w:val="center"/>
          </w:tcPr>
          <w:p>
            <w:pPr>
              <w:spacing w:after="0"/>
            </w:pPr>
            <w:r>
              <w:rPr>
                <w:rFonts w:ascii="Arial" w:hAnsi="Arial"/>
                <w:b/>
                <w:color w:val="0E2530"/>
                <w:sz w:val="15"/>
              </w:rPr>
              <w:t>Data governance</w:t>
            </w:r>
          </w:p>
        </w:tc>
        <w:tc>
          <w:tcPr>
            <w:tcW w:type="dxa" w:w="2200"/>
            <w:tcMar>
              <w:top w:w="70" w:type="dxa"/>
              <w:start w:w="90" w:type="dxa"/>
              <w:bottom w:w="70" w:type="dxa"/>
              <w:end w:w="90" w:type="dxa"/>
            </w:tcMar>
            <w:vAlign w:val="center"/>
          </w:tcPr>
          <w:p>
            <w:pPr>
              <w:spacing w:after="0"/>
            </w:pPr>
            <w:r>
              <w:rPr>
                <w:rFonts w:ascii="Arial" w:hAnsi="Arial"/>
                <w:color w:val="1B1B1C"/>
                <w:sz w:val="15"/>
              </w:rPr>
              <w:t>The decisions, responsibilities, controls and proof used to direct data work.</w:t>
            </w:r>
          </w:p>
        </w:tc>
        <w:tc>
          <w:tcPr>
            <w:tcW w:type="dxa" w:w="3000"/>
            <w:tcMar>
              <w:top w:w="70" w:type="dxa"/>
              <w:start w:w="90" w:type="dxa"/>
              <w:bottom w:w="70" w:type="dxa"/>
              <w:end w:w="90" w:type="dxa"/>
            </w:tcMar>
            <w:vAlign w:val="center"/>
          </w:tcPr>
          <w:p>
            <w:pPr>
              <w:spacing w:after="0"/>
            </w:pPr>
            <w:r>
              <w:rPr>
                <w:rFonts w:ascii="Arial" w:hAnsi="Arial"/>
                <w:color w:val="1B1B1C"/>
                <w:sz w:val="15"/>
              </w:rPr>
              <w:t>The utility decides which network model is authoritative and who can approve a change.</w:t>
            </w:r>
          </w:p>
        </w:tc>
        <w:tc>
          <w:tcPr>
            <w:tcW w:type="dxa" w:w="2800"/>
            <w:tcMar>
              <w:top w:w="70" w:type="dxa"/>
              <w:start w:w="90" w:type="dxa"/>
              <w:bottom w:w="70" w:type="dxa"/>
              <w:end w:w="90" w:type="dxa"/>
            </w:tcMar>
            <w:vAlign w:val="center"/>
          </w:tcPr>
          <w:p>
            <w:pPr>
              <w:spacing w:after="0"/>
            </w:pPr>
            <w:r>
              <w:rPr>
                <w:rFonts w:ascii="Arial" w:hAnsi="Arial"/>
                <w:color w:val="1B1B1C"/>
                <w:sz w:val="15"/>
              </w:rPr>
              <w:t>Charter, decision, owner, control result and review.</w:t>
            </w:r>
          </w:p>
        </w:tc>
      </w:tr>
      <w:tr>
        <w:trPr>
          <w:cantSplit/>
        </w:trPr>
        <w:tc>
          <w:tcPr>
            <w:tcW w:type="dxa" w:w="1300"/>
            <w:tcMar>
              <w:top w:w="70" w:type="dxa"/>
              <w:start w:w="90" w:type="dxa"/>
              <w:bottom w:w="70" w:type="dxa"/>
              <w:end w:w="90" w:type="dxa"/>
            </w:tcMar>
            <w:shd w:fill="F1EFE5"/>
            <w:vAlign w:val="center"/>
          </w:tcPr>
          <w:p>
            <w:pPr>
              <w:spacing w:after="0"/>
            </w:pPr>
            <w:r>
              <w:rPr>
                <w:rFonts w:ascii="Arial" w:hAnsi="Arial"/>
                <w:b/>
                <w:color w:val="0E2530"/>
                <w:sz w:val="15"/>
              </w:rPr>
              <w:t>Data management</w:t>
            </w:r>
          </w:p>
        </w:tc>
        <w:tc>
          <w:tcPr>
            <w:tcW w:type="dxa" w:w="2200"/>
            <w:tcMar>
              <w:top w:w="70" w:type="dxa"/>
              <w:start w:w="90" w:type="dxa"/>
              <w:bottom w:w="70" w:type="dxa"/>
              <w:end w:w="90" w:type="dxa"/>
            </w:tcMar>
            <w:shd w:fill="F1EFE5"/>
            <w:vAlign w:val="center"/>
          </w:tcPr>
          <w:p>
            <w:pPr>
              <w:spacing w:after="0"/>
            </w:pPr>
            <w:r>
              <w:rPr>
                <w:rFonts w:ascii="Arial" w:hAnsi="Arial"/>
                <w:color w:val="1B1B1C"/>
                <w:sz w:val="15"/>
              </w:rPr>
              <w:t>The work that creates, stores, protects, moves, improves and disposes of data.</w:t>
            </w:r>
          </w:p>
        </w:tc>
        <w:tc>
          <w:tcPr>
            <w:tcW w:type="dxa" w:w="3000"/>
            <w:tcMar>
              <w:top w:w="70" w:type="dxa"/>
              <w:start w:w="90" w:type="dxa"/>
              <w:bottom w:w="70" w:type="dxa"/>
              <w:end w:w="90" w:type="dxa"/>
            </w:tcMar>
            <w:shd w:fill="F1EFE5"/>
            <w:vAlign w:val="center"/>
          </w:tcPr>
          <w:p>
            <w:pPr>
              <w:spacing w:after="0"/>
            </w:pPr>
            <w:r>
              <w:rPr>
                <w:rFonts w:ascii="Arial" w:hAnsi="Arial"/>
                <w:color w:val="1B1B1C"/>
                <w:sz w:val="15"/>
              </w:rPr>
              <w:t>A data team validates AMI files, resolves exceptions and publishes a governed product.</w:t>
            </w:r>
          </w:p>
        </w:tc>
        <w:tc>
          <w:tcPr>
            <w:tcW w:type="dxa" w:w="2800"/>
            <w:tcMar>
              <w:top w:w="70" w:type="dxa"/>
              <w:start w:w="90" w:type="dxa"/>
              <w:bottom w:w="70" w:type="dxa"/>
              <w:end w:w="90" w:type="dxa"/>
            </w:tcMar>
            <w:shd w:fill="F1EFE5"/>
            <w:vAlign w:val="center"/>
          </w:tcPr>
          <w:p>
            <w:pPr>
              <w:spacing w:after="0"/>
            </w:pPr>
            <w:r>
              <w:rPr>
                <w:rFonts w:ascii="Arial" w:hAnsi="Arial"/>
                <w:color w:val="1B1B1C"/>
                <w:sz w:val="15"/>
              </w:rPr>
              <w:t>Run record, rule result, issue, version and service level.</w:t>
            </w:r>
          </w:p>
        </w:tc>
      </w:tr>
      <w:tr>
        <w:trPr>
          <w:cantSplit/>
        </w:trPr>
        <w:tc>
          <w:tcPr>
            <w:tcW w:type="dxa" w:w="1300"/>
            <w:tcMar>
              <w:top w:w="70" w:type="dxa"/>
              <w:start w:w="90" w:type="dxa"/>
              <w:bottom w:w="70" w:type="dxa"/>
              <w:end w:w="90" w:type="dxa"/>
            </w:tcMar>
            <w:vAlign w:val="center"/>
          </w:tcPr>
          <w:p>
            <w:pPr>
              <w:spacing w:after="0"/>
            </w:pPr>
            <w:r>
              <w:rPr>
                <w:rFonts w:ascii="Arial" w:hAnsi="Arial"/>
                <w:b/>
                <w:color w:val="0E2530"/>
                <w:sz w:val="15"/>
              </w:rPr>
              <w:t>Lineage</w:t>
            </w:r>
          </w:p>
        </w:tc>
        <w:tc>
          <w:tcPr>
            <w:tcW w:type="dxa" w:w="2200"/>
            <w:tcMar>
              <w:top w:w="70" w:type="dxa"/>
              <w:start w:w="90" w:type="dxa"/>
              <w:bottom w:w="70" w:type="dxa"/>
              <w:end w:w="90" w:type="dxa"/>
            </w:tcMar>
            <w:vAlign w:val="center"/>
          </w:tcPr>
          <w:p>
            <w:pPr>
              <w:spacing w:after="0"/>
            </w:pPr>
            <w:r>
              <w:rPr>
                <w:rFonts w:ascii="Arial" w:hAnsi="Arial"/>
                <w:color w:val="1B1B1C"/>
                <w:sz w:val="15"/>
              </w:rPr>
              <w:t>The route from source through transformation to use.</w:t>
            </w:r>
          </w:p>
        </w:tc>
        <w:tc>
          <w:tcPr>
            <w:tcW w:type="dxa" w:w="3000"/>
            <w:tcMar>
              <w:top w:w="70" w:type="dxa"/>
              <w:start w:w="90" w:type="dxa"/>
              <w:bottom w:w="70" w:type="dxa"/>
              <w:end w:w="90" w:type="dxa"/>
            </w:tcMar>
            <w:vAlign w:val="center"/>
          </w:tcPr>
          <w:p>
            <w:pPr>
              <w:spacing w:after="0"/>
            </w:pPr>
            <w:r>
              <w:rPr>
                <w:rFonts w:ascii="Arial" w:hAnsi="Arial"/>
                <w:color w:val="1B1B1C"/>
                <w:sz w:val="15"/>
              </w:rPr>
              <w:t>A regulatory leakage value traces to sensors, work records, mappings and calculations.</w:t>
            </w:r>
          </w:p>
        </w:tc>
        <w:tc>
          <w:tcPr>
            <w:tcW w:type="dxa" w:w="2800"/>
            <w:tcMar>
              <w:top w:w="70" w:type="dxa"/>
              <w:start w:w="90" w:type="dxa"/>
              <w:bottom w:w="70" w:type="dxa"/>
              <w:end w:w="90" w:type="dxa"/>
            </w:tcMar>
            <w:vAlign w:val="center"/>
          </w:tcPr>
          <w:p>
            <w:pPr>
              <w:spacing w:after="0"/>
            </w:pPr>
            <w:r>
              <w:rPr>
                <w:rFonts w:ascii="Arial" w:hAnsi="Arial"/>
                <w:color w:val="1B1B1C"/>
                <w:sz w:val="15"/>
              </w:rPr>
              <w:t>Source, job, input, output, version, time and consumer.</w:t>
            </w:r>
          </w:p>
        </w:tc>
      </w:tr>
      <w:tr>
        <w:trPr>
          <w:cantSplit/>
        </w:trPr>
        <w:tc>
          <w:tcPr>
            <w:tcW w:type="dxa" w:w="1300"/>
            <w:tcMar>
              <w:top w:w="70" w:type="dxa"/>
              <w:start w:w="90" w:type="dxa"/>
              <w:bottom w:w="70" w:type="dxa"/>
              <w:end w:w="90" w:type="dxa"/>
            </w:tcMar>
            <w:shd w:fill="F1EFE5"/>
            <w:vAlign w:val="center"/>
          </w:tcPr>
          <w:p>
            <w:pPr>
              <w:spacing w:after="0"/>
            </w:pPr>
            <w:r>
              <w:rPr>
                <w:rFonts w:ascii="Arial" w:hAnsi="Arial"/>
                <w:b/>
                <w:color w:val="0E2530"/>
                <w:sz w:val="15"/>
              </w:rPr>
              <w:t>Provenance</w:t>
            </w:r>
          </w:p>
        </w:tc>
        <w:tc>
          <w:tcPr>
            <w:tcW w:type="dxa" w:w="2200"/>
            <w:tcMar>
              <w:top w:w="70" w:type="dxa"/>
              <w:start w:w="90" w:type="dxa"/>
              <w:bottom w:w="70" w:type="dxa"/>
              <w:end w:w="90" w:type="dxa"/>
            </w:tcMar>
            <w:shd w:fill="F1EFE5"/>
            <w:vAlign w:val="center"/>
          </w:tcPr>
          <w:p>
            <w:pPr>
              <w:spacing w:after="0"/>
            </w:pPr>
            <w:r>
              <w:rPr>
                <w:rFonts w:ascii="Arial" w:hAnsi="Arial"/>
                <w:color w:val="1B1B1C"/>
                <w:sz w:val="15"/>
              </w:rPr>
              <w:t>The fuller history of the data, the activity and the responsible actor.</w:t>
            </w:r>
          </w:p>
        </w:tc>
        <w:tc>
          <w:tcPr>
            <w:tcW w:type="dxa" w:w="3000"/>
            <w:tcMar>
              <w:top w:w="70" w:type="dxa"/>
              <w:start w:w="90" w:type="dxa"/>
              <w:bottom w:w="70" w:type="dxa"/>
              <w:end w:w="90" w:type="dxa"/>
            </w:tcMar>
            <w:shd w:fill="F1EFE5"/>
            <w:vAlign w:val="center"/>
          </w:tcPr>
          <w:p>
            <w:pPr>
              <w:spacing w:after="0"/>
            </w:pPr>
            <w:r>
              <w:rPr>
                <w:rFonts w:ascii="Arial" w:hAnsi="Arial"/>
                <w:color w:val="1B1B1C"/>
                <w:sz w:val="15"/>
              </w:rPr>
              <w:t>A laboratory result records sample, method, instrument, analyst, approval and amendment.</w:t>
            </w:r>
          </w:p>
        </w:tc>
        <w:tc>
          <w:tcPr>
            <w:tcW w:type="dxa" w:w="2800"/>
            <w:tcMar>
              <w:top w:w="70" w:type="dxa"/>
              <w:start w:w="90" w:type="dxa"/>
              <w:bottom w:w="70" w:type="dxa"/>
              <w:end w:w="90" w:type="dxa"/>
            </w:tcMar>
            <w:shd w:fill="F1EFE5"/>
            <w:vAlign w:val="center"/>
          </w:tcPr>
          <w:p>
            <w:pPr>
              <w:spacing w:after="0"/>
            </w:pPr>
            <w:r>
              <w:rPr>
                <w:rFonts w:ascii="Arial" w:hAnsi="Arial"/>
                <w:color w:val="1B1B1C"/>
                <w:sz w:val="15"/>
              </w:rPr>
              <w:t>Entity, activity, agent, purpose, time, version and relationship.</w:t>
            </w:r>
          </w:p>
        </w:tc>
      </w:tr>
      <w:tr>
        <w:trPr>
          <w:cantSplit/>
        </w:trPr>
        <w:tc>
          <w:tcPr>
            <w:tcW w:type="dxa" w:w="1300"/>
            <w:tcMar>
              <w:top w:w="70" w:type="dxa"/>
              <w:start w:w="90" w:type="dxa"/>
              <w:bottom w:w="70" w:type="dxa"/>
              <w:end w:w="90" w:type="dxa"/>
            </w:tcMar>
            <w:vAlign w:val="center"/>
          </w:tcPr>
          <w:p>
            <w:pPr>
              <w:spacing w:after="0"/>
            </w:pPr>
            <w:r>
              <w:rPr>
                <w:rFonts w:ascii="Arial" w:hAnsi="Arial"/>
                <w:b/>
                <w:color w:val="0E2530"/>
                <w:sz w:val="15"/>
              </w:rPr>
              <w:t>Integrity</w:t>
            </w:r>
          </w:p>
        </w:tc>
        <w:tc>
          <w:tcPr>
            <w:tcW w:type="dxa" w:w="2200"/>
            <w:tcMar>
              <w:top w:w="70" w:type="dxa"/>
              <w:start w:w="90" w:type="dxa"/>
              <w:bottom w:w="70" w:type="dxa"/>
              <w:end w:w="90" w:type="dxa"/>
            </w:tcMar>
            <w:vAlign w:val="center"/>
          </w:tcPr>
          <w:p>
            <w:pPr>
              <w:spacing w:after="0"/>
            </w:pPr>
            <w:r>
              <w:rPr>
                <w:rFonts w:ascii="Arial" w:hAnsi="Arial"/>
                <w:color w:val="1B1B1C"/>
                <w:sz w:val="15"/>
              </w:rPr>
              <w:t>Confidence that data and evidence remain complete and protected from improper change.</w:t>
            </w:r>
          </w:p>
        </w:tc>
        <w:tc>
          <w:tcPr>
            <w:tcW w:type="dxa" w:w="3000"/>
            <w:tcMar>
              <w:top w:w="70" w:type="dxa"/>
              <w:start w:w="90" w:type="dxa"/>
              <w:bottom w:w="70" w:type="dxa"/>
              <w:end w:w="90" w:type="dxa"/>
            </w:tcMar>
            <w:vAlign w:val="center"/>
          </w:tcPr>
          <w:p>
            <w:pPr>
              <w:spacing w:after="0"/>
            </w:pPr>
            <w:r>
              <w:rPr>
                <w:rFonts w:ascii="Arial" w:hAnsi="Arial"/>
                <w:color w:val="1B1B1C"/>
                <w:sz w:val="15"/>
              </w:rPr>
              <w:t>A control detects an unauthorized change to an approved reporting dataset.</w:t>
            </w:r>
          </w:p>
        </w:tc>
        <w:tc>
          <w:tcPr>
            <w:tcW w:type="dxa" w:w="2800"/>
            <w:tcMar>
              <w:top w:w="70" w:type="dxa"/>
              <w:start w:w="90" w:type="dxa"/>
              <w:bottom w:w="70" w:type="dxa"/>
              <w:end w:w="90" w:type="dxa"/>
            </w:tcMar>
            <w:vAlign w:val="center"/>
          </w:tcPr>
          <w:p>
            <w:pPr>
              <w:spacing w:after="0"/>
            </w:pPr>
            <w:r>
              <w:rPr>
                <w:rFonts w:ascii="Arial" w:hAnsi="Arial"/>
                <w:color w:val="1B1B1C"/>
                <w:sz w:val="15"/>
              </w:rPr>
              <w:t>Authorization, validation, audit log, hash or signature, recovery test.</w:t>
            </w:r>
          </w:p>
        </w:tc>
      </w:tr>
      <w:tr>
        <w:trPr>
          <w:cantSplit/>
        </w:trPr>
        <w:tc>
          <w:tcPr>
            <w:tcW w:type="dxa" w:w="1300"/>
            <w:tcMar>
              <w:top w:w="70" w:type="dxa"/>
              <w:start w:w="90" w:type="dxa"/>
              <w:bottom w:w="70" w:type="dxa"/>
              <w:end w:w="90" w:type="dxa"/>
            </w:tcMar>
            <w:shd w:fill="F1EFE5"/>
            <w:vAlign w:val="center"/>
          </w:tcPr>
          <w:p>
            <w:pPr>
              <w:spacing w:after="0"/>
            </w:pPr>
            <w:r>
              <w:rPr>
                <w:rFonts w:ascii="Arial" w:hAnsi="Arial"/>
                <w:b/>
                <w:color w:val="0E2530"/>
                <w:sz w:val="15"/>
              </w:rPr>
              <w:t>Data quality</w:t>
            </w:r>
          </w:p>
        </w:tc>
        <w:tc>
          <w:tcPr>
            <w:tcW w:type="dxa" w:w="2200"/>
            <w:tcMar>
              <w:top w:w="70" w:type="dxa"/>
              <w:start w:w="90" w:type="dxa"/>
              <w:bottom w:w="70" w:type="dxa"/>
              <w:end w:w="90" w:type="dxa"/>
            </w:tcMar>
            <w:shd w:fill="F1EFE5"/>
            <w:vAlign w:val="center"/>
          </w:tcPr>
          <w:p>
            <w:pPr>
              <w:spacing w:after="0"/>
            </w:pPr>
            <w:r>
              <w:rPr>
                <w:rFonts w:ascii="Arial" w:hAnsi="Arial"/>
                <w:color w:val="1B1B1C"/>
                <w:sz w:val="15"/>
              </w:rPr>
              <w:t>Fitness for a stated use, not a claim that data is perfect.</w:t>
            </w:r>
          </w:p>
        </w:tc>
        <w:tc>
          <w:tcPr>
            <w:tcW w:type="dxa" w:w="3000"/>
            <w:tcMar>
              <w:top w:w="70" w:type="dxa"/>
              <w:start w:w="90" w:type="dxa"/>
              <w:bottom w:w="70" w:type="dxa"/>
              <w:end w:w="90" w:type="dxa"/>
            </w:tcMar>
            <w:shd w:fill="F1EFE5"/>
            <w:vAlign w:val="center"/>
          </w:tcPr>
          <w:p>
            <w:pPr>
              <w:spacing w:after="0"/>
            </w:pPr>
            <w:r>
              <w:rPr>
                <w:rFonts w:ascii="Arial" w:hAnsi="Arial"/>
                <w:color w:val="1B1B1C"/>
                <w:sz w:val="15"/>
              </w:rPr>
              <w:t>Fifteen-minute meter data may fit a customer trend but not a second-by-second control decision.</w:t>
            </w:r>
          </w:p>
        </w:tc>
        <w:tc>
          <w:tcPr>
            <w:tcW w:type="dxa" w:w="2800"/>
            <w:tcMar>
              <w:top w:w="70" w:type="dxa"/>
              <w:start w:w="90" w:type="dxa"/>
              <w:bottom w:w="70" w:type="dxa"/>
              <w:end w:w="90" w:type="dxa"/>
            </w:tcMar>
            <w:shd w:fill="F1EFE5"/>
            <w:vAlign w:val="center"/>
          </w:tcPr>
          <w:p>
            <w:pPr>
              <w:spacing w:after="0"/>
            </w:pPr>
            <w:r>
              <w:rPr>
                <w:rFonts w:ascii="Arial" w:hAnsi="Arial"/>
                <w:color w:val="1B1B1C"/>
                <w:sz w:val="15"/>
              </w:rPr>
              <w:t>Use, rule, threshold, result, exception and accepted limit.</w:t>
            </w:r>
          </w:p>
        </w:tc>
      </w:tr>
      <w:tr>
        <w:trPr>
          <w:cantSplit/>
        </w:trPr>
        <w:tc>
          <w:tcPr>
            <w:tcW w:type="dxa" w:w="1300"/>
            <w:tcMar>
              <w:top w:w="70" w:type="dxa"/>
              <w:start w:w="90" w:type="dxa"/>
              <w:bottom w:w="70" w:type="dxa"/>
              <w:end w:w="90" w:type="dxa"/>
            </w:tcMar>
            <w:vAlign w:val="center"/>
          </w:tcPr>
          <w:p>
            <w:pPr>
              <w:spacing w:after="0"/>
            </w:pPr>
            <w:r>
              <w:rPr>
                <w:rFonts w:ascii="Arial" w:hAnsi="Arial"/>
                <w:b/>
                <w:color w:val="0E2530"/>
                <w:sz w:val="15"/>
              </w:rPr>
              <w:t>Traceability</w:t>
            </w:r>
          </w:p>
        </w:tc>
        <w:tc>
          <w:tcPr>
            <w:tcW w:type="dxa" w:w="2200"/>
            <w:tcMar>
              <w:top w:w="70" w:type="dxa"/>
              <w:start w:w="90" w:type="dxa"/>
              <w:bottom w:w="70" w:type="dxa"/>
              <w:end w:w="90" w:type="dxa"/>
            </w:tcMar>
            <w:vAlign w:val="center"/>
          </w:tcPr>
          <w:p>
            <w:pPr>
              <w:spacing w:after="0"/>
            </w:pPr>
            <w:r>
              <w:rPr>
                <w:rFonts w:ascii="Arial" w:hAnsi="Arial"/>
                <w:color w:val="1B1B1C"/>
                <w:sz w:val="15"/>
              </w:rPr>
              <w:t>The ability to follow a requirement, record or decision backward and forward.</w:t>
            </w:r>
          </w:p>
        </w:tc>
        <w:tc>
          <w:tcPr>
            <w:tcW w:type="dxa" w:w="3000"/>
            <w:tcMar>
              <w:top w:w="70" w:type="dxa"/>
              <w:start w:w="90" w:type="dxa"/>
              <w:bottom w:w="70" w:type="dxa"/>
              <w:end w:w="90" w:type="dxa"/>
            </w:tcMar>
            <w:vAlign w:val="center"/>
          </w:tcPr>
          <w:p>
            <w:pPr>
              <w:spacing w:after="0"/>
            </w:pPr>
            <w:r>
              <w:rPr>
                <w:rFonts w:ascii="Arial" w:hAnsi="Arial"/>
                <w:color w:val="1B1B1C"/>
                <w:sz w:val="15"/>
              </w:rPr>
              <w:t>A customer complaint connects to the bill, estimate, meter event, correction and notice.</w:t>
            </w:r>
          </w:p>
        </w:tc>
        <w:tc>
          <w:tcPr>
            <w:tcW w:type="dxa" w:w="2800"/>
            <w:tcMar>
              <w:top w:w="70" w:type="dxa"/>
              <w:start w:w="90" w:type="dxa"/>
              <w:bottom w:w="70" w:type="dxa"/>
              <w:end w:w="90" w:type="dxa"/>
            </w:tcMar>
            <w:vAlign w:val="center"/>
          </w:tcPr>
          <w:p>
            <w:pPr>
              <w:spacing w:after="0"/>
            </w:pPr>
            <w:r>
              <w:rPr>
                <w:rFonts w:ascii="Arial" w:hAnsi="Arial"/>
                <w:color w:val="1B1B1C"/>
                <w:sz w:val="15"/>
              </w:rPr>
              <w:t>Linked identifiers and dated records across the chain.</w:t>
            </w:r>
          </w:p>
        </w:tc>
      </w:tr>
      <w:tr>
        <w:trPr>
          <w:cantSplit/>
        </w:trPr>
        <w:tc>
          <w:tcPr>
            <w:tcW w:type="dxa" w:w="1300"/>
            <w:tcMar>
              <w:top w:w="70" w:type="dxa"/>
              <w:start w:w="90" w:type="dxa"/>
              <w:bottom w:w="70" w:type="dxa"/>
              <w:end w:w="90" w:type="dxa"/>
            </w:tcMar>
            <w:shd w:fill="F1EFE5"/>
            <w:vAlign w:val="center"/>
          </w:tcPr>
          <w:p>
            <w:pPr>
              <w:spacing w:after="0"/>
            </w:pPr>
            <w:r>
              <w:rPr>
                <w:rFonts w:ascii="Arial" w:hAnsi="Arial"/>
                <w:b/>
                <w:color w:val="0E2530"/>
                <w:sz w:val="15"/>
              </w:rPr>
              <w:t>Data product</w:t>
            </w:r>
          </w:p>
        </w:tc>
        <w:tc>
          <w:tcPr>
            <w:tcW w:type="dxa" w:w="2200"/>
            <w:tcMar>
              <w:top w:w="70" w:type="dxa"/>
              <w:start w:w="90" w:type="dxa"/>
              <w:bottom w:w="70" w:type="dxa"/>
              <w:end w:w="90" w:type="dxa"/>
            </w:tcMar>
            <w:shd w:fill="F1EFE5"/>
            <w:vAlign w:val="center"/>
          </w:tcPr>
          <w:p>
            <w:pPr>
              <w:spacing w:after="0"/>
            </w:pPr>
            <w:r>
              <w:rPr>
                <w:rFonts w:ascii="Arial" w:hAnsi="Arial"/>
                <w:color w:val="1B1B1C"/>
                <w:sz w:val="15"/>
              </w:rPr>
              <w:t>A governed dataset, application programming interface (API) or feature set with an owner and service promise.</w:t>
            </w:r>
          </w:p>
        </w:tc>
        <w:tc>
          <w:tcPr>
            <w:tcW w:type="dxa" w:w="3000"/>
            <w:tcMar>
              <w:top w:w="70" w:type="dxa"/>
              <w:start w:w="90" w:type="dxa"/>
              <w:bottom w:w="70" w:type="dxa"/>
              <w:end w:w="90" w:type="dxa"/>
            </w:tcMar>
            <w:shd w:fill="F1EFE5"/>
            <w:vAlign w:val="center"/>
          </w:tcPr>
          <w:p>
            <w:pPr>
              <w:spacing w:after="0"/>
            </w:pPr>
            <w:r>
              <w:rPr>
                <w:rFonts w:ascii="Arial" w:hAnsi="Arial"/>
                <w:color w:val="1B1B1C"/>
                <w:sz w:val="15"/>
              </w:rPr>
              <w:t>A network-risk feature set used by capital planning and field operations.</w:t>
            </w:r>
          </w:p>
        </w:tc>
        <w:tc>
          <w:tcPr>
            <w:tcW w:type="dxa" w:w="2800"/>
            <w:tcMar>
              <w:top w:w="70" w:type="dxa"/>
              <w:start w:w="90" w:type="dxa"/>
              <w:bottom w:w="70" w:type="dxa"/>
              <w:end w:w="90" w:type="dxa"/>
            </w:tcMar>
            <w:shd w:fill="F1EFE5"/>
            <w:vAlign w:val="center"/>
          </w:tcPr>
          <w:p>
            <w:pPr>
              <w:spacing w:after="0"/>
            </w:pPr>
            <w:r>
              <w:rPr>
                <w:rFonts w:ascii="Arial" w:hAnsi="Arial"/>
                <w:color w:val="1B1B1C"/>
                <w:sz w:val="15"/>
              </w:rPr>
              <w:t>Contract, owner, schema, quality, lineage, rights and lifecycle.</w:t>
            </w:r>
          </w:p>
        </w:tc>
      </w:tr>
    </w:tbl>
    <w:p>
      <w:pPr>
        <w:spacing w:after="0"/>
      </w:pPr>
    </w:p>
    <w:p>
      <w:pPr>
        <w:pStyle w:val="Heading2"/>
      </w:pPr>
      <w:r>
        <w:t>The minimum provenance event</w:t>
      </w:r>
    </w:p>
    <w:p>
      <w:r>
        <w:t>A useful provenance record does not need to be complicated. For a critical transformation, retain the input identifiers, output identifier, activity or run identifier, responsible person or service, time, code or configuration version, quality result, purpose, approval and integrity evidence. The W3C Provenance Data Model (PROV) provides the entity, activity and agent pattern for this work. OpenLineage provides a practical job, run and dataset pattern. [W01] [W02] [U06]</w:t>
      </w:r>
    </w:p>
    <w:p>
      <w:pPr>
        <w:pStyle w:val="Heading2"/>
      </w:pPr>
      <w:r>
        <w:t>A utility-specific rule for quality</w:t>
      </w:r>
    </w:p>
    <w:tbl>
      <w:tblPr>
        <w:tblW w:type="auto" w:w="0"/>
        <w:jc w:val="center"/>
        <w:tblLayout w:type="fixed"/>
        <w:tblLook w:firstColumn="1" w:firstRow="1" w:lastColumn="0" w:lastRow="0" w:noHBand="0" w:noVBand="1" w:val="04A0"/>
        <w:tblBorders>
          <w:top w:val="single" w:sz="10" w:space="0" w:color="E0A64A"/>
          <w:left w:val="single" w:sz="10" w:space="0" w:color="E0A64A"/>
          <w:bottom w:val="single" w:sz="10" w:space="0" w:color="E0A64A"/>
          <w:right w:val="single" w:sz="10" w:space="0" w:color="E0A64A"/>
          <w:insideH w:val="single" w:sz="10" w:space="0" w:color="E0A64A"/>
          <w:insideV w:val="single" w:sz="10" w:space="0" w:color="E0A64A"/>
        </w:tblBorders>
      </w:tblPr>
      <w:tblGrid>
        <w:gridCol w:w="9820"/>
      </w:tblGrid>
      <w:tr>
        <w:trPr>
          <w:cantSplit/>
        </w:trPr>
        <w:tc>
          <w:tcPr>
            <w:tcW w:type="dxa" w:w="9820"/>
            <w:shd w:fill="1B1B1C"/>
            <w:tcMar>
              <w:top w:w="140" w:type="dxa"/>
              <w:start w:w="170" w:type="dxa"/>
              <w:bottom w:w="140" w:type="dxa"/>
              <w:end w:w="170" w:type="dxa"/>
            </w:tcMar>
          </w:tcPr>
          <w:p>
            <w:pPr>
              <w:spacing w:after="80"/>
            </w:pPr>
            <w:r>
              <w:rPr>
                <w:rFonts w:ascii="Arial" w:hAnsi="Arial"/>
                <w:b/>
                <w:color w:val="E0A64A"/>
                <w:sz w:val="20"/>
              </w:rPr>
              <w:t>Fitness comes before score</w:t>
            </w:r>
          </w:p>
          <w:p>
            <w:pPr>
              <w:spacing w:after="0"/>
            </w:pPr>
            <w:r>
              <w:rPr>
                <w:rFonts w:ascii="Arial" w:hAnsi="Arial"/>
                <w:color w:val="FFFFFF"/>
                <w:sz w:val="20"/>
              </w:rPr>
              <w:t>Do not ask whether a dataset is good. Ask whether it is fit for this decision, at this time, with this consequence. Record the answer and the accepted limits.</w:t>
            </w:r>
          </w:p>
        </w:tc>
      </w:tr>
    </w:tbl>
    <w:p>
      <w:pPr>
        <w:spacing w:after="0"/>
      </w:pPr>
    </w:p>
    <w:p>
      <w:r>
        <w:t>Quality is contextual. A location that is adequate for customer communication may be unsafe for excavation. A meter interval that is adequate for billing analysis may not be adequate for operational control. A governance program should tie each quality requirement to the use, criticality and consequence. [I05] [I06] [I10] [W04]</w:t>
      </w:r>
    </w:p>
    <w:p>
      <w:pPr>
        <w:pageBreakBefore/>
        <w:spacing w:after="100"/>
      </w:pPr>
      <w:r>
        <w:rPr>
          <w:rFonts w:ascii="Arial" w:hAnsi="Arial"/>
          <w:b/>
          <w:color w:val="2F7F9E"/>
          <w:sz w:val="17"/>
        </w:rPr>
        <w:t>APPLICATION PAPER</w:t>
      </w:r>
    </w:p>
    <w:p>
      <w:pPr>
        <w:pStyle w:val="Heading1"/>
      </w:pPr>
      <w:r>
        <w:t>3. How the standards fit together</w:t>
      </w:r>
    </w:p>
    <w:p>
      <w:pPr>
        <w:pStyle w:val="Subtitle"/>
        <w:spacing w:after="280"/>
      </w:pPr>
      <w:r>
        <w:rPr>
          <w:color w:val="3C3B36"/>
          <w:sz w:val="25"/>
        </w:rPr>
        <w:t>Use the standards as one control system. Do not force one source to answer every question.</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820"/>
      </w:tblGrid>
      <w:tr>
        <w:tc>
          <w:tcPr>
            <w:tcW w:type="dxa" w:w="1500"/>
            <w:shd w:fill="E0A64A"/>
            <w:tcMar>
              <w:top w:w="0" w:type="dxa"/>
              <w:start w:w="0" w:type="dxa"/>
              <w:bottom w:w="0" w:type="dxa"/>
              <w:end w:w="0" w:type="dxa"/>
            </w:tcMar>
          </w:tcPr>
          <w:p>
            <w:pPr>
              <w:spacing w:after="0"/>
            </w:pPr>
            <w:r>
              <w:rPr>
                <w:sz w:val="4"/>
              </w:rPr>
              <w:t xml:space="preserve"> </w:t>
            </w:r>
          </w:p>
        </w:tc>
      </w:tr>
    </w:tbl>
    <w:p>
      <w:pPr>
        <w:spacing w:before="120" w:after="0"/>
        <w:jc w:val="center"/>
      </w:pPr>
      <w:r>
        <w:drawing>
          <wp:inline xmlns:a="http://schemas.openxmlformats.org/drawingml/2006/main" xmlns:pic="http://schemas.openxmlformats.org/drawingml/2006/picture">
            <wp:extent cx="6126480" cy="3539744"/>
            <wp:docPr id="7" name="Picture 7" title="Figure 3. No single standard does the whole job" descr="Law and policy set obligations. ISO sets governance and management direction. W3C provides machine-readable evidence models. NIST and IEC provide control and assurance methods. Industry frameworks help organize capability."/>
            <wp:cNvGraphicFramePr>
              <a:graphicFrameLocks noChangeAspect="1"/>
            </wp:cNvGraphicFramePr>
            <a:graphic>
              <a:graphicData uri="http://schemas.openxmlformats.org/drawingml/2006/picture">
                <pic:pic>
                  <pic:nvPicPr>
                    <pic:cNvPr id="0" name="03_authority_stack.png"/>
                    <pic:cNvPicPr/>
                  </pic:nvPicPr>
                  <pic:blipFill>
                    <a:blip r:embed="rId30"/>
                    <a:stretch>
                      <a:fillRect/>
                    </a:stretch>
                  </pic:blipFill>
                  <pic:spPr>
                    <a:xfrm>
                      <a:off x="0" y="0"/>
                      <a:ext cx="6126480" cy="3539744"/>
                    </a:xfrm>
                    <a:prstGeom prst="rect"/>
                  </pic:spPr>
                </pic:pic>
              </a:graphicData>
            </a:graphic>
          </wp:inline>
        </w:drawing>
      </w:r>
    </w:p>
    <w:p>
      <w:pPr>
        <w:pStyle w:val="Caption"/>
        <w:jc w:val="left"/>
      </w:pPr>
      <w:r>
        <w:t>Figure 3. No single standard does the whole job</w:t>
      </w:r>
    </w:p>
    <w:p>
      <w:pPr>
        <w:spacing w:after="40"/>
      </w:pPr>
      <w:r>
        <w:rPr>
          <w:b/>
          <w:color w:val="2F7F9E"/>
        </w:rPr>
        <w:t xml:space="preserve">What this shows. </w:t>
      </w:r>
      <w:r>
        <w:t>Law and policy set obligations. ISO sets governance and management direction. W3C provides machine-readable evidence models. NIST and IEC provide control and assurance methods. Industry frameworks help organize capability.</w:t>
      </w:r>
    </w:p>
    <w:p>
      <w:pPr>
        <w:spacing w:after="180"/>
      </w:pPr>
      <w:r>
        <w:rPr>
          <w:rFonts w:ascii="Arial" w:hAnsi="Arial"/>
          <w:i/>
          <w:color w:val="7D766A"/>
          <w:sz w:val="15"/>
        </w:rPr>
        <w:t>Source: APAS AI standards crosswalk.</w:t>
      </w:r>
    </w:p>
    <w:p>
      <w:pPr>
        <w:pStyle w:val="Heading2"/>
      </w:pPr>
      <w:r>
        <w:t>ISO gives the governing and management structure</w:t>
      </w:r>
    </w:p>
    <w:p>
      <w:r>
        <w:t>ISO/IEC 38505-1 sets principles for the governance of data. The ISO/IEC 5259 series brings data quality into analytics and machine learning (ML), including measures, management, process and governance. ISO/IEC 11179 supports metadata registries and dataset registration. ISO/IEC 42001 and ISO/IEC 23894 address AI management and risk. ISO/IEC 27001, ISO/IEC 27701 and ISO 15489 connect security, privacy, personally identifiable information (PII) and records. ISO 55001 and ISO 24516 connect the data work to assets and water utility performance. [I01] [I04-I08] [I14] [I16-I18] [I20-I26]</w:t>
      </w:r>
    </w:p>
    <w:p>
      <w:pPr>
        <w:pStyle w:val="Heading2"/>
      </w:pPr>
      <w:r>
        <w:t>W3C makes the evidence portable</w:t>
      </w:r>
    </w:p>
    <w:p>
      <w:r>
        <w:t>W3C PROV models provenance through entities, activities and agents. The Data Catalog Vocabulary (DCAT) describes catalogs and datasets. The Data Quality Vocabulary (DQV) expresses quality. The Shapes Constraint Language (SHACL) tests graph constraints. The Open Digital Rights Language (ODRL) expresses rights and duties. Verifiable Credentials Data Integrity adds cryptographic proof patterns. The Resource Description Framework (RDF), Simple Knowledge Organization System (SKOS) and JavaScript Object Notation for Linked Data (JSON-LD) support identifiers, relationships and shared meaning. These are technical building blocks for evidence that can move between systems. [W01-W11]</w:t>
      </w:r>
    </w:p>
    <w:p>
      <w:pPr>
        <w:pStyle w:val="Heading2"/>
      </w:pPr>
      <w:r>
        <w:t>NIST organizes risk, controls and assurance</w:t>
      </w:r>
    </w:p>
    <w:p>
      <w:r>
        <w:t>NIST does not publish one formal standard called data governance. Its contribution is spread across the Artificial Intelligence Risk Management Framework (AI RMF), the Research Data Framework, the provenance glossary, Special Publication (SP) 800-53 controls, SP 800-53A assessment procedures, the Cybersecurity Framework, the Privacy Framework, supply-chain guidance and the Open Security Controls Assessment Language (OSCAL). Together, these sources help a utility define risk, select controls, test them and exchange assurance information. [N01-N10]</w:t>
      </w:r>
    </w:p>
    <w:p>
      <w:pPr>
        <w:spacing w:before="120" w:after="0"/>
        <w:jc w:val="center"/>
      </w:pPr>
      <w:r>
        <w:drawing>
          <wp:inline xmlns:a="http://schemas.openxmlformats.org/drawingml/2006/main" xmlns:pic="http://schemas.openxmlformats.org/drawingml/2006/picture">
            <wp:extent cx="6126480" cy="3539744"/>
            <wp:docPr id="8" name="Picture 8" title="Figure 4. Standards translated into utility jobs" descr="The useful question is not which standard wins. The useful question is which operating job each source helps a utility perform and what evidence should remain after the job is done."/>
            <wp:cNvGraphicFramePr>
              <a:graphicFrameLocks noChangeAspect="1"/>
            </wp:cNvGraphicFramePr>
            <a:graphic>
              <a:graphicData uri="http://schemas.openxmlformats.org/drawingml/2006/picture">
                <pic:pic>
                  <pic:nvPicPr>
                    <pic:cNvPr id="0" name="04_standards_jobs.png"/>
                    <pic:cNvPicPr/>
                  </pic:nvPicPr>
                  <pic:blipFill>
                    <a:blip r:embed="rId31"/>
                    <a:stretch>
                      <a:fillRect/>
                    </a:stretch>
                  </pic:blipFill>
                  <pic:spPr>
                    <a:xfrm>
                      <a:off x="0" y="0"/>
                      <a:ext cx="6126480" cy="3539744"/>
                    </a:xfrm>
                    <a:prstGeom prst="rect"/>
                  </pic:spPr>
                </pic:pic>
              </a:graphicData>
            </a:graphic>
          </wp:inline>
        </w:drawing>
      </w:r>
    </w:p>
    <w:p>
      <w:pPr>
        <w:pStyle w:val="Caption"/>
        <w:jc w:val="left"/>
      </w:pPr>
      <w:r>
        <w:t>Figure 4. Standards translated into utility jobs</w:t>
      </w:r>
    </w:p>
    <w:p>
      <w:pPr>
        <w:spacing w:after="40"/>
      </w:pPr>
      <w:r>
        <w:rPr>
          <w:b/>
          <w:color w:val="2F7F9E"/>
        </w:rPr>
        <w:t xml:space="preserve">What this shows. </w:t>
      </w:r>
      <w:r>
        <w:t>The useful question is not which standard wins. The useful question is which operating job each source helps a utility perform and what evidence should remain after the job is done.</w:t>
      </w:r>
    </w:p>
    <w:p>
      <w:pPr>
        <w:spacing w:after="180"/>
      </w:pPr>
      <w:r>
        <w:rPr>
          <w:rFonts w:ascii="Arial" w:hAnsi="Arial"/>
          <w:i/>
          <w:color w:val="7D766A"/>
          <w:sz w:val="15"/>
        </w:rPr>
        <w:t>Source: APAS AI standards crosswalk.</w:t>
      </w:r>
    </w:p>
    <w:p>
      <w:pPr>
        <w:pStyle w:val="Heading2"/>
      </w:pPr>
      <w:r>
        <w:t>The operating crosswalk</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2455"/>
        <w:gridCol w:w="2455"/>
        <w:gridCol w:w="2455"/>
        <w:gridCol w:w="2455"/>
      </w:tblGrid>
      <w:tr>
        <w:trPr>
          <w:tblHeader w:val="true"/>
          <w:cantSplit/>
        </w:trPr>
        <w:tc>
          <w:tcPr>
            <w:tcW w:type="dxa" w:w="1500"/>
            <w:tcMar>
              <w:top w:w="75" w:type="dxa"/>
              <w:start w:w="90" w:type="dxa"/>
              <w:bottom w:w="75" w:type="dxa"/>
              <w:end w:w="90" w:type="dxa"/>
            </w:tcMar>
            <w:shd w:fill="1B1B1C"/>
          </w:tcPr>
          <w:p>
            <w:pPr>
              <w:spacing w:after="0"/>
            </w:pPr>
            <w:r>
              <w:rPr>
                <w:rFonts w:ascii="Arial" w:hAnsi="Arial"/>
                <w:b/>
                <w:color w:val="FFFFFF"/>
                <w:sz w:val="15"/>
              </w:rPr>
              <w:t>Family</w:t>
            </w:r>
          </w:p>
        </w:tc>
        <w:tc>
          <w:tcPr>
            <w:tcW w:type="dxa" w:w="2300"/>
            <w:tcMar>
              <w:top w:w="75" w:type="dxa"/>
              <w:start w:w="90" w:type="dxa"/>
              <w:bottom w:w="75" w:type="dxa"/>
              <w:end w:w="90" w:type="dxa"/>
            </w:tcMar>
            <w:shd w:fill="1B1B1C"/>
          </w:tcPr>
          <w:p>
            <w:pPr>
              <w:spacing w:after="0"/>
            </w:pPr>
            <w:r>
              <w:rPr>
                <w:rFonts w:ascii="Arial" w:hAnsi="Arial"/>
                <w:b/>
                <w:color w:val="FFFFFF"/>
                <w:sz w:val="15"/>
              </w:rPr>
              <w:t>Primary job</w:t>
            </w:r>
          </w:p>
        </w:tc>
        <w:tc>
          <w:tcPr>
            <w:tcW w:type="dxa" w:w="3000"/>
            <w:tcMar>
              <w:top w:w="75" w:type="dxa"/>
              <w:start w:w="90" w:type="dxa"/>
              <w:bottom w:w="75" w:type="dxa"/>
              <w:end w:w="90" w:type="dxa"/>
            </w:tcMar>
            <w:shd w:fill="1B1B1C"/>
          </w:tcPr>
          <w:p>
            <w:pPr>
              <w:spacing w:after="0"/>
            </w:pPr>
            <w:r>
              <w:rPr>
                <w:rFonts w:ascii="Arial" w:hAnsi="Arial"/>
                <w:b/>
                <w:color w:val="FFFFFF"/>
                <w:sz w:val="15"/>
              </w:rPr>
              <w:t>Utility use</w:t>
            </w:r>
          </w:p>
        </w:tc>
        <w:tc>
          <w:tcPr>
            <w:tcW w:type="dxa" w:w="2500"/>
            <w:tcMar>
              <w:top w:w="75" w:type="dxa"/>
              <w:start w:w="90" w:type="dxa"/>
              <w:bottom w:w="75" w:type="dxa"/>
              <w:end w:w="90" w:type="dxa"/>
            </w:tcMar>
            <w:shd w:fill="1B1B1C"/>
          </w:tcPr>
          <w:p>
            <w:pPr>
              <w:spacing w:after="0"/>
            </w:pPr>
            <w:r>
              <w:rPr>
                <w:rFonts w:ascii="Arial" w:hAnsi="Arial"/>
                <w:b/>
                <w:color w:val="FFFFFF"/>
                <w:sz w:val="15"/>
              </w:rPr>
              <w:t>Do not mistake it for</w:t>
            </w:r>
          </w:p>
        </w:tc>
      </w:tr>
      <w:tr>
        <w:trPr>
          <w:cantSplit/>
        </w:trPr>
        <w:tc>
          <w:tcPr>
            <w:tcW w:type="dxa" w:w="1500"/>
            <w:tcMar>
              <w:top w:w="70" w:type="dxa"/>
              <w:start w:w="90" w:type="dxa"/>
              <w:bottom w:w="70" w:type="dxa"/>
              <w:end w:w="90" w:type="dxa"/>
            </w:tcMar>
            <w:vAlign w:val="center"/>
          </w:tcPr>
          <w:p>
            <w:pPr>
              <w:spacing w:after="0"/>
            </w:pPr>
            <w:r>
              <w:rPr>
                <w:rFonts w:ascii="Arial" w:hAnsi="Arial"/>
                <w:b/>
                <w:color w:val="0E2530"/>
                <w:sz w:val="15"/>
              </w:rPr>
              <w:t>Law and government policy</w:t>
            </w:r>
          </w:p>
        </w:tc>
        <w:tc>
          <w:tcPr>
            <w:tcW w:type="dxa" w:w="2300"/>
            <w:tcMar>
              <w:top w:w="70" w:type="dxa"/>
              <w:start w:w="90" w:type="dxa"/>
              <w:bottom w:w="70" w:type="dxa"/>
              <w:end w:w="90" w:type="dxa"/>
            </w:tcMar>
            <w:vAlign w:val="center"/>
          </w:tcPr>
          <w:p>
            <w:pPr>
              <w:spacing w:after="0"/>
            </w:pPr>
            <w:r>
              <w:rPr>
                <w:rFonts w:ascii="Arial" w:hAnsi="Arial"/>
                <w:color w:val="1B1B1C"/>
                <w:sz w:val="15"/>
              </w:rPr>
              <w:t>Set duties, coverage, rights, dates and enforcement.</w:t>
            </w:r>
          </w:p>
        </w:tc>
        <w:tc>
          <w:tcPr>
            <w:tcW w:type="dxa" w:w="3000"/>
            <w:tcMar>
              <w:top w:w="70" w:type="dxa"/>
              <w:start w:w="90" w:type="dxa"/>
              <w:bottom w:w="70" w:type="dxa"/>
              <w:end w:w="90" w:type="dxa"/>
            </w:tcMar>
            <w:vAlign w:val="center"/>
          </w:tcPr>
          <w:p>
            <w:pPr>
              <w:spacing w:after="0"/>
            </w:pPr>
            <w:r>
              <w:rPr>
                <w:rFonts w:ascii="Arial" w:hAnsi="Arial"/>
                <w:color w:val="1B1B1C"/>
                <w:sz w:val="15"/>
              </w:rPr>
              <w:t>Applicability, records, privacy, cyber, open data, AI and procurement.</w:t>
            </w:r>
          </w:p>
        </w:tc>
        <w:tc>
          <w:tcPr>
            <w:tcW w:type="dxa" w:w="2500"/>
            <w:tcMar>
              <w:top w:w="70" w:type="dxa"/>
              <w:start w:w="90" w:type="dxa"/>
              <w:bottom w:w="70" w:type="dxa"/>
              <w:end w:w="90" w:type="dxa"/>
            </w:tcMar>
            <w:vAlign w:val="center"/>
          </w:tcPr>
          <w:p>
            <w:pPr>
              <w:spacing w:after="0"/>
            </w:pPr>
            <w:r>
              <w:rPr>
                <w:rFonts w:ascii="Arial" w:hAnsi="Arial"/>
                <w:color w:val="1B1B1C"/>
                <w:sz w:val="15"/>
              </w:rPr>
              <w:t>A full operating model.</w:t>
            </w:r>
          </w:p>
        </w:tc>
      </w:tr>
      <w:tr>
        <w:trPr>
          <w:cantSplit/>
        </w:trPr>
        <w:tc>
          <w:tcPr>
            <w:tcW w:type="dxa" w:w="1500"/>
            <w:tcMar>
              <w:top w:w="70" w:type="dxa"/>
              <w:start w:w="90" w:type="dxa"/>
              <w:bottom w:w="70" w:type="dxa"/>
              <w:end w:w="90" w:type="dxa"/>
            </w:tcMar>
            <w:shd w:fill="F1EFE5"/>
            <w:vAlign w:val="center"/>
          </w:tcPr>
          <w:p>
            <w:pPr>
              <w:spacing w:after="0"/>
            </w:pPr>
            <w:r>
              <w:rPr>
                <w:rFonts w:ascii="Arial" w:hAnsi="Arial"/>
                <w:b/>
                <w:color w:val="0E2530"/>
                <w:sz w:val="15"/>
              </w:rPr>
              <w:t>ISO</w:t>
            </w:r>
          </w:p>
        </w:tc>
        <w:tc>
          <w:tcPr>
            <w:tcW w:type="dxa" w:w="2300"/>
            <w:tcMar>
              <w:top w:w="70" w:type="dxa"/>
              <w:start w:w="90" w:type="dxa"/>
              <w:bottom w:w="70" w:type="dxa"/>
              <w:end w:w="90" w:type="dxa"/>
            </w:tcMar>
            <w:shd w:fill="F1EFE5"/>
            <w:vAlign w:val="center"/>
          </w:tcPr>
          <w:p>
            <w:pPr>
              <w:spacing w:after="0"/>
            </w:pPr>
            <w:r>
              <w:rPr>
                <w:rFonts w:ascii="Arial" w:hAnsi="Arial"/>
                <w:color w:val="1B1B1C"/>
                <w:sz w:val="15"/>
              </w:rPr>
              <w:t>Set direction, accountabilities and management-system expectations.</w:t>
            </w:r>
          </w:p>
        </w:tc>
        <w:tc>
          <w:tcPr>
            <w:tcW w:type="dxa" w:w="3000"/>
            <w:tcMar>
              <w:top w:w="70" w:type="dxa"/>
              <w:start w:w="90" w:type="dxa"/>
              <w:bottom w:w="70" w:type="dxa"/>
              <w:end w:w="90" w:type="dxa"/>
            </w:tcMar>
            <w:shd w:fill="F1EFE5"/>
            <w:vAlign w:val="center"/>
          </w:tcPr>
          <w:p>
            <w:pPr>
              <w:spacing w:after="0"/>
            </w:pPr>
            <w:r>
              <w:rPr>
                <w:rFonts w:ascii="Arial" w:hAnsi="Arial"/>
                <w:color w:val="1B1B1C"/>
                <w:sz w:val="15"/>
              </w:rPr>
              <w:t>Governance, quality, AI, security, privacy, records and asset management.</w:t>
            </w:r>
          </w:p>
        </w:tc>
        <w:tc>
          <w:tcPr>
            <w:tcW w:type="dxa" w:w="2500"/>
            <w:tcMar>
              <w:top w:w="70" w:type="dxa"/>
              <w:start w:w="90" w:type="dxa"/>
              <w:bottom w:w="70" w:type="dxa"/>
              <w:end w:w="90" w:type="dxa"/>
            </w:tcMar>
            <w:shd w:fill="F1EFE5"/>
            <w:vAlign w:val="center"/>
          </w:tcPr>
          <w:p>
            <w:pPr>
              <w:spacing w:after="0"/>
            </w:pPr>
            <w:r>
              <w:rPr>
                <w:rFonts w:ascii="Arial" w:hAnsi="Arial"/>
                <w:color w:val="1B1B1C"/>
                <w:sz w:val="15"/>
              </w:rPr>
              <w:t>A machine-readable lineage format.</w:t>
            </w:r>
          </w:p>
        </w:tc>
      </w:tr>
      <w:tr>
        <w:trPr>
          <w:cantSplit/>
        </w:trPr>
        <w:tc>
          <w:tcPr>
            <w:tcW w:type="dxa" w:w="1500"/>
            <w:tcMar>
              <w:top w:w="70" w:type="dxa"/>
              <w:start w:w="90" w:type="dxa"/>
              <w:bottom w:w="70" w:type="dxa"/>
              <w:end w:w="90" w:type="dxa"/>
            </w:tcMar>
            <w:vAlign w:val="center"/>
          </w:tcPr>
          <w:p>
            <w:pPr>
              <w:spacing w:after="0"/>
            </w:pPr>
            <w:r>
              <w:rPr>
                <w:rFonts w:ascii="Arial" w:hAnsi="Arial"/>
                <w:b/>
                <w:color w:val="0E2530"/>
                <w:sz w:val="15"/>
              </w:rPr>
              <w:t>W3C</w:t>
            </w:r>
          </w:p>
        </w:tc>
        <w:tc>
          <w:tcPr>
            <w:tcW w:type="dxa" w:w="2300"/>
            <w:tcMar>
              <w:top w:w="70" w:type="dxa"/>
              <w:start w:w="90" w:type="dxa"/>
              <w:bottom w:w="70" w:type="dxa"/>
              <w:end w:w="90" w:type="dxa"/>
            </w:tcMar>
            <w:vAlign w:val="center"/>
          </w:tcPr>
          <w:p>
            <w:pPr>
              <w:spacing w:after="0"/>
            </w:pPr>
            <w:r>
              <w:rPr>
                <w:rFonts w:ascii="Arial" w:hAnsi="Arial"/>
                <w:color w:val="1B1B1C"/>
                <w:sz w:val="15"/>
              </w:rPr>
              <w:t>Represent and exchange metadata, provenance, quality, constraints and policy.</w:t>
            </w:r>
          </w:p>
        </w:tc>
        <w:tc>
          <w:tcPr>
            <w:tcW w:type="dxa" w:w="3000"/>
            <w:tcMar>
              <w:top w:w="70" w:type="dxa"/>
              <w:start w:w="90" w:type="dxa"/>
              <w:bottom w:w="70" w:type="dxa"/>
              <w:end w:w="90" w:type="dxa"/>
            </w:tcMar>
            <w:vAlign w:val="center"/>
          </w:tcPr>
          <w:p>
            <w:pPr>
              <w:spacing w:after="0"/>
            </w:pPr>
            <w:r>
              <w:rPr>
                <w:rFonts w:ascii="Arial" w:hAnsi="Arial"/>
                <w:color w:val="1B1B1C"/>
                <w:sz w:val="15"/>
              </w:rPr>
              <w:t>Catalogs, knowledge graphs, APIs, data products and traceable evidence.</w:t>
            </w:r>
          </w:p>
        </w:tc>
        <w:tc>
          <w:tcPr>
            <w:tcW w:type="dxa" w:w="2500"/>
            <w:tcMar>
              <w:top w:w="70" w:type="dxa"/>
              <w:start w:w="90" w:type="dxa"/>
              <w:bottom w:w="70" w:type="dxa"/>
              <w:end w:w="90" w:type="dxa"/>
            </w:tcMar>
            <w:vAlign w:val="center"/>
          </w:tcPr>
          <w:p>
            <w:pPr>
              <w:spacing w:after="0"/>
            </w:pPr>
            <w:r>
              <w:rPr>
                <w:rFonts w:ascii="Arial" w:hAnsi="Arial"/>
                <w:color w:val="1B1B1C"/>
                <w:sz w:val="15"/>
              </w:rPr>
              <w:t>A legal requirement or complete control program.</w:t>
            </w:r>
          </w:p>
        </w:tc>
      </w:tr>
      <w:tr>
        <w:trPr>
          <w:cantSplit/>
        </w:trPr>
        <w:tc>
          <w:tcPr>
            <w:tcW w:type="dxa" w:w="1500"/>
            <w:tcMar>
              <w:top w:w="70" w:type="dxa"/>
              <w:start w:w="90" w:type="dxa"/>
              <w:bottom w:w="70" w:type="dxa"/>
              <w:end w:w="90" w:type="dxa"/>
            </w:tcMar>
            <w:shd w:fill="F1EFE5"/>
            <w:vAlign w:val="center"/>
          </w:tcPr>
          <w:p>
            <w:pPr>
              <w:spacing w:after="0"/>
            </w:pPr>
            <w:r>
              <w:rPr>
                <w:rFonts w:ascii="Arial" w:hAnsi="Arial"/>
                <w:b/>
                <w:color w:val="0E2530"/>
                <w:sz w:val="15"/>
              </w:rPr>
              <w:t>NIST</w:t>
            </w:r>
          </w:p>
        </w:tc>
        <w:tc>
          <w:tcPr>
            <w:tcW w:type="dxa" w:w="2300"/>
            <w:tcMar>
              <w:top w:w="70" w:type="dxa"/>
              <w:start w:w="90" w:type="dxa"/>
              <w:bottom w:w="70" w:type="dxa"/>
              <w:end w:w="90" w:type="dxa"/>
            </w:tcMar>
            <w:shd w:fill="F1EFE5"/>
            <w:vAlign w:val="center"/>
          </w:tcPr>
          <w:p>
            <w:pPr>
              <w:spacing w:after="0"/>
            </w:pPr>
            <w:r>
              <w:rPr>
                <w:rFonts w:ascii="Arial" w:hAnsi="Arial"/>
                <w:color w:val="1B1B1C"/>
                <w:sz w:val="15"/>
              </w:rPr>
              <w:t>Organize risk, controls, tests, evidence and improvement.</w:t>
            </w:r>
          </w:p>
        </w:tc>
        <w:tc>
          <w:tcPr>
            <w:tcW w:type="dxa" w:w="3000"/>
            <w:tcMar>
              <w:top w:w="70" w:type="dxa"/>
              <w:start w:w="90" w:type="dxa"/>
              <w:bottom w:w="70" w:type="dxa"/>
              <w:end w:w="90" w:type="dxa"/>
            </w:tcMar>
            <w:shd w:fill="F1EFE5"/>
            <w:vAlign w:val="center"/>
          </w:tcPr>
          <w:p>
            <w:pPr>
              <w:spacing w:after="0"/>
            </w:pPr>
            <w:r>
              <w:rPr>
                <w:rFonts w:ascii="Arial" w:hAnsi="Arial"/>
                <w:color w:val="1B1B1C"/>
                <w:sz w:val="15"/>
              </w:rPr>
              <w:t>AI, cyber, privacy, integrity, suppliers, logging and assurance.</w:t>
            </w:r>
          </w:p>
        </w:tc>
        <w:tc>
          <w:tcPr>
            <w:tcW w:type="dxa" w:w="2500"/>
            <w:tcMar>
              <w:top w:w="70" w:type="dxa"/>
              <w:start w:w="90" w:type="dxa"/>
              <w:bottom w:w="70" w:type="dxa"/>
              <w:end w:w="90" w:type="dxa"/>
            </w:tcMar>
            <w:shd w:fill="F1EFE5"/>
            <w:vAlign w:val="center"/>
          </w:tcPr>
          <w:p>
            <w:pPr>
              <w:spacing w:after="0"/>
            </w:pPr>
            <w:r>
              <w:rPr>
                <w:rFonts w:ascii="Arial" w:hAnsi="Arial"/>
                <w:color w:val="1B1B1C"/>
                <w:sz w:val="15"/>
              </w:rPr>
              <w:t>An ISO management-system certification.</w:t>
            </w:r>
          </w:p>
        </w:tc>
      </w:tr>
      <w:tr>
        <w:trPr>
          <w:cantSplit/>
        </w:trPr>
        <w:tc>
          <w:tcPr>
            <w:tcW w:type="dxa" w:w="1500"/>
            <w:tcMar>
              <w:top w:w="70" w:type="dxa"/>
              <w:start w:w="90" w:type="dxa"/>
              <w:bottom w:w="70" w:type="dxa"/>
              <w:end w:w="90" w:type="dxa"/>
            </w:tcMar>
            <w:vAlign w:val="center"/>
          </w:tcPr>
          <w:p>
            <w:pPr>
              <w:spacing w:after="0"/>
            </w:pPr>
            <w:r>
              <w:rPr>
                <w:rFonts w:ascii="Arial" w:hAnsi="Arial"/>
                <w:b/>
                <w:color w:val="0E2530"/>
                <w:sz w:val="15"/>
              </w:rPr>
              <w:t>IEC and utility standards</w:t>
            </w:r>
          </w:p>
        </w:tc>
        <w:tc>
          <w:tcPr>
            <w:tcW w:type="dxa" w:w="2300"/>
            <w:tcMar>
              <w:top w:w="70" w:type="dxa"/>
              <w:start w:w="90" w:type="dxa"/>
              <w:bottom w:w="70" w:type="dxa"/>
              <w:end w:w="90" w:type="dxa"/>
            </w:tcMar>
            <w:vAlign w:val="center"/>
          </w:tcPr>
          <w:p>
            <w:pPr>
              <w:spacing w:after="0"/>
            </w:pPr>
            <w:r>
              <w:rPr>
                <w:rFonts w:ascii="Arial" w:hAnsi="Arial"/>
                <w:color w:val="1B1B1C"/>
                <w:sz w:val="15"/>
              </w:rPr>
              <w:t>Provide operational technology (OT), power and interoperability context.</w:t>
            </w:r>
          </w:p>
        </w:tc>
        <w:tc>
          <w:tcPr>
            <w:tcW w:type="dxa" w:w="3000"/>
            <w:tcMar>
              <w:top w:w="70" w:type="dxa"/>
              <w:start w:w="90" w:type="dxa"/>
              <w:bottom w:w="70" w:type="dxa"/>
              <w:end w:w="90" w:type="dxa"/>
            </w:tcMar>
            <w:vAlign w:val="center"/>
          </w:tcPr>
          <w:p>
            <w:pPr>
              <w:spacing w:after="0"/>
            </w:pPr>
            <w:r>
              <w:rPr>
                <w:rFonts w:ascii="Arial" w:hAnsi="Arial"/>
                <w:color w:val="1B1B1C"/>
                <w:sz w:val="15"/>
              </w:rPr>
              <w:t>SCADA, substations, industrial security, network models and field systems.</w:t>
            </w:r>
          </w:p>
        </w:tc>
        <w:tc>
          <w:tcPr>
            <w:tcW w:type="dxa" w:w="2500"/>
            <w:tcMar>
              <w:top w:w="70" w:type="dxa"/>
              <w:start w:w="90" w:type="dxa"/>
              <w:bottom w:w="70" w:type="dxa"/>
              <w:end w:w="90" w:type="dxa"/>
            </w:tcMar>
            <w:vAlign w:val="center"/>
          </w:tcPr>
          <w:p>
            <w:pPr>
              <w:spacing w:after="0"/>
            </w:pPr>
            <w:r>
              <w:rPr>
                <w:rFonts w:ascii="Arial" w:hAnsi="Arial"/>
                <w:color w:val="1B1B1C"/>
                <w:sz w:val="15"/>
              </w:rPr>
              <w:t>Enterprise data governance by itself.</w:t>
            </w:r>
          </w:p>
        </w:tc>
      </w:tr>
      <w:tr>
        <w:trPr>
          <w:cantSplit/>
        </w:trPr>
        <w:tc>
          <w:tcPr>
            <w:tcW w:type="dxa" w:w="1500"/>
            <w:tcMar>
              <w:top w:w="70" w:type="dxa"/>
              <w:start w:w="90" w:type="dxa"/>
              <w:bottom w:w="70" w:type="dxa"/>
              <w:end w:w="90" w:type="dxa"/>
            </w:tcMar>
            <w:shd w:fill="F1EFE5"/>
            <w:vAlign w:val="center"/>
          </w:tcPr>
          <w:p>
            <w:pPr>
              <w:spacing w:after="0"/>
            </w:pPr>
            <w:r>
              <w:rPr>
                <w:rFonts w:ascii="Arial" w:hAnsi="Arial"/>
                <w:b/>
                <w:color w:val="0E2530"/>
                <w:sz w:val="15"/>
              </w:rPr>
              <w:t>Data Management Association International (DAMA), Data Management Capability Assessment Model (DCAM), Cloud Data Management Capabilities (CDMC) and Control Objectives for Information and Related Technologies (COBIT)</w:t>
            </w:r>
          </w:p>
        </w:tc>
        <w:tc>
          <w:tcPr>
            <w:tcW w:type="dxa" w:w="2300"/>
            <w:tcMar>
              <w:top w:w="70" w:type="dxa"/>
              <w:start w:w="90" w:type="dxa"/>
              <w:bottom w:w="70" w:type="dxa"/>
              <w:end w:w="90" w:type="dxa"/>
            </w:tcMar>
            <w:shd w:fill="F1EFE5"/>
            <w:vAlign w:val="center"/>
          </w:tcPr>
          <w:p>
            <w:pPr>
              <w:spacing w:after="0"/>
            </w:pPr>
            <w:r>
              <w:rPr>
                <w:rFonts w:ascii="Arial" w:hAnsi="Arial"/>
                <w:color w:val="1B1B1C"/>
                <w:sz w:val="15"/>
              </w:rPr>
              <w:t>Organize capability, maturity and management practice.</w:t>
            </w:r>
          </w:p>
        </w:tc>
        <w:tc>
          <w:tcPr>
            <w:tcW w:type="dxa" w:w="3000"/>
            <w:tcMar>
              <w:top w:w="70" w:type="dxa"/>
              <w:start w:w="90" w:type="dxa"/>
              <w:bottom w:w="70" w:type="dxa"/>
              <w:end w:w="90" w:type="dxa"/>
            </w:tcMar>
            <w:shd w:fill="F1EFE5"/>
            <w:vAlign w:val="center"/>
          </w:tcPr>
          <w:p>
            <w:pPr>
              <w:spacing w:after="0"/>
            </w:pPr>
            <w:r>
              <w:rPr>
                <w:rFonts w:ascii="Arial" w:hAnsi="Arial"/>
                <w:color w:val="1B1B1C"/>
                <w:sz w:val="15"/>
              </w:rPr>
              <w:t>Roles, workstreams, cloud controls, investment and improvement.</w:t>
            </w:r>
          </w:p>
        </w:tc>
        <w:tc>
          <w:tcPr>
            <w:tcW w:type="dxa" w:w="2500"/>
            <w:tcMar>
              <w:top w:w="70" w:type="dxa"/>
              <w:start w:w="90" w:type="dxa"/>
              <w:bottom w:w="70" w:type="dxa"/>
              <w:end w:w="90" w:type="dxa"/>
            </w:tcMar>
            <w:shd w:fill="F1EFE5"/>
            <w:vAlign w:val="center"/>
          </w:tcPr>
          <w:p>
            <w:pPr>
              <w:spacing w:after="0"/>
            </w:pPr>
            <w:r>
              <w:rPr>
                <w:rFonts w:ascii="Arial" w:hAnsi="Arial"/>
                <w:color w:val="1B1B1C"/>
                <w:sz w:val="15"/>
              </w:rPr>
              <w:t>Binding law or technical evidence syntax.</w:t>
            </w:r>
          </w:p>
        </w:tc>
      </w:tr>
    </w:tbl>
    <w:p>
      <w:pPr>
        <w:spacing w:after="0"/>
      </w:pPr>
    </w:p>
    <w:p>
      <w:pPr>
        <w:pStyle w:val="Heading2"/>
      </w:pPr>
      <w:r>
        <w:t>The primary standards and frameworks to keep in the working set</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1964"/>
        <w:gridCol w:w="1964"/>
        <w:gridCol w:w="1964"/>
        <w:gridCol w:w="1964"/>
        <w:gridCol w:w="1964"/>
      </w:tblGrid>
      <w:tr>
        <w:trPr>
          <w:tblHeader w:val="true"/>
          <w:cantSplit/>
        </w:trPr>
        <w:tc>
          <w:tcPr>
            <w:tcW w:type="dxa" w:w="500"/>
            <w:tcMar>
              <w:top w:w="75" w:type="dxa"/>
              <w:start w:w="90" w:type="dxa"/>
              <w:bottom w:w="75" w:type="dxa"/>
              <w:end w:w="90" w:type="dxa"/>
            </w:tcMar>
            <w:shd w:fill="1B1B1C"/>
          </w:tcPr>
          <w:p>
            <w:pPr>
              <w:spacing w:after="0"/>
            </w:pPr>
            <w:r>
              <w:rPr>
                <w:rFonts w:ascii="Arial" w:hAnsi="Arial"/>
                <w:b/>
                <w:color w:val="FFFFFF"/>
                <w:sz w:val="13"/>
              </w:rPr>
              <w:t>ID</w:t>
            </w:r>
          </w:p>
        </w:tc>
        <w:tc>
          <w:tcPr>
            <w:tcW w:type="dxa" w:w="1200"/>
            <w:tcMar>
              <w:top w:w="75" w:type="dxa"/>
              <w:start w:w="90" w:type="dxa"/>
              <w:bottom w:w="75" w:type="dxa"/>
              <w:end w:w="90" w:type="dxa"/>
            </w:tcMar>
            <w:shd w:fill="1B1B1C"/>
          </w:tcPr>
          <w:p>
            <w:pPr>
              <w:spacing w:after="0"/>
            </w:pPr>
            <w:r>
              <w:rPr>
                <w:rFonts w:ascii="Arial" w:hAnsi="Arial"/>
                <w:b/>
                <w:color w:val="FFFFFF"/>
                <w:sz w:val="13"/>
              </w:rPr>
              <w:t>Issuer</w:t>
            </w:r>
          </w:p>
        </w:tc>
        <w:tc>
          <w:tcPr>
            <w:tcW w:type="dxa" w:w="3600"/>
            <w:tcMar>
              <w:top w:w="75" w:type="dxa"/>
              <w:start w:w="90" w:type="dxa"/>
              <w:bottom w:w="75" w:type="dxa"/>
              <w:end w:w="90" w:type="dxa"/>
            </w:tcMar>
            <w:shd w:fill="1B1B1C"/>
          </w:tcPr>
          <w:p>
            <w:pPr>
              <w:spacing w:after="0"/>
            </w:pPr>
            <w:r>
              <w:rPr>
                <w:rFonts w:ascii="Arial" w:hAnsi="Arial"/>
                <w:b/>
                <w:color w:val="FFFFFF"/>
                <w:sz w:val="13"/>
              </w:rPr>
              <w:t>Source</w:t>
            </w:r>
          </w:p>
        </w:tc>
        <w:tc>
          <w:tcPr>
            <w:tcW w:type="dxa" w:w="1500"/>
            <w:tcMar>
              <w:top w:w="75" w:type="dxa"/>
              <w:start w:w="90" w:type="dxa"/>
              <w:bottom w:w="75" w:type="dxa"/>
              <w:end w:w="90" w:type="dxa"/>
            </w:tcMar>
            <w:shd w:fill="1B1B1C"/>
          </w:tcPr>
          <w:p>
            <w:pPr>
              <w:spacing w:after="0"/>
            </w:pPr>
            <w:r>
              <w:rPr>
                <w:rFonts w:ascii="Arial" w:hAnsi="Arial"/>
                <w:b/>
                <w:color w:val="FFFFFF"/>
                <w:sz w:val="13"/>
              </w:rPr>
              <w:t>Status</w:t>
            </w:r>
          </w:p>
        </w:tc>
        <w:tc>
          <w:tcPr>
            <w:tcW w:type="dxa" w:w="2800"/>
            <w:tcMar>
              <w:top w:w="75" w:type="dxa"/>
              <w:start w:w="90" w:type="dxa"/>
              <w:bottom w:w="75" w:type="dxa"/>
              <w:end w:w="90" w:type="dxa"/>
            </w:tcMar>
            <w:shd w:fill="1B1B1C"/>
          </w:tcPr>
          <w:p>
            <w:pPr>
              <w:spacing w:after="0"/>
            </w:pPr>
            <w:r>
              <w:rPr>
                <w:rFonts w:ascii="Arial" w:hAnsi="Arial"/>
                <w:b/>
                <w:color w:val="FFFFFF"/>
                <w:sz w:val="13"/>
              </w:rPr>
              <w:t>Operating use</w:t>
            </w:r>
          </w:p>
        </w:tc>
      </w:tr>
      <w:tr>
        <w:trPr>
          <w:cantSplit/>
        </w:trPr>
        <w:tc>
          <w:tcPr>
            <w:tcW w:type="dxa" w:w="500"/>
            <w:tcMar>
              <w:top w:w="70" w:type="dxa"/>
              <w:start w:w="90" w:type="dxa"/>
              <w:bottom w:w="70" w:type="dxa"/>
              <w:end w:w="90" w:type="dxa"/>
            </w:tcMar>
            <w:vAlign w:val="center"/>
          </w:tcPr>
          <w:p>
            <w:pPr>
              <w:spacing w:after="0"/>
            </w:pPr>
            <w:r>
              <w:rPr>
                <w:rFonts w:ascii="Arial" w:hAnsi="Arial"/>
                <w:b/>
                <w:color w:val="0E2530"/>
                <w:sz w:val="13"/>
              </w:rPr>
              <w:t>I01</w:t>
            </w:r>
          </w:p>
        </w:tc>
        <w:tc>
          <w:tcPr>
            <w:tcW w:type="dxa" w:w="1200"/>
            <w:tcMar>
              <w:top w:w="70" w:type="dxa"/>
              <w:start w:w="90" w:type="dxa"/>
              <w:bottom w:w="70" w:type="dxa"/>
              <w:end w:w="90" w:type="dxa"/>
            </w:tcMar>
            <w:vAlign w:val="center"/>
          </w:tcPr>
          <w:p>
            <w:pPr>
              <w:spacing w:after="0"/>
            </w:pPr>
            <w:r>
              <w:rPr>
                <w:rFonts w:ascii="Arial" w:hAnsi="Arial"/>
                <w:color w:val="1B1B1C"/>
                <w:sz w:val="13"/>
              </w:rPr>
              <w:t>ISO/IEC</w:t>
            </w:r>
          </w:p>
        </w:tc>
        <w:tc>
          <w:tcPr>
            <w:tcW w:type="dxa" w:w="3600"/>
            <w:tcMar>
              <w:top w:w="70" w:type="dxa"/>
              <w:start w:w="90" w:type="dxa"/>
              <w:bottom w:w="70" w:type="dxa"/>
              <w:end w:w="90" w:type="dxa"/>
            </w:tcMar>
            <w:vAlign w:val="center"/>
          </w:tcPr>
          <w:p>
            <w:pPr>
              <w:spacing w:after="0"/>
            </w:pPr>
            <w:r>
              <w:rPr>
                <w:rFonts w:ascii="Arial" w:hAnsi="Arial"/>
                <w:color w:val="1B1B1C"/>
                <w:sz w:val="13"/>
              </w:rPr>
              <w:t>ISO/IEC 38505-1:2017 - Governance of data, Part 1</w:t>
            </w:r>
          </w:p>
        </w:tc>
        <w:tc>
          <w:tcPr>
            <w:tcW w:type="dxa" w:w="1500"/>
            <w:tcMar>
              <w:top w:w="70" w:type="dxa"/>
              <w:start w:w="90" w:type="dxa"/>
              <w:bottom w:w="70" w:type="dxa"/>
              <w:end w:w="90" w:type="dxa"/>
            </w:tcMar>
            <w:vAlign w:val="center"/>
          </w:tcPr>
          <w:p>
            <w:pPr>
              <w:spacing w:after="0"/>
            </w:pPr>
            <w:r>
              <w:rPr>
                <w:rFonts w:ascii="Arial" w:hAnsi="Arial"/>
                <w:color w:val="1B1B1C"/>
                <w:sz w:val="13"/>
              </w:rPr>
              <w:t>Published; confirmed 2022</w:t>
            </w:r>
          </w:p>
        </w:tc>
        <w:tc>
          <w:tcPr>
            <w:tcW w:type="dxa" w:w="2800"/>
            <w:tcMar>
              <w:top w:w="70" w:type="dxa"/>
              <w:start w:w="90" w:type="dxa"/>
              <w:bottom w:w="70" w:type="dxa"/>
              <w:end w:w="90" w:type="dxa"/>
            </w:tcMar>
            <w:vAlign w:val="center"/>
          </w:tcPr>
          <w:p>
            <w:pPr>
              <w:spacing w:after="0"/>
            </w:pPr>
            <w:r>
              <w:rPr>
                <w:rFonts w:ascii="Arial" w:hAnsi="Arial"/>
                <w:color w:val="1B1B1C"/>
                <w:sz w:val="13"/>
              </w:rPr>
              <w:t>Governing-body principles and decision rights</w:t>
            </w:r>
          </w:p>
        </w:tc>
      </w:tr>
      <w:tr>
        <w:trPr>
          <w:cantSplit/>
        </w:trPr>
        <w:tc>
          <w:tcPr>
            <w:tcW w:type="dxa" w:w="500"/>
            <w:tcMar>
              <w:top w:w="70" w:type="dxa"/>
              <w:start w:w="90" w:type="dxa"/>
              <w:bottom w:w="70" w:type="dxa"/>
              <w:end w:w="90" w:type="dxa"/>
            </w:tcMar>
            <w:shd w:fill="F1EFE5"/>
            <w:vAlign w:val="center"/>
          </w:tcPr>
          <w:p>
            <w:pPr>
              <w:spacing w:after="0"/>
            </w:pPr>
            <w:r>
              <w:rPr>
                <w:rFonts w:ascii="Arial" w:hAnsi="Arial"/>
                <w:b/>
                <w:color w:val="0E2530"/>
                <w:sz w:val="13"/>
              </w:rPr>
              <w:t>I03</w:t>
            </w:r>
          </w:p>
        </w:tc>
        <w:tc>
          <w:tcPr>
            <w:tcW w:type="dxa" w:w="1200"/>
            <w:tcMar>
              <w:top w:w="70" w:type="dxa"/>
              <w:start w:w="90" w:type="dxa"/>
              <w:bottom w:w="70" w:type="dxa"/>
              <w:end w:w="90" w:type="dxa"/>
            </w:tcMar>
            <w:shd w:fill="F1EFE5"/>
            <w:vAlign w:val="center"/>
          </w:tcPr>
          <w:p>
            <w:pPr>
              <w:spacing w:after="0"/>
            </w:pPr>
            <w:r>
              <w:rPr>
                <w:rFonts w:ascii="Arial" w:hAnsi="Arial"/>
                <w:color w:val="1B1B1C"/>
                <w:sz w:val="13"/>
              </w:rPr>
              <w:t>ISO/IEC</w:t>
            </w:r>
          </w:p>
        </w:tc>
        <w:tc>
          <w:tcPr>
            <w:tcW w:type="dxa" w:w="3600"/>
            <w:tcMar>
              <w:top w:w="70" w:type="dxa"/>
              <w:start w:w="90" w:type="dxa"/>
              <w:bottom w:w="70" w:type="dxa"/>
              <w:end w:w="90" w:type="dxa"/>
            </w:tcMar>
            <w:shd w:fill="F1EFE5"/>
            <w:vAlign w:val="center"/>
          </w:tcPr>
          <w:p>
            <w:pPr>
              <w:spacing w:after="0"/>
            </w:pPr>
            <w:r>
              <w:rPr>
                <w:rFonts w:ascii="Arial" w:hAnsi="Arial"/>
                <w:color w:val="1B1B1C"/>
                <w:sz w:val="13"/>
              </w:rPr>
              <w:t>ISO/IEC TS 38505-3:2021 - Governance of data, Part 3: Data classification</w:t>
            </w:r>
          </w:p>
        </w:tc>
        <w:tc>
          <w:tcPr>
            <w:tcW w:type="dxa" w:w="1500"/>
            <w:tcMar>
              <w:top w:w="70" w:type="dxa"/>
              <w:start w:w="90" w:type="dxa"/>
              <w:bottom w:w="70" w:type="dxa"/>
              <w:end w:w="90" w:type="dxa"/>
            </w:tcMar>
            <w:shd w:fill="F1EFE5"/>
            <w:vAlign w:val="center"/>
          </w:tcPr>
          <w:p>
            <w:pPr>
              <w:spacing w:after="0"/>
            </w:pPr>
            <w:r>
              <w:rPr>
                <w:rFonts w:ascii="Arial" w:hAnsi="Arial"/>
                <w:color w:val="1B1B1C"/>
                <w:sz w:val="13"/>
              </w:rPr>
              <w:t>Published</w:t>
            </w:r>
          </w:p>
        </w:tc>
        <w:tc>
          <w:tcPr>
            <w:tcW w:type="dxa" w:w="2800"/>
            <w:tcMar>
              <w:top w:w="70" w:type="dxa"/>
              <w:start w:w="90" w:type="dxa"/>
              <w:bottom w:w="70" w:type="dxa"/>
              <w:end w:w="90" w:type="dxa"/>
            </w:tcMar>
            <w:shd w:fill="F1EFE5"/>
            <w:vAlign w:val="center"/>
          </w:tcPr>
          <w:p>
            <w:pPr>
              <w:spacing w:after="0"/>
            </w:pPr>
            <w:r>
              <w:rPr>
                <w:rFonts w:ascii="Arial" w:hAnsi="Arial"/>
                <w:color w:val="1B1B1C"/>
                <w:sz w:val="13"/>
              </w:rPr>
              <w:t>Classification decisions and accountable use</w:t>
            </w:r>
          </w:p>
        </w:tc>
      </w:tr>
      <w:tr>
        <w:trPr>
          <w:cantSplit/>
        </w:trPr>
        <w:tc>
          <w:tcPr>
            <w:tcW w:type="dxa" w:w="500"/>
            <w:tcMar>
              <w:top w:w="70" w:type="dxa"/>
              <w:start w:w="90" w:type="dxa"/>
              <w:bottom w:w="70" w:type="dxa"/>
              <w:end w:w="90" w:type="dxa"/>
            </w:tcMar>
            <w:vAlign w:val="center"/>
          </w:tcPr>
          <w:p>
            <w:pPr>
              <w:spacing w:after="0"/>
            </w:pPr>
            <w:r>
              <w:rPr>
                <w:rFonts w:ascii="Arial" w:hAnsi="Arial"/>
                <w:b/>
                <w:color w:val="0E2530"/>
                <w:sz w:val="13"/>
              </w:rPr>
              <w:t>I04</w:t>
            </w:r>
          </w:p>
        </w:tc>
        <w:tc>
          <w:tcPr>
            <w:tcW w:type="dxa" w:w="1200"/>
            <w:tcMar>
              <w:top w:w="70" w:type="dxa"/>
              <w:start w:w="90" w:type="dxa"/>
              <w:bottom w:w="70" w:type="dxa"/>
              <w:end w:w="90" w:type="dxa"/>
            </w:tcMar>
            <w:vAlign w:val="center"/>
          </w:tcPr>
          <w:p>
            <w:pPr>
              <w:spacing w:after="0"/>
            </w:pPr>
            <w:r>
              <w:rPr>
                <w:rFonts w:ascii="Arial" w:hAnsi="Arial"/>
                <w:color w:val="1B1B1C"/>
                <w:sz w:val="13"/>
              </w:rPr>
              <w:t>ISO/IEC</w:t>
            </w:r>
          </w:p>
        </w:tc>
        <w:tc>
          <w:tcPr>
            <w:tcW w:type="dxa" w:w="3600"/>
            <w:tcMar>
              <w:top w:w="70" w:type="dxa"/>
              <w:start w:w="90" w:type="dxa"/>
              <w:bottom w:w="70" w:type="dxa"/>
              <w:end w:w="90" w:type="dxa"/>
            </w:tcMar>
            <w:vAlign w:val="center"/>
          </w:tcPr>
          <w:p>
            <w:pPr>
              <w:spacing w:after="0"/>
            </w:pPr>
            <w:r>
              <w:rPr>
                <w:rFonts w:ascii="Arial" w:hAnsi="Arial"/>
                <w:color w:val="1B1B1C"/>
                <w:sz w:val="13"/>
              </w:rPr>
              <w:t>ISO/IEC 5259-1:2024 - Data quality for analytics and ML: overview</w:t>
            </w:r>
          </w:p>
        </w:tc>
        <w:tc>
          <w:tcPr>
            <w:tcW w:type="dxa" w:w="1500"/>
            <w:tcMar>
              <w:top w:w="70" w:type="dxa"/>
              <w:start w:w="90" w:type="dxa"/>
              <w:bottom w:w="70" w:type="dxa"/>
              <w:end w:w="90" w:type="dxa"/>
            </w:tcMar>
            <w:vAlign w:val="center"/>
          </w:tcPr>
          <w:p>
            <w:pPr>
              <w:spacing w:after="0"/>
            </w:pPr>
            <w:r>
              <w:rPr>
                <w:rFonts w:ascii="Arial" w:hAnsi="Arial"/>
                <w:color w:val="1B1B1C"/>
                <w:sz w:val="13"/>
              </w:rPr>
              <w:t>Published</w:t>
            </w:r>
          </w:p>
        </w:tc>
        <w:tc>
          <w:tcPr>
            <w:tcW w:type="dxa" w:w="2800"/>
            <w:tcMar>
              <w:top w:w="70" w:type="dxa"/>
              <w:start w:w="90" w:type="dxa"/>
              <w:bottom w:w="70" w:type="dxa"/>
              <w:end w:w="90" w:type="dxa"/>
            </w:tcMar>
            <w:vAlign w:val="center"/>
          </w:tcPr>
          <w:p>
            <w:pPr>
              <w:spacing w:after="0"/>
            </w:pPr>
            <w:r>
              <w:rPr>
                <w:rFonts w:ascii="Arial" w:hAnsi="Arial"/>
                <w:color w:val="1B1B1C"/>
                <w:sz w:val="13"/>
              </w:rPr>
              <w:t>AI/analytics data-quality vocabulary and examples</w:t>
            </w:r>
          </w:p>
        </w:tc>
      </w:tr>
      <w:tr>
        <w:trPr>
          <w:cantSplit/>
        </w:trPr>
        <w:tc>
          <w:tcPr>
            <w:tcW w:type="dxa" w:w="500"/>
            <w:tcMar>
              <w:top w:w="70" w:type="dxa"/>
              <w:start w:w="90" w:type="dxa"/>
              <w:bottom w:w="70" w:type="dxa"/>
              <w:end w:w="90" w:type="dxa"/>
            </w:tcMar>
            <w:shd w:fill="F1EFE5"/>
            <w:vAlign w:val="center"/>
          </w:tcPr>
          <w:p>
            <w:pPr>
              <w:spacing w:after="0"/>
            </w:pPr>
            <w:r>
              <w:rPr>
                <w:rFonts w:ascii="Arial" w:hAnsi="Arial"/>
                <w:b/>
                <w:color w:val="0E2530"/>
                <w:sz w:val="13"/>
              </w:rPr>
              <w:t>I05</w:t>
            </w:r>
          </w:p>
        </w:tc>
        <w:tc>
          <w:tcPr>
            <w:tcW w:type="dxa" w:w="1200"/>
            <w:tcMar>
              <w:top w:w="70" w:type="dxa"/>
              <w:start w:w="90" w:type="dxa"/>
              <w:bottom w:w="70" w:type="dxa"/>
              <w:end w:w="90" w:type="dxa"/>
            </w:tcMar>
            <w:shd w:fill="F1EFE5"/>
            <w:vAlign w:val="center"/>
          </w:tcPr>
          <w:p>
            <w:pPr>
              <w:spacing w:after="0"/>
            </w:pPr>
            <w:r>
              <w:rPr>
                <w:rFonts w:ascii="Arial" w:hAnsi="Arial"/>
                <w:color w:val="1B1B1C"/>
                <w:sz w:val="13"/>
              </w:rPr>
              <w:t>ISO/IEC</w:t>
            </w:r>
          </w:p>
        </w:tc>
        <w:tc>
          <w:tcPr>
            <w:tcW w:type="dxa" w:w="3600"/>
            <w:tcMar>
              <w:top w:w="70" w:type="dxa"/>
              <w:start w:w="90" w:type="dxa"/>
              <w:bottom w:w="70" w:type="dxa"/>
              <w:end w:w="90" w:type="dxa"/>
            </w:tcMar>
            <w:shd w:fill="F1EFE5"/>
            <w:vAlign w:val="center"/>
          </w:tcPr>
          <w:p>
            <w:pPr>
              <w:spacing w:after="0"/>
            </w:pPr>
            <w:r>
              <w:rPr>
                <w:rFonts w:ascii="Arial" w:hAnsi="Arial"/>
                <w:color w:val="1B1B1C"/>
                <w:sz w:val="13"/>
              </w:rPr>
              <w:t>ISO/IEC 5259-2:2024 - Data quality measures</w:t>
            </w:r>
          </w:p>
        </w:tc>
        <w:tc>
          <w:tcPr>
            <w:tcW w:type="dxa" w:w="1500"/>
            <w:tcMar>
              <w:top w:w="70" w:type="dxa"/>
              <w:start w:w="90" w:type="dxa"/>
              <w:bottom w:w="70" w:type="dxa"/>
              <w:end w:w="90" w:type="dxa"/>
            </w:tcMar>
            <w:shd w:fill="F1EFE5"/>
            <w:vAlign w:val="center"/>
          </w:tcPr>
          <w:p>
            <w:pPr>
              <w:spacing w:after="0"/>
            </w:pPr>
            <w:r>
              <w:rPr>
                <w:rFonts w:ascii="Arial" w:hAnsi="Arial"/>
                <w:color w:val="1B1B1C"/>
                <w:sz w:val="13"/>
              </w:rPr>
              <w:t>Published</w:t>
            </w:r>
          </w:p>
        </w:tc>
        <w:tc>
          <w:tcPr>
            <w:tcW w:type="dxa" w:w="2800"/>
            <w:tcMar>
              <w:top w:w="70" w:type="dxa"/>
              <w:start w:w="90" w:type="dxa"/>
              <w:bottom w:w="70" w:type="dxa"/>
              <w:end w:w="90" w:type="dxa"/>
            </w:tcMar>
            <w:shd w:fill="F1EFE5"/>
            <w:vAlign w:val="center"/>
          </w:tcPr>
          <w:p>
            <w:pPr>
              <w:spacing w:after="0"/>
            </w:pPr>
            <w:r>
              <w:rPr>
                <w:rFonts w:ascii="Arial" w:hAnsi="Arial"/>
                <w:color w:val="1B1B1C"/>
                <w:sz w:val="13"/>
              </w:rPr>
              <w:t>Measurable quality characteristics</w:t>
            </w:r>
          </w:p>
        </w:tc>
      </w:tr>
      <w:tr>
        <w:trPr>
          <w:cantSplit/>
        </w:trPr>
        <w:tc>
          <w:tcPr>
            <w:tcW w:type="dxa" w:w="500"/>
            <w:tcMar>
              <w:top w:w="70" w:type="dxa"/>
              <w:start w:w="90" w:type="dxa"/>
              <w:bottom w:w="70" w:type="dxa"/>
              <w:end w:w="90" w:type="dxa"/>
            </w:tcMar>
            <w:vAlign w:val="center"/>
          </w:tcPr>
          <w:p>
            <w:pPr>
              <w:spacing w:after="0"/>
            </w:pPr>
            <w:r>
              <w:rPr>
                <w:rFonts w:ascii="Arial" w:hAnsi="Arial"/>
                <w:b/>
                <w:color w:val="0E2530"/>
                <w:sz w:val="13"/>
              </w:rPr>
              <w:t>I06</w:t>
            </w:r>
          </w:p>
        </w:tc>
        <w:tc>
          <w:tcPr>
            <w:tcW w:type="dxa" w:w="1200"/>
            <w:tcMar>
              <w:top w:w="70" w:type="dxa"/>
              <w:start w:w="90" w:type="dxa"/>
              <w:bottom w:w="70" w:type="dxa"/>
              <w:end w:w="90" w:type="dxa"/>
            </w:tcMar>
            <w:vAlign w:val="center"/>
          </w:tcPr>
          <w:p>
            <w:pPr>
              <w:spacing w:after="0"/>
            </w:pPr>
            <w:r>
              <w:rPr>
                <w:rFonts w:ascii="Arial" w:hAnsi="Arial"/>
                <w:color w:val="1B1B1C"/>
                <w:sz w:val="13"/>
              </w:rPr>
              <w:t>ISO/IEC</w:t>
            </w:r>
          </w:p>
        </w:tc>
        <w:tc>
          <w:tcPr>
            <w:tcW w:type="dxa" w:w="3600"/>
            <w:tcMar>
              <w:top w:w="70" w:type="dxa"/>
              <w:start w:w="90" w:type="dxa"/>
              <w:bottom w:w="70" w:type="dxa"/>
              <w:end w:w="90" w:type="dxa"/>
            </w:tcMar>
            <w:vAlign w:val="center"/>
          </w:tcPr>
          <w:p>
            <w:pPr>
              <w:spacing w:after="0"/>
            </w:pPr>
            <w:r>
              <w:rPr>
                <w:rFonts w:ascii="Arial" w:hAnsi="Arial"/>
                <w:color w:val="1B1B1C"/>
                <w:sz w:val="13"/>
              </w:rPr>
              <w:t>ISO/IEC 5259-3:2024 - Data quality management requirements and guidelines</w:t>
            </w:r>
          </w:p>
        </w:tc>
        <w:tc>
          <w:tcPr>
            <w:tcW w:type="dxa" w:w="1500"/>
            <w:tcMar>
              <w:top w:w="70" w:type="dxa"/>
              <w:start w:w="90" w:type="dxa"/>
              <w:bottom w:w="70" w:type="dxa"/>
              <w:end w:w="90" w:type="dxa"/>
            </w:tcMar>
            <w:vAlign w:val="center"/>
          </w:tcPr>
          <w:p>
            <w:pPr>
              <w:spacing w:after="0"/>
            </w:pPr>
            <w:r>
              <w:rPr>
                <w:rFonts w:ascii="Arial" w:hAnsi="Arial"/>
                <w:color w:val="1B1B1C"/>
                <w:sz w:val="13"/>
              </w:rPr>
              <w:t>Published</w:t>
            </w:r>
          </w:p>
        </w:tc>
        <w:tc>
          <w:tcPr>
            <w:tcW w:type="dxa" w:w="2800"/>
            <w:tcMar>
              <w:top w:w="70" w:type="dxa"/>
              <w:start w:w="90" w:type="dxa"/>
              <w:bottom w:w="70" w:type="dxa"/>
              <w:end w:w="90" w:type="dxa"/>
            </w:tcMar>
            <w:vAlign w:val="center"/>
          </w:tcPr>
          <w:p>
            <w:pPr>
              <w:spacing w:after="0"/>
            </w:pPr>
            <w:r>
              <w:rPr>
                <w:rFonts w:ascii="Arial" w:hAnsi="Arial"/>
                <w:color w:val="1B1B1C"/>
                <w:sz w:val="13"/>
              </w:rPr>
              <w:t>Auditable data-quality management system</w:t>
            </w:r>
          </w:p>
        </w:tc>
      </w:tr>
      <w:tr>
        <w:trPr>
          <w:cantSplit/>
        </w:trPr>
        <w:tc>
          <w:tcPr>
            <w:tcW w:type="dxa" w:w="500"/>
            <w:tcMar>
              <w:top w:w="70" w:type="dxa"/>
              <w:start w:w="90" w:type="dxa"/>
              <w:bottom w:w="70" w:type="dxa"/>
              <w:end w:w="90" w:type="dxa"/>
            </w:tcMar>
            <w:shd w:fill="F1EFE5"/>
            <w:vAlign w:val="center"/>
          </w:tcPr>
          <w:p>
            <w:pPr>
              <w:spacing w:after="0"/>
            </w:pPr>
            <w:r>
              <w:rPr>
                <w:rFonts w:ascii="Arial" w:hAnsi="Arial"/>
                <w:b/>
                <w:color w:val="0E2530"/>
                <w:sz w:val="13"/>
              </w:rPr>
              <w:t>I07</w:t>
            </w:r>
          </w:p>
        </w:tc>
        <w:tc>
          <w:tcPr>
            <w:tcW w:type="dxa" w:w="1200"/>
            <w:tcMar>
              <w:top w:w="70" w:type="dxa"/>
              <w:start w:w="90" w:type="dxa"/>
              <w:bottom w:w="70" w:type="dxa"/>
              <w:end w:w="90" w:type="dxa"/>
            </w:tcMar>
            <w:shd w:fill="F1EFE5"/>
            <w:vAlign w:val="center"/>
          </w:tcPr>
          <w:p>
            <w:pPr>
              <w:spacing w:after="0"/>
            </w:pPr>
            <w:r>
              <w:rPr>
                <w:rFonts w:ascii="Arial" w:hAnsi="Arial"/>
                <w:color w:val="1B1B1C"/>
                <w:sz w:val="13"/>
              </w:rPr>
              <w:t>ISO/IEC</w:t>
            </w:r>
          </w:p>
        </w:tc>
        <w:tc>
          <w:tcPr>
            <w:tcW w:type="dxa" w:w="3600"/>
            <w:tcMar>
              <w:top w:w="70" w:type="dxa"/>
              <w:start w:w="90" w:type="dxa"/>
              <w:bottom w:w="70" w:type="dxa"/>
              <w:end w:w="90" w:type="dxa"/>
            </w:tcMar>
            <w:shd w:fill="F1EFE5"/>
            <w:vAlign w:val="center"/>
          </w:tcPr>
          <w:p>
            <w:pPr>
              <w:spacing w:after="0"/>
            </w:pPr>
            <w:r>
              <w:rPr>
                <w:rFonts w:ascii="Arial" w:hAnsi="Arial"/>
                <w:color w:val="1B1B1C"/>
                <w:sz w:val="13"/>
              </w:rPr>
              <w:t>ISO/IEC 5259-4:2024 - Data quality process framework</w:t>
            </w:r>
          </w:p>
        </w:tc>
        <w:tc>
          <w:tcPr>
            <w:tcW w:type="dxa" w:w="1500"/>
            <w:tcMar>
              <w:top w:w="70" w:type="dxa"/>
              <w:start w:w="90" w:type="dxa"/>
              <w:bottom w:w="70" w:type="dxa"/>
              <w:end w:w="90" w:type="dxa"/>
            </w:tcMar>
            <w:shd w:fill="F1EFE5"/>
            <w:vAlign w:val="center"/>
          </w:tcPr>
          <w:p>
            <w:pPr>
              <w:spacing w:after="0"/>
            </w:pPr>
            <w:r>
              <w:rPr>
                <w:rFonts w:ascii="Arial" w:hAnsi="Arial"/>
                <w:color w:val="1B1B1C"/>
                <w:sz w:val="13"/>
              </w:rPr>
              <w:t>Published</w:t>
            </w:r>
          </w:p>
        </w:tc>
        <w:tc>
          <w:tcPr>
            <w:tcW w:type="dxa" w:w="2800"/>
            <w:tcMar>
              <w:top w:w="70" w:type="dxa"/>
              <w:start w:w="90" w:type="dxa"/>
              <w:bottom w:w="70" w:type="dxa"/>
              <w:end w:w="90" w:type="dxa"/>
            </w:tcMar>
            <w:shd w:fill="F1EFE5"/>
            <w:vAlign w:val="center"/>
          </w:tcPr>
          <w:p>
            <w:pPr>
              <w:spacing w:after="0"/>
            </w:pPr>
            <w:r>
              <w:rPr>
                <w:rFonts w:ascii="Arial" w:hAnsi="Arial"/>
                <w:color w:val="1B1B1C"/>
                <w:sz w:val="13"/>
              </w:rPr>
              <w:t>Operational process framework</w:t>
            </w:r>
          </w:p>
        </w:tc>
      </w:tr>
      <w:tr>
        <w:trPr>
          <w:cantSplit/>
        </w:trPr>
        <w:tc>
          <w:tcPr>
            <w:tcW w:type="dxa" w:w="500"/>
            <w:tcMar>
              <w:top w:w="70" w:type="dxa"/>
              <w:start w:w="90" w:type="dxa"/>
              <w:bottom w:w="70" w:type="dxa"/>
              <w:end w:w="90" w:type="dxa"/>
            </w:tcMar>
            <w:vAlign w:val="center"/>
          </w:tcPr>
          <w:p>
            <w:pPr>
              <w:spacing w:after="0"/>
            </w:pPr>
            <w:r>
              <w:rPr>
                <w:rFonts w:ascii="Arial" w:hAnsi="Arial"/>
                <w:b/>
                <w:color w:val="0E2530"/>
                <w:sz w:val="13"/>
              </w:rPr>
              <w:t>I08</w:t>
            </w:r>
          </w:p>
        </w:tc>
        <w:tc>
          <w:tcPr>
            <w:tcW w:type="dxa" w:w="1200"/>
            <w:tcMar>
              <w:top w:w="70" w:type="dxa"/>
              <w:start w:w="90" w:type="dxa"/>
              <w:bottom w:w="70" w:type="dxa"/>
              <w:end w:w="90" w:type="dxa"/>
            </w:tcMar>
            <w:vAlign w:val="center"/>
          </w:tcPr>
          <w:p>
            <w:pPr>
              <w:spacing w:after="0"/>
            </w:pPr>
            <w:r>
              <w:rPr>
                <w:rFonts w:ascii="Arial" w:hAnsi="Arial"/>
                <w:color w:val="1B1B1C"/>
                <w:sz w:val="13"/>
              </w:rPr>
              <w:t>ISO/IEC</w:t>
            </w:r>
          </w:p>
        </w:tc>
        <w:tc>
          <w:tcPr>
            <w:tcW w:type="dxa" w:w="3600"/>
            <w:tcMar>
              <w:top w:w="70" w:type="dxa"/>
              <w:start w:w="90" w:type="dxa"/>
              <w:bottom w:w="70" w:type="dxa"/>
              <w:end w:w="90" w:type="dxa"/>
            </w:tcMar>
            <w:vAlign w:val="center"/>
          </w:tcPr>
          <w:p>
            <w:pPr>
              <w:spacing w:after="0"/>
            </w:pPr>
            <w:r>
              <w:rPr>
                <w:rFonts w:ascii="Arial" w:hAnsi="Arial"/>
                <w:color w:val="1B1B1C"/>
                <w:sz w:val="13"/>
              </w:rPr>
              <w:t>ISO/IEC 5259-5:2025 - Data quality governance framework</w:t>
            </w:r>
          </w:p>
        </w:tc>
        <w:tc>
          <w:tcPr>
            <w:tcW w:type="dxa" w:w="1500"/>
            <w:tcMar>
              <w:top w:w="70" w:type="dxa"/>
              <w:start w:w="90" w:type="dxa"/>
              <w:bottom w:w="70" w:type="dxa"/>
              <w:end w:w="90" w:type="dxa"/>
            </w:tcMar>
            <w:vAlign w:val="center"/>
          </w:tcPr>
          <w:p>
            <w:pPr>
              <w:spacing w:after="0"/>
            </w:pPr>
            <w:r>
              <w:rPr>
                <w:rFonts w:ascii="Arial" w:hAnsi="Arial"/>
                <w:color w:val="1B1B1C"/>
                <w:sz w:val="13"/>
              </w:rPr>
              <w:t>Published</w:t>
            </w:r>
          </w:p>
        </w:tc>
        <w:tc>
          <w:tcPr>
            <w:tcW w:type="dxa" w:w="2800"/>
            <w:tcMar>
              <w:top w:w="70" w:type="dxa"/>
              <w:start w:w="90" w:type="dxa"/>
              <w:bottom w:w="70" w:type="dxa"/>
              <w:end w:w="90" w:type="dxa"/>
            </w:tcMar>
            <w:vAlign w:val="center"/>
          </w:tcPr>
          <w:p>
            <w:pPr>
              <w:spacing w:after="0"/>
            </w:pPr>
            <w:r>
              <w:rPr>
                <w:rFonts w:ascii="Arial" w:hAnsi="Arial"/>
                <w:color w:val="1B1B1C"/>
                <w:sz w:val="13"/>
              </w:rPr>
              <w:t>Governing-body oversight of analytics/ML data quality</w:t>
            </w:r>
          </w:p>
        </w:tc>
      </w:tr>
      <w:tr>
        <w:trPr>
          <w:cantSplit/>
        </w:trPr>
        <w:tc>
          <w:tcPr>
            <w:tcW w:type="dxa" w:w="500"/>
            <w:tcMar>
              <w:top w:w="70" w:type="dxa"/>
              <w:start w:w="90" w:type="dxa"/>
              <w:bottom w:w="70" w:type="dxa"/>
              <w:end w:w="90" w:type="dxa"/>
            </w:tcMar>
            <w:shd w:fill="F1EFE5"/>
            <w:vAlign w:val="center"/>
          </w:tcPr>
          <w:p>
            <w:pPr>
              <w:spacing w:after="0"/>
            </w:pPr>
            <w:r>
              <w:rPr>
                <w:rFonts w:ascii="Arial" w:hAnsi="Arial"/>
                <w:b/>
                <w:color w:val="0E2530"/>
                <w:sz w:val="13"/>
              </w:rPr>
              <w:t>I14</w:t>
            </w:r>
          </w:p>
        </w:tc>
        <w:tc>
          <w:tcPr>
            <w:tcW w:type="dxa" w:w="1200"/>
            <w:tcMar>
              <w:top w:w="70" w:type="dxa"/>
              <w:start w:w="90" w:type="dxa"/>
              <w:bottom w:w="70" w:type="dxa"/>
              <w:end w:w="90" w:type="dxa"/>
            </w:tcMar>
            <w:shd w:fill="F1EFE5"/>
            <w:vAlign w:val="center"/>
          </w:tcPr>
          <w:p>
            <w:pPr>
              <w:spacing w:after="0"/>
            </w:pPr>
            <w:r>
              <w:rPr>
                <w:rFonts w:ascii="Arial" w:hAnsi="Arial"/>
                <w:color w:val="1B1B1C"/>
                <w:sz w:val="13"/>
              </w:rPr>
              <w:t>ISO/IEC</w:t>
            </w:r>
          </w:p>
        </w:tc>
        <w:tc>
          <w:tcPr>
            <w:tcW w:type="dxa" w:w="3600"/>
            <w:tcMar>
              <w:top w:w="70" w:type="dxa"/>
              <w:start w:w="90" w:type="dxa"/>
              <w:bottom w:w="70" w:type="dxa"/>
              <w:end w:w="90" w:type="dxa"/>
            </w:tcMar>
            <w:shd w:fill="F1EFE5"/>
            <w:vAlign w:val="center"/>
          </w:tcPr>
          <w:p>
            <w:pPr>
              <w:spacing w:after="0"/>
            </w:pPr>
            <w:r>
              <w:rPr>
                <w:rFonts w:ascii="Arial" w:hAnsi="Arial"/>
                <w:color w:val="1B1B1C"/>
                <w:sz w:val="13"/>
              </w:rPr>
              <w:t>ISO/IEC 11179-1:2023 - Metadata registries framework</w:t>
            </w:r>
          </w:p>
        </w:tc>
        <w:tc>
          <w:tcPr>
            <w:tcW w:type="dxa" w:w="1500"/>
            <w:tcMar>
              <w:top w:w="70" w:type="dxa"/>
              <w:start w:w="90" w:type="dxa"/>
              <w:bottom w:w="70" w:type="dxa"/>
              <w:end w:w="90" w:type="dxa"/>
            </w:tcMar>
            <w:shd w:fill="F1EFE5"/>
            <w:vAlign w:val="center"/>
          </w:tcPr>
          <w:p>
            <w:pPr>
              <w:spacing w:after="0"/>
            </w:pPr>
            <w:r>
              <w:rPr>
                <w:rFonts w:ascii="Arial" w:hAnsi="Arial"/>
                <w:color w:val="1B1B1C"/>
                <w:sz w:val="13"/>
              </w:rPr>
              <w:t>Published</w:t>
            </w:r>
          </w:p>
        </w:tc>
        <w:tc>
          <w:tcPr>
            <w:tcW w:type="dxa" w:w="2800"/>
            <w:tcMar>
              <w:top w:w="70" w:type="dxa"/>
              <w:start w:w="90" w:type="dxa"/>
              <w:bottom w:w="70" w:type="dxa"/>
              <w:end w:w="90" w:type="dxa"/>
            </w:tcMar>
            <w:shd w:fill="F1EFE5"/>
            <w:vAlign w:val="center"/>
          </w:tcPr>
          <w:p>
            <w:pPr>
              <w:spacing w:after="0"/>
            </w:pPr>
            <w:r>
              <w:rPr>
                <w:rFonts w:ascii="Arial" w:hAnsi="Arial"/>
                <w:color w:val="1B1B1C"/>
                <w:sz w:val="13"/>
              </w:rPr>
              <w:t>Metadata registry foundation</w:t>
            </w:r>
          </w:p>
        </w:tc>
      </w:tr>
      <w:tr>
        <w:trPr>
          <w:cantSplit/>
        </w:trPr>
        <w:tc>
          <w:tcPr>
            <w:tcW w:type="dxa" w:w="500"/>
            <w:tcMar>
              <w:top w:w="70" w:type="dxa"/>
              <w:start w:w="90" w:type="dxa"/>
              <w:bottom w:w="70" w:type="dxa"/>
              <w:end w:w="90" w:type="dxa"/>
            </w:tcMar>
            <w:vAlign w:val="center"/>
          </w:tcPr>
          <w:p>
            <w:pPr>
              <w:spacing w:after="0"/>
            </w:pPr>
            <w:r>
              <w:rPr>
                <w:rFonts w:ascii="Arial" w:hAnsi="Arial"/>
                <w:b/>
                <w:color w:val="0E2530"/>
                <w:sz w:val="13"/>
              </w:rPr>
              <w:t>I16</w:t>
            </w:r>
          </w:p>
        </w:tc>
        <w:tc>
          <w:tcPr>
            <w:tcW w:type="dxa" w:w="1200"/>
            <w:tcMar>
              <w:top w:w="70" w:type="dxa"/>
              <w:start w:w="90" w:type="dxa"/>
              <w:bottom w:w="70" w:type="dxa"/>
              <w:end w:w="90" w:type="dxa"/>
            </w:tcMar>
            <w:vAlign w:val="center"/>
          </w:tcPr>
          <w:p>
            <w:pPr>
              <w:spacing w:after="0"/>
            </w:pPr>
            <w:r>
              <w:rPr>
                <w:rFonts w:ascii="Arial" w:hAnsi="Arial"/>
                <w:color w:val="1B1B1C"/>
                <w:sz w:val="13"/>
              </w:rPr>
              <w:t>ISO/IEC</w:t>
            </w:r>
          </w:p>
        </w:tc>
        <w:tc>
          <w:tcPr>
            <w:tcW w:type="dxa" w:w="3600"/>
            <w:tcMar>
              <w:top w:w="70" w:type="dxa"/>
              <w:start w:w="90" w:type="dxa"/>
              <w:bottom w:w="70" w:type="dxa"/>
              <w:end w:w="90" w:type="dxa"/>
            </w:tcMar>
            <w:vAlign w:val="center"/>
          </w:tcPr>
          <w:p>
            <w:pPr>
              <w:spacing w:after="0"/>
            </w:pPr>
            <w:r>
              <w:rPr>
                <w:rFonts w:ascii="Arial" w:hAnsi="Arial"/>
                <w:color w:val="1B1B1C"/>
                <w:sz w:val="13"/>
              </w:rPr>
              <w:t>ISO/IEC 11179-33:2023 - Dataset registration metamodel</w:t>
            </w:r>
          </w:p>
        </w:tc>
        <w:tc>
          <w:tcPr>
            <w:tcW w:type="dxa" w:w="1500"/>
            <w:tcMar>
              <w:top w:w="70" w:type="dxa"/>
              <w:start w:w="90" w:type="dxa"/>
              <w:bottom w:w="70" w:type="dxa"/>
              <w:end w:w="90" w:type="dxa"/>
            </w:tcMar>
            <w:vAlign w:val="center"/>
          </w:tcPr>
          <w:p>
            <w:pPr>
              <w:spacing w:after="0"/>
            </w:pPr>
            <w:r>
              <w:rPr>
                <w:rFonts w:ascii="Arial" w:hAnsi="Arial"/>
                <w:color w:val="1B1B1C"/>
                <w:sz w:val="13"/>
              </w:rPr>
              <w:t>Published</w:t>
            </w:r>
          </w:p>
        </w:tc>
        <w:tc>
          <w:tcPr>
            <w:tcW w:type="dxa" w:w="2800"/>
            <w:tcMar>
              <w:top w:w="70" w:type="dxa"/>
              <w:start w:w="90" w:type="dxa"/>
              <w:bottom w:w="70" w:type="dxa"/>
              <w:end w:w="90" w:type="dxa"/>
            </w:tcMar>
            <w:vAlign w:val="center"/>
          </w:tcPr>
          <w:p>
            <w:pPr>
              <w:spacing w:after="0"/>
            </w:pPr>
            <w:r>
              <w:rPr>
                <w:rFonts w:ascii="Arial" w:hAnsi="Arial"/>
                <w:color w:val="1B1B1C"/>
                <w:sz w:val="13"/>
              </w:rPr>
              <w:t>Dataset provenance, quality, fitness and risk metadata</w:t>
            </w:r>
          </w:p>
        </w:tc>
      </w:tr>
      <w:tr>
        <w:trPr>
          <w:cantSplit/>
        </w:trPr>
        <w:tc>
          <w:tcPr>
            <w:tcW w:type="dxa" w:w="500"/>
            <w:tcMar>
              <w:top w:w="70" w:type="dxa"/>
              <w:start w:w="90" w:type="dxa"/>
              <w:bottom w:w="70" w:type="dxa"/>
              <w:end w:w="90" w:type="dxa"/>
            </w:tcMar>
            <w:shd w:fill="F1EFE5"/>
            <w:vAlign w:val="center"/>
          </w:tcPr>
          <w:p>
            <w:pPr>
              <w:spacing w:after="0"/>
            </w:pPr>
            <w:r>
              <w:rPr>
                <w:rFonts w:ascii="Arial" w:hAnsi="Arial"/>
                <w:b/>
                <w:color w:val="0E2530"/>
                <w:sz w:val="13"/>
              </w:rPr>
              <w:t>I17</w:t>
            </w:r>
          </w:p>
        </w:tc>
        <w:tc>
          <w:tcPr>
            <w:tcW w:type="dxa" w:w="1200"/>
            <w:tcMar>
              <w:top w:w="70" w:type="dxa"/>
              <w:start w:w="90" w:type="dxa"/>
              <w:bottom w:w="70" w:type="dxa"/>
              <w:end w:w="90" w:type="dxa"/>
            </w:tcMar>
            <w:shd w:fill="F1EFE5"/>
            <w:vAlign w:val="center"/>
          </w:tcPr>
          <w:p>
            <w:pPr>
              <w:spacing w:after="0"/>
            </w:pPr>
            <w:r>
              <w:rPr>
                <w:rFonts w:ascii="Arial" w:hAnsi="Arial"/>
                <w:color w:val="1B1B1C"/>
                <w:sz w:val="13"/>
              </w:rPr>
              <w:t>ISO/IEC</w:t>
            </w:r>
          </w:p>
        </w:tc>
        <w:tc>
          <w:tcPr>
            <w:tcW w:type="dxa" w:w="3600"/>
            <w:tcMar>
              <w:top w:w="70" w:type="dxa"/>
              <w:start w:w="90" w:type="dxa"/>
              <w:bottom w:w="70" w:type="dxa"/>
              <w:end w:w="90" w:type="dxa"/>
            </w:tcMar>
            <w:shd w:fill="F1EFE5"/>
            <w:vAlign w:val="center"/>
          </w:tcPr>
          <w:p>
            <w:pPr>
              <w:spacing w:after="0"/>
            </w:pPr>
            <w:r>
              <w:rPr>
                <w:rFonts w:ascii="Arial" w:hAnsi="Arial"/>
                <w:color w:val="1B1B1C"/>
                <w:sz w:val="13"/>
              </w:rPr>
              <w:t>ISO/IEC 42001:2023 - AI management system</w:t>
            </w:r>
          </w:p>
        </w:tc>
        <w:tc>
          <w:tcPr>
            <w:tcW w:type="dxa" w:w="1500"/>
            <w:tcMar>
              <w:top w:w="70" w:type="dxa"/>
              <w:start w:w="90" w:type="dxa"/>
              <w:bottom w:w="70" w:type="dxa"/>
              <w:end w:w="90" w:type="dxa"/>
            </w:tcMar>
            <w:shd w:fill="F1EFE5"/>
            <w:vAlign w:val="center"/>
          </w:tcPr>
          <w:p>
            <w:pPr>
              <w:spacing w:after="0"/>
            </w:pPr>
            <w:r>
              <w:rPr>
                <w:rFonts w:ascii="Arial" w:hAnsi="Arial"/>
                <w:color w:val="1B1B1C"/>
                <w:sz w:val="13"/>
              </w:rPr>
              <w:t>Published</w:t>
            </w:r>
          </w:p>
        </w:tc>
        <w:tc>
          <w:tcPr>
            <w:tcW w:type="dxa" w:w="2800"/>
            <w:tcMar>
              <w:top w:w="70" w:type="dxa"/>
              <w:start w:w="90" w:type="dxa"/>
              <w:bottom w:w="70" w:type="dxa"/>
              <w:end w:w="90" w:type="dxa"/>
            </w:tcMar>
            <w:shd w:fill="F1EFE5"/>
            <w:vAlign w:val="center"/>
          </w:tcPr>
          <w:p>
            <w:pPr>
              <w:spacing w:after="0"/>
            </w:pPr>
            <w:r>
              <w:rPr>
                <w:rFonts w:ascii="Arial" w:hAnsi="Arial"/>
                <w:color w:val="1B1B1C"/>
                <w:sz w:val="13"/>
              </w:rPr>
              <w:t>Responsible AI governance, traceability and continual improvement</w:t>
            </w:r>
          </w:p>
        </w:tc>
      </w:tr>
      <w:tr>
        <w:trPr>
          <w:cantSplit/>
        </w:trPr>
        <w:tc>
          <w:tcPr>
            <w:tcW w:type="dxa" w:w="500"/>
            <w:tcMar>
              <w:top w:w="70" w:type="dxa"/>
              <w:start w:w="90" w:type="dxa"/>
              <w:bottom w:w="70" w:type="dxa"/>
              <w:end w:w="90" w:type="dxa"/>
            </w:tcMar>
            <w:vAlign w:val="center"/>
          </w:tcPr>
          <w:p>
            <w:pPr>
              <w:spacing w:after="0"/>
            </w:pPr>
            <w:r>
              <w:rPr>
                <w:rFonts w:ascii="Arial" w:hAnsi="Arial"/>
                <w:b/>
                <w:color w:val="0E2530"/>
                <w:sz w:val="13"/>
              </w:rPr>
              <w:t>I18</w:t>
            </w:r>
          </w:p>
        </w:tc>
        <w:tc>
          <w:tcPr>
            <w:tcW w:type="dxa" w:w="1200"/>
            <w:tcMar>
              <w:top w:w="70" w:type="dxa"/>
              <w:start w:w="90" w:type="dxa"/>
              <w:bottom w:w="70" w:type="dxa"/>
              <w:end w:w="90" w:type="dxa"/>
            </w:tcMar>
            <w:vAlign w:val="center"/>
          </w:tcPr>
          <w:p>
            <w:pPr>
              <w:spacing w:after="0"/>
            </w:pPr>
            <w:r>
              <w:rPr>
                <w:rFonts w:ascii="Arial" w:hAnsi="Arial"/>
                <w:color w:val="1B1B1C"/>
                <w:sz w:val="13"/>
              </w:rPr>
              <w:t>ISO/IEC</w:t>
            </w:r>
          </w:p>
        </w:tc>
        <w:tc>
          <w:tcPr>
            <w:tcW w:type="dxa" w:w="3600"/>
            <w:tcMar>
              <w:top w:w="70" w:type="dxa"/>
              <w:start w:w="90" w:type="dxa"/>
              <w:bottom w:w="70" w:type="dxa"/>
              <w:end w:w="90" w:type="dxa"/>
            </w:tcMar>
            <w:vAlign w:val="center"/>
          </w:tcPr>
          <w:p>
            <w:pPr>
              <w:spacing w:after="0"/>
            </w:pPr>
            <w:r>
              <w:rPr>
                <w:rFonts w:ascii="Arial" w:hAnsi="Arial"/>
                <w:color w:val="1B1B1C"/>
                <w:sz w:val="13"/>
              </w:rPr>
              <w:t>ISO/IEC 23894:2023 - AI risk management guidance</w:t>
            </w:r>
          </w:p>
        </w:tc>
        <w:tc>
          <w:tcPr>
            <w:tcW w:type="dxa" w:w="1500"/>
            <w:tcMar>
              <w:top w:w="70" w:type="dxa"/>
              <w:start w:w="90" w:type="dxa"/>
              <w:bottom w:w="70" w:type="dxa"/>
              <w:end w:w="90" w:type="dxa"/>
            </w:tcMar>
            <w:vAlign w:val="center"/>
          </w:tcPr>
          <w:p>
            <w:pPr>
              <w:spacing w:after="0"/>
            </w:pPr>
            <w:r>
              <w:rPr>
                <w:rFonts w:ascii="Arial" w:hAnsi="Arial"/>
                <w:color w:val="1B1B1C"/>
                <w:sz w:val="13"/>
              </w:rPr>
              <w:t>Published</w:t>
            </w:r>
          </w:p>
        </w:tc>
        <w:tc>
          <w:tcPr>
            <w:tcW w:type="dxa" w:w="2800"/>
            <w:tcMar>
              <w:top w:w="70" w:type="dxa"/>
              <w:start w:w="90" w:type="dxa"/>
              <w:bottom w:w="70" w:type="dxa"/>
              <w:end w:w="90" w:type="dxa"/>
            </w:tcMar>
            <w:vAlign w:val="center"/>
          </w:tcPr>
          <w:p>
            <w:pPr>
              <w:spacing w:after="0"/>
            </w:pPr>
            <w:r>
              <w:rPr>
                <w:rFonts w:ascii="Arial" w:hAnsi="Arial"/>
                <w:color w:val="1B1B1C"/>
                <w:sz w:val="13"/>
              </w:rPr>
              <w:t>AI risk process and integration</w:t>
            </w:r>
          </w:p>
        </w:tc>
      </w:tr>
      <w:tr>
        <w:trPr>
          <w:cantSplit/>
        </w:trPr>
        <w:tc>
          <w:tcPr>
            <w:tcW w:type="dxa" w:w="500"/>
            <w:tcMar>
              <w:top w:w="70" w:type="dxa"/>
              <w:start w:w="90" w:type="dxa"/>
              <w:bottom w:w="70" w:type="dxa"/>
              <w:end w:w="90" w:type="dxa"/>
            </w:tcMar>
            <w:shd w:fill="F1EFE5"/>
            <w:vAlign w:val="center"/>
          </w:tcPr>
          <w:p>
            <w:pPr>
              <w:spacing w:after="0"/>
            </w:pPr>
            <w:r>
              <w:rPr>
                <w:rFonts w:ascii="Arial" w:hAnsi="Arial"/>
                <w:b/>
                <w:color w:val="0E2530"/>
                <w:sz w:val="13"/>
              </w:rPr>
              <w:t>I20</w:t>
            </w:r>
          </w:p>
        </w:tc>
        <w:tc>
          <w:tcPr>
            <w:tcW w:type="dxa" w:w="1200"/>
            <w:tcMar>
              <w:top w:w="70" w:type="dxa"/>
              <w:start w:w="90" w:type="dxa"/>
              <w:bottom w:w="70" w:type="dxa"/>
              <w:end w:w="90" w:type="dxa"/>
            </w:tcMar>
            <w:shd w:fill="F1EFE5"/>
            <w:vAlign w:val="center"/>
          </w:tcPr>
          <w:p>
            <w:pPr>
              <w:spacing w:after="0"/>
            </w:pPr>
            <w:r>
              <w:rPr>
                <w:rFonts w:ascii="Arial" w:hAnsi="Arial"/>
                <w:color w:val="1B1B1C"/>
                <w:sz w:val="13"/>
              </w:rPr>
              <w:t>ISO/IEC</w:t>
            </w:r>
          </w:p>
        </w:tc>
        <w:tc>
          <w:tcPr>
            <w:tcW w:type="dxa" w:w="3600"/>
            <w:tcMar>
              <w:top w:w="70" w:type="dxa"/>
              <w:start w:w="90" w:type="dxa"/>
              <w:bottom w:w="70" w:type="dxa"/>
              <w:end w:w="90" w:type="dxa"/>
            </w:tcMar>
            <w:shd w:fill="F1EFE5"/>
            <w:vAlign w:val="center"/>
          </w:tcPr>
          <w:p>
            <w:pPr>
              <w:spacing w:after="0"/>
            </w:pPr>
            <w:r>
              <w:rPr>
                <w:rFonts w:ascii="Arial" w:hAnsi="Arial"/>
                <w:color w:val="1B1B1C"/>
                <w:sz w:val="13"/>
              </w:rPr>
              <w:t>ISO/IEC 27001:2022 - Information security management system</w:t>
            </w:r>
          </w:p>
        </w:tc>
        <w:tc>
          <w:tcPr>
            <w:tcW w:type="dxa" w:w="1500"/>
            <w:tcMar>
              <w:top w:w="70" w:type="dxa"/>
              <w:start w:w="90" w:type="dxa"/>
              <w:bottom w:w="70" w:type="dxa"/>
              <w:end w:w="90" w:type="dxa"/>
            </w:tcMar>
            <w:shd w:fill="F1EFE5"/>
            <w:vAlign w:val="center"/>
          </w:tcPr>
          <w:p>
            <w:pPr>
              <w:spacing w:after="0"/>
            </w:pPr>
            <w:r>
              <w:rPr>
                <w:rFonts w:ascii="Arial" w:hAnsi="Arial"/>
                <w:color w:val="1B1B1C"/>
                <w:sz w:val="13"/>
              </w:rPr>
              <w:t>Published; amended 2024</w:t>
            </w:r>
          </w:p>
        </w:tc>
        <w:tc>
          <w:tcPr>
            <w:tcW w:type="dxa" w:w="2800"/>
            <w:tcMar>
              <w:top w:w="70" w:type="dxa"/>
              <w:start w:w="90" w:type="dxa"/>
              <w:bottom w:w="70" w:type="dxa"/>
              <w:end w:w="90" w:type="dxa"/>
            </w:tcMar>
            <w:shd w:fill="F1EFE5"/>
            <w:vAlign w:val="center"/>
          </w:tcPr>
          <w:p>
            <w:pPr>
              <w:spacing w:after="0"/>
            </w:pPr>
            <w:r>
              <w:rPr>
                <w:rFonts w:ascii="Arial" w:hAnsi="Arial"/>
                <w:color w:val="1B1B1C"/>
                <w:sz w:val="13"/>
              </w:rPr>
              <w:t>Confidentiality, integrity, availability and risk management</w:t>
            </w:r>
          </w:p>
        </w:tc>
      </w:tr>
      <w:tr>
        <w:trPr>
          <w:cantSplit/>
        </w:trPr>
        <w:tc>
          <w:tcPr>
            <w:tcW w:type="dxa" w:w="500"/>
            <w:tcMar>
              <w:top w:w="70" w:type="dxa"/>
              <w:start w:w="90" w:type="dxa"/>
              <w:bottom w:w="70" w:type="dxa"/>
              <w:end w:w="90" w:type="dxa"/>
            </w:tcMar>
            <w:vAlign w:val="center"/>
          </w:tcPr>
          <w:p>
            <w:pPr>
              <w:spacing w:after="0"/>
            </w:pPr>
            <w:r>
              <w:rPr>
                <w:rFonts w:ascii="Arial" w:hAnsi="Arial"/>
                <w:b/>
                <w:color w:val="0E2530"/>
                <w:sz w:val="13"/>
              </w:rPr>
              <w:t>I21</w:t>
            </w:r>
          </w:p>
        </w:tc>
        <w:tc>
          <w:tcPr>
            <w:tcW w:type="dxa" w:w="1200"/>
            <w:tcMar>
              <w:top w:w="70" w:type="dxa"/>
              <w:start w:w="90" w:type="dxa"/>
              <w:bottom w:w="70" w:type="dxa"/>
              <w:end w:w="90" w:type="dxa"/>
            </w:tcMar>
            <w:vAlign w:val="center"/>
          </w:tcPr>
          <w:p>
            <w:pPr>
              <w:spacing w:after="0"/>
            </w:pPr>
            <w:r>
              <w:rPr>
                <w:rFonts w:ascii="Arial" w:hAnsi="Arial"/>
                <w:color w:val="1B1B1C"/>
                <w:sz w:val="13"/>
              </w:rPr>
              <w:t>ISO/IEC</w:t>
            </w:r>
          </w:p>
        </w:tc>
        <w:tc>
          <w:tcPr>
            <w:tcW w:type="dxa" w:w="3600"/>
            <w:tcMar>
              <w:top w:w="70" w:type="dxa"/>
              <w:start w:w="90" w:type="dxa"/>
              <w:bottom w:w="70" w:type="dxa"/>
              <w:end w:w="90" w:type="dxa"/>
            </w:tcMar>
            <w:vAlign w:val="center"/>
          </w:tcPr>
          <w:p>
            <w:pPr>
              <w:spacing w:after="0"/>
            </w:pPr>
            <w:r>
              <w:rPr>
                <w:rFonts w:ascii="Arial" w:hAnsi="Arial"/>
                <w:color w:val="1B1B1C"/>
                <w:sz w:val="13"/>
              </w:rPr>
              <w:t>ISO/IEC 27701:2025 - Privacy information management system</w:t>
            </w:r>
          </w:p>
        </w:tc>
        <w:tc>
          <w:tcPr>
            <w:tcW w:type="dxa" w:w="1500"/>
            <w:tcMar>
              <w:top w:w="70" w:type="dxa"/>
              <w:start w:w="90" w:type="dxa"/>
              <w:bottom w:w="70" w:type="dxa"/>
              <w:end w:w="90" w:type="dxa"/>
            </w:tcMar>
            <w:vAlign w:val="center"/>
          </w:tcPr>
          <w:p>
            <w:pPr>
              <w:spacing w:after="0"/>
            </w:pPr>
            <w:r>
              <w:rPr>
                <w:rFonts w:ascii="Arial" w:hAnsi="Arial"/>
                <w:color w:val="1B1B1C"/>
                <w:sz w:val="13"/>
              </w:rPr>
              <w:t>Published</w:t>
            </w:r>
          </w:p>
        </w:tc>
        <w:tc>
          <w:tcPr>
            <w:tcW w:type="dxa" w:w="2800"/>
            <w:tcMar>
              <w:top w:w="70" w:type="dxa"/>
              <w:start w:w="90" w:type="dxa"/>
              <w:bottom w:w="70" w:type="dxa"/>
              <w:end w:w="90" w:type="dxa"/>
            </w:tcMar>
            <w:vAlign w:val="center"/>
          </w:tcPr>
          <w:p>
            <w:pPr>
              <w:spacing w:after="0"/>
            </w:pPr>
            <w:r>
              <w:rPr>
                <w:rFonts w:ascii="Arial" w:hAnsi="Arial"/>
                <w:color w:val="1B1B1C"/>
                <w:sz w:val="13"/>
              </w:rPr>
              <w:t>PII controller/processor accountability and proof</w:t>
            </w:r>
          </w:p>
        </w:tc>
      </w:tr>
      <w:tr>
        <w:trPr>
          <w:cantSplit/>
        </w:trPr>
        <w:tc>
          <w:tcPr>
            <w:tcW w:type="dxa" w:w="500"/>
            <w:tcMar>
              <w:top w:w="70" w:type="dxa"/>
              <w:start w:w="90" w:type="dxa"/>
              <w:bottom w:w="70" w:type="dxa"/>
              <w:end w:w="90" w:type="dxa"/>
            </w:tcMar>
            <w:shd w:fill="F1EFE5"/>
            <w:vAlign w:val="center"/>
          </w:tcPr>
          <w:p>
            <w:pPr>
              <w:spacing w:after="0"/>
            </w:pPr>
            <w:r>
              <w:rPr>
                <w:rFonts w:ascii="Arial" w:hAnsi="Arial"/>
                <w:b/>
                <w:color w:val="0E2530"/>
                <w:sz w:val="13"/>
              </w:rPr>
              <w:t>I22</w:t>
            </w:r>
          </w:p>
        </w:tc>
        <w:tc>
          <w:tcPr>
            <w:tcW w:type="dxa" w:w="1200"/>
            <w:tcMar>
              <w:top w:w="70" w:type="dxa"/>
              <w:start w:w="90" w:type="dxa"/>
              <w:bottom w:w="70" w:type="dxa"/>
              <w:end w:w="90" w:type="dxa"/>
            </w:tcMar>
            <w:shd w:fill="F1EFE5"/>
            <w:vAlign w:val="center"/>
          </w:tcPr>
          <w:p>
            <w:pPr>
              <w:spacing w:after="0"/>
            </w:pPr>
            <w:r>
              <w:rPr>
                <w:rFonts w:ascii="Arial" w:hAnsi="Arial"/>
                <w:color w:val="1B1B1C"/>
                <w:sz w:val="13"/>
              </w:rPr>
              <w:t>ISO</w:t>
            </w:r>
          </w:p>
        </w:tc>
        <w:tc>
          <w:tcPr>
            <w:tcW w:type="dxa" w:w="3600"/>
            <w:tcMar>
              <w:top w:w="70" w:type="dxa"/>
              <w:start w:w="90" w:type="dxa"/>
              <w:bottom w:w="70" w:type="dxa"/>
              <w:end w:w="90" w:type="dxa"/>
            </w:tcMar>
            <w:shd w:fill="F1EFE5"/>
            <w:vAlign w:val="center"/>
          </w:tcPr>
          <w:p>
            <w:pPr>
              <w:spacing w:after="0"/>
            </w:pPr>
            <w:r>
              <w:rPr>
                <w:rFonts w:ascii="Arial" w:hAnsi="Arial"/>
                <w:color w:val="1B1B1C"/>
                <w:sz w:val="13"/>
              </w:rPr>
              <w:t>ISO 15489-1:2016 - Records management concepts and principles</w:t>
            </w:r>
          </w:p>
        </w:tc>
        <w:tc>
          <w:tcPr>
            <w:tcW w:type="dxa" w:w="1500"/>
            <w:tcMar>
              <w:top w:w="70" w:type="dxa"/>
              <w:start w:w="90" w:type="dxa"/>
              <w:bottom w:w="70" w:type="dxa"/>
              <w:end w:w="90" w:type="dxa"/>
            </w:tcMar>
            <w:shd w:fill="F1EFE5"/>
            <w:vAlign w:val="center"/>
          </w:tcPr>
          <w:p>
            <w:pPr>
              <w:spacing w:after="0"/>
            </w:pPr>
            <w:r>
              <w:rPr>
                <w:rFonts w:ascii="Arial" w:hAnsi="Arial"/>
                <w:color w:val="1B1B1C"/>
                <w:sz w:val="13"/>
              </w:rPr>
              <w:t>Published; confirmed 2021</w:t>
            </w:r>
          </w:p>
        </w:tc>
        <w:tc>
          <w:tcPr>
            <w:tcW w:type="dxa" w:w="2800"/>
            <w:tcMar>
              <w:top w:w="70" w:type="dxa"/>
              <w:start w:w="90" w:type="dxa"/>
              <w:bottom w:w="70" w:type="dxa"/>
              <w:end w:w="90" w:type="dxa"/>
            </w:tcMar>
            <w:shd w:fill="F1EFE5"/>
            <w:vAlign w:val="center"/>
          </w:tcPr>
          <w:p>
            <w:pPr>
              <w:spacing w:after="0"/>
            </w:pPr>
            <w:r>
              <w:rPr>
                <w:rFonts w:ascii="Arial" w:hAnsi="Arial"/>
                <w:color w:val="1B1B1C"/>
                <w:sz w:val="13"/>
              </w:rPr>
              <w:t>Authentic, reliable records and lifecycle controls</w:t>
            </w:r>
          </w:p>
        </w:tc>
      </w:tr>
      <w:tr>
        <w:trPr>
          <w:cantSplit/>
        </w:trPr>
        <w:tc>
          <w:tcPr>
            <w:tcW w:type="dxa" w:w="500"/>
            <w:tcMar>
              <w:top w:w="70" w:type="dxa"/>
              <w:start w:w="90" w:type="dxa"/>
              <w:bottom w:w="70" w:type="dxa"/>
              <w:end w:w="90" w:type="dxa"/>
            </w:tcMar>
            <w:vAlign w:val="center"/>
          </w:tcPr>
          <w:p>
            <w:pPr>
              <w:spacing w:after="0"/>
            </w:pPr>
            <w:r>
              <w:rPr>
                <w:rFonts w:ascii="Arial" w:hAnsi="Arial"/>
                <w:b/>
                <w:color w:val="0E2530"/>
                <w:sz w:val="13"/>
              </w:rPr>
              <w:t>I23</w:t>
            </w:r>
          </w:p>
        </w:tc>
        <w:tc>
          <w:tcPr>
            <w:tcW w:type="dxa" w:w="1200"/>
            <w:tcMar>
              <w:top w:w="70" w:type="dxa"/>
              <w:start w:w="90" w:type="dxa"/>
              <w:bottom w:w="70" w:type="dxa"/>
              <w:end w:w="90" w:type="dxa"/>
            </w:tcMar>
            <w:vAlign w:val="center"/>
          </w:tcPr>
          <w:p>
            <w:pPr>
              <w:spacing w:after="0"/>
            </w:pPr>
            <w:r>
              <w:rPr>
                <w:rFonts w:ascii="Arial" w:hAnsi="Arial"/>
                <w:color w:val="1B1B1C"/>
                <w:sz w:val="13"/>
              </w:rPr>
              <w:t>ISO</w:t>
            </w:r>
          </w:p>
        </w:tc>
        <w:tc>
          <w:tcPr>
            <w:tcW w:type="dxa" w:w="3600"/>
            <w:tcMar>
              <w:top w:w="70" w:type="dxa"/>
              <w:start w:w="90" w:type="dxa"/>
              <w:bottom w:w="70" w:type="dxa"/>
              <w:end w:w="90" w:type="dxa"/>
            </w:tcMar>
            <w:vAlign w:val="center"/>
          </w:tcPr>
          <w:p>
            <w:pPr>
              <w:spacing w:after="0"/>
            </w:pPr>
            <w:r>
              <w:rPr>
                <w:rFonts w:ascii="Arial" w:hAnsi="Arial"/>
                <w:color w:val="1B1B1C"/>
                <w:sz w:val="13"/>
              </w:rPr>
              <w:t>ISO 55001:2024 - Asset management system requirements</w:t>
            </w:r>
          </w:p>
        </w:tc>
        <w:tc>
          <w:tcPr>
            <w:tcW w:type="dxa" w:w="1500"/>
            <w:tcMar>
              <w:top w:w="70" w:type="dxa"/>
              <w:start w:w="90" w:type="dxa"/>
              <w:bottom w:w="70" w:type="dxa"/>
              <w:end w:w="90" w:type="dxa"/>
            </w:tcMar>
            <w:vAlign w:val="center"/>
          </w:tcPr>
          <w:p>
            <w:pPr>
              <w:spacing w:after="0"/>
            </w:pPr>
            <w:r>
              <w:rPr>
                <w:rFonts w:ascii="Arial" w:hAnsi="Arial"/>
                <w:color w:val="1B1B1C"/>
                <w:sz w:val="13"/>
              </w:rPr>
              <w:t>Published</w:t>
            </w:r>
          </w:p>
        </w:tc>
        <w:tc>
          <w:tcPr>
            <w:tcW w:type="dxa" w:w="2800"/>
            <w:tcMar>
              <w:top w:w="70" w:type="dxa"/>
              <w:start w:w="90" w:type="dxa"/>
              <w:bottom w:w="70" w:type="dxa"/>
              <w:end w:w="90" w:type="dxa"/>
            </w:tcMar>
            <w:vAlign w:val="center"/>
          </w:tcPr>
          <w:p>
            <w:pPr>
              <w:spacing w:after="0"/>
            </w:pPr>
            <w:r>
              <w:rPr>
                <w:rFonts w:ascii="Arial" w:hAnsi="Arial"/>
                <w:color w:val="1B1B1C"/>
                <w:sz w:val="13"/>
              </w:rPr>
              <w:t>Asset lifecycle, value, risk and decision-making</w:t>
            </w:r>
          </w:p>
        </w:tc>
      </w:tr>
      <w:tr>
        <w:trPr>
          <w:cantSplit/>
        </w:trPr>
        <w:tc>
          <w:tcPr>
            <w:tcW w:type="dxa" w:w="500"/>
            <w:tcMar>
              <w:top w:w="70" w:type="dxa"/>
              <w:start w:w="90" w:type="dxa"/>
              <w:bottom w:w="70" w:type="dxa"/>
              <w:end w:w="90" w:type="dxa"/>
            </w:tcMar>
            <w:shd w:fill="F1EFE5"/>
            <w:vAlign w:val="center"/>
          </w:tcPr>
          <w:p>
            <w:pPr>
              <w:spacing w:after="0"/>
            </w:pPr>
            <w:r>
              <w:rPr>
                <w:rFonts w:ascii="Arial" w:hAnsi="Arial"/>
                <w:b/>
                <w:color w:val="0E2530"/>
                <w:sz w:val="13"/>
              </w:rPr>
              <w:t>W01</w:t>
            </w:r>
          </w:p>
        </w:tc>
        <w:tc>
          <w:tcPr>
            <w:tcW w:type="dxa" w:w="1200"/>
            <w:tcMar>
              <w:top w:w="70" w:type="dxa"/>
              <w:start w:w="90" w:type="dxa"/>
              <w:bottom w:w="70" w:type="dxa"/>
              <w:end w:w="90" w:type="dxa"/>
            </w:tcMar>
            <w:shd w:fill="F1EFE5"/>
            <w:vAlign w:val="center"/>
          </w:tcPr>
          <w:p>
            <w:pPr>
              <w:spacing w:after="0"/>
            </w:pPr>
            <w:r>
              <w:rPr>
                <w:rFonts w:ascii="Arial" w:hAnsi="Arial"/>
                <w:color w:val="1B1B1C"/>
                <w:sz w:val="13"/>
              </w:rPr>
              <w:t>W3C</w:t>
            </w:r>
          </w:p>
        </w:tc>
        <w:tc>
          <w:tcPr>
            <w:tcW w:type="dxa" w:w="3600"/>
            <w:tcMar>
              <w:top w:w="70" w:type="dxa"/>
              <w:start w:w="90" w:type="dxa"/>
              <w:bottom w:w="70" w:type="dxa"/>
              <w:end w:w="90" w:type="dxa"/>
            </w:tcMar>
            <w:shd w:fill="F1EFE5"/>
            <w:vAlign w:val="center"/>
          </w:tcPr>
          <w:p>
            <w:pPr>
              <w:spacing w:after="0"/>
            </w:pPr>
            <w:r>
              <w:rPr>
                <w:rFonts w:ascii="Arial" w:hAnsi="Arial"/>
                <w:color w:val="1B1B1C"/>
                <w:sz w:val="13"/>
              </w:rPr>
              <w:t>PROV-O: The PROV Ontology</w:t>
            </w:r>
          </w:p>
        </w:tc>
        <w:tc>
          <w:tcPr>
            <w:tcW w:type="dxa" w:w="1500"/>
            <w:tcMar>
              <w:top w:w="70" w:type="dxa"/>
              <w:start w:w="90" w:type="dxa"/>
              <w:bottom w:w="70" w:type="dxa"/>
              <w:end w:w="90" w:type="dxa"/>
            </w:tcMar>
            <w:shd w:fill="F1EFE5"/>
            <w:vAlign w:val="center"/>
          </w:tcPr>
          <w:p>
            <w:pPr>
              <w:spacing w:after="0"/>
            </w:pPr>
            <w:r>
              <w:rPr>
                <w:rFonts w:ascii="Arial" w:hAnsi="Arial"/>
                <w:color w:val="1B1B1C"/>
                <w:sz w:val="13"/>
              </w:rPr>
              <w:t>Recommendation</w:t>
            </w:r>
          </w:p>
        </w:tc>
        <w:tc>
          <w:tcPr>
            <w:tcW w:type="dxa" w:w="2800"/>
            <w:tcMar>
              <w:top w:w="70" w:type="dxa"/>
              <w:start w:w="90" w:type="dxa"/>
              <w:bottom w:w="70" w:type="dxa"/>
              <w:end w:w="90" w:type="dxa"/>
            </w:tcMar>
            <w:shd w:fill="F1EFE5"/>
            <w:vAlign w:val="center"/>
          </w:tcPr>
          <w:p>
            <w:pPr>
              <w:spacing w:after="0"/>
            </w:pPr>
            <w:r>
              <w:rPr>
                <w:rFonts w:ascii="Arial" w:hAnsi="Arial"/>
                <w:color w:val="1B1B1C"/>
                <w:sz w:val="13"/>
              </w:rPr>
              <w:t>Machine-readable provenance entities, activities and agents</w:t>
            </w:r>
          </w:p>
        </w:tc>
      </w:tr>
      <w:tr>
        <w:trPr>
          <w:cantSplit/>
        </w:trPr>
        <w:tc>
          <w:tcPr>
            <w:tcW w:type="dxa" w:w="500"/>
            <w:tcMar>
              <w:top w:w="70" w:type="dxa"/>
              <w:start w:w="90" w:type="dxa"/>
              <w:bottom w:w="70" w:type="dxa"/>
              <w:end w:w="90" w:type="dxa"/>
            </w:tcMar>
            <w:vAlign w:val="center"/>
          </w:tcPr>
          <w:p>
            <w:pPr>
              <w:spacing w:after="0"/>
            </w:pPr>
            <w:r>
              <w:rPr>
                <w:rFonts w:ascii="Arial" w:hAnsi="Arial"/>
                <w:b/>
                <w:color w:val="0E2530"/>
                <w:sz w:val="13"/>
              </w:rPr>
              <w:t>W02</w:t>
            </w:r>
          </w:p>
        </w:tc>
        <w:tc>
          <w:tcPr>
            <w:tcW w:type="dxa" w:w="1200"/>
            <w:tcMar>
              <w:top w:w="70" w:type="dxa"/>
              <w:start w:w="90" w:type="dxa"/>
              <w:bottom w:w="70" w:type="dxa"/>
              <w:end w:w="90" w:type="dxa"/>
            </w:tcMar>
            <w:vAlign w:val="center"/>
          </w:tcPr>
          <w:p>
            <w:pPr>
              <w:spacing w:after="0"/>
            </w:pPr>
            <w:r>
              <w:rPr>
                <w:rFonts w:ascii="Arial" w:hAnsi="Arial"/>
                <w:color w:val="1B1B1C"/>
                <w:sz w:val="13"/>
              </w:rPr>
              <w:t>W3C</w:t>
            </w:r>
          </w:p>
        </w:tc>
        <w:tc>
          <w:tcPr>
            <w:tcW w:type="dxa" w:w="3600"/>
            <w:tcMar>
              <w:top w:w="70" w:type="dxa"/>
              <w:start w:w="90" w:type="dxa"/>
              <w:bottom w:w="70" w:type="dxa"/>
              <w:end w:w="90" w:type="dxa"/>
            </w:tcMar>
            <w:vAlign w:val="center"/>
          </w:tcPr>
          <w:p>
            <w:pPr>
              <w:spacing w:after="0"/>
            </w:pPr>
            <w:r>
              <w:rPr>
                <w:rFonts w:ascii="Arial" w:hAnsi="Arial"/>
                <w:color w:val="1B1B1C"/>
                <w:sz w:val="13"/>
              </w:rPr>
              <w:t>PROV Overview</w:t>
            </w:r>
          </w:p>
        </w:tc>
        <w:tc>
          <w:tcPr>
            <w:tcW w:type="dxa" w:w="1500"/>
            <w:tcMar>
              <w:top w:w="70" w:type="dxa"/>
              <w:start w:w="90" w:type="dxa"/>
              <w:bottom w:w="70" w:type="dxa"/>
              <w:end w:w="90" w:type="dxa"/>
            </w:tcMar>
            <w:vAlign w:val="center"/>
          </w:tcPr>
          <w:p>
            <w:pPr>
              <w:spacing w:after="0"/>
            </w:pPr>
            <w:r>
              <w:rPr>
                <w:rFonts w:ascii="Arial" w:hAnsi="Arial"/>
                <w:color w:val="1B1B1C"/>
                <w:sz w:val="13"/>
              </w:rPr>
              <w:t>Working Group Note</w:t>
            </w:r>
          </w:p>
        </w:tc>
        <w:tc>
          <w:tcPr>
            <w:tcW w:type="dxa" w:w="2800"/>
            <w:tcMar>
              <w:top w:w="70" w:type="dxa"/>
              <w:start w:w="90" w:type="dxa"/>
              <w:bottom w:w="70" w:type="dxa"/>
              <w:end w:w="90" w:type="dxa"/>
            </w:tcMar>
            <w:vAlign w:val="center"/>
          </w:tcPr>
          <w:p>
            <w:pPr>
              <w:spacing w:after="0"/>
            </w:pPr>
            <w:r>
              <w:rPr>
                <w:rFonts w:ascii="Arial" w:hAnsi="Arial"/>
                <w:color w:val="1B1B1C"/>
                <w:sz w:val="13"/>
              </w:rPr>
              <w:t>PROV-DM, PROV-N, PROV-O, constraints and access</w:t>
            </w:r>
          </w:p>
        </w:tc>
      </w:tr>
      <w:tr>
        <w:trPr>
          <w:cantSplit/>
        </w:trPr>
        <w:tc>
          <w:tcPr>
            <w:tcW w:type="dxa" w:w="500"/>
            <w:tcMar>
              <w:top w:w="70" w:type="dxa"/>
              <w:start w:w="90" w:type="dxa"/>
              <w:bottom w:w="70" w:type="dxa"/>
              <w:end w:w="90" w:type="dxa"/>
            </w:tcMar>
            <w:shd w:fill="F1EFE5"/>
            <w:vAlign w:val="center"/>
          </w:tcPr>
          <w:p>
            <w:pPr>
              <w:spacing w:after="0"/>
            </w:pPr>
            <w:r>
              <w:rPr>
                <w:rFonts w:ascii="Arial" w:hAnsi="Arial"/>
                <w:b/>
                <w:color w:val="0E2530"/>
                <w:sz w:val="13"/>
              </w:rPr>
              <w:t>W03</w:t>
            </w:r>
          </w:p>
        </w:tc>
        <w:tc>
          <w:tcPr>
            <w:tcW w:type="dxa" w:w="1200"/>
            <w:tcMar>
              <w:top w:w="70" w:type="dxa"/>
              <w:start w:w="90" w:type="dxa"/>
              <w:bottom w:w="70" w:type="dxa"/>
              <w:end w:w="90" w:type="dxa"/>
            </w:tcMar>
            <w:shd w:fill="F1EFE5"/>
            <w:vAlign w:val="center"/>
          </w:tcPr>
          <w:p>
            <w:pPr>
              <w:spacing w:after="0"/>
            </w:pPr>
            <w:r>
              <w:rPr>
                <w:rFonts w:ascii="Arial" w:hAnsi="Arial"/>
                <w:color w:val="1B1B1C"/>
                <w:sz w:val="13"/>
              </w:rPr>
              <w:t>W3C</w:t>
            </w:r>
          </w:p>
        </w:tc>
        <w:tc>
          <w:tcPr>
            <w:tcW w:type="dxa" w:w="3600"/>
            <w:tcMar>
              <w:top w:w="70" w:type="dxa"/>
              <w:start w:w="90" w:type="dxa"/>
              <w:bottom w:w="70" w:type="dxa"/>
              <w:end w:w="90" w:type="dxa"/>
            </w:tcMar>
            <w:shd w:fill="F1EFE5"/>
            <w:vAlign w:val="center"/>
          </w:tcPr>
          <w:p>
            <w:pPr>
              <w:spacing w:after="0"/>
            </w:pPr>
            <w:r>
              <w:rPr>
                <w:rFonts w:ascii="Arial" w:hAnsi="Arial"/>
                <w:color w:val="1B1B1C"/>
                <w:sz w:val="13"/>
              </w:rPr>
              <w:t>Data Catalog Vocabulary (DCAT) 3</w:t>
            </w:r>
          </w:p>
        </w:tc>
        <w:tc>
          <w:tcPr>
            <w:tcW w:type="dxa" w:w="1500"/>
            <w:tcMar>
              <w:top w:w="70" w:type="dxa"/>
              <w:start w:w="90" w:type="dxa"/>
              <w:bottom w:w="70" w:type="dxa"/>
              <w:end w:w="90" w:type="dxa"/>
            </w:tcMar>
            <w:shd w:fill="F1EFE5"/>
            <w:vAlign w:val="center"/>
          </w:tcPr>
          <w:p>
            <w:pPr>
              <w:spacing w:after="0"/>
            </w:pPr>
            <w:r>
              <w:rPr>
                <w:rFonts w:ascii="Arial" w:hAnsi="Arial"/>
                <w:color w:val="1B1B1C"/>
                <w:sz w:val="13"/>
              </w:rPr>
              <w:t>Recommendation; 2024</w:t>
            </w:r>
          </w:p>
        </w:tc>
        <w:tc>
          <w:tcPr>
            <w:tcW w:type="dxa" w:w="2800"/>
            <w:tcMar>
              <w:top w:w="70" w:type="dxa"/>
              <w:start w:w="90" w:type="dxa"/>
              <w:bottom w:w="70" w:type="dxa"/>
              <w:end w:w="90" w:type="dxa"/>
            </w:tcMar>
            <w:shd w:fill="F1EFE5"/>
            <w:vAlign w:val="center"/>
          </w:tcPr>
          <w:p>
            <w:pPr>
              <w:spacing w:after="0"/>
            </w:pPr>
            <w:r>
              <w:rPr>
                <w:rFonts w:ascii="Arial" w:hAnsi="Arial"/>
                <w:color w:val="1B1B1C"/>
                <w:sz w:val="13"/>
              </w:rPr>
              <w:t>Dataset catalog, version, checksum and distribution metadata</w:t>
            </w:r>
          </w:p>
        </w:tc>
      </w:tr>
      <w:tr>
        <w:trPr>
          <w:cantSplit/>
        </w:trPr>
        <w:tc>
          <w:tcPr>
            <w:tcW w:type="dxa" w:w="500"/>
            <w:tcMar>
              <w:top w:w="70" w:type="dxa"/>
              <w:start w:w="90" w:type="dxa"/>
              <w:bottom w:w="70" w:type="dxa"/>
              <w:end w:w="90" w:type="dxa"/>
            </w:tcMar>
            <w:vAlign w:val="center"/>
          </w:tcPr>
          <w:p>
            <w:pPr>
              <w:spacing w:after="0"/>
            </w:pPr>
            <w:r>
              <w:rPr>
                <w:rFonts w:ascii="Arial" w:hAnsi="Arial"/>
                <w:b/>
                <w:color w:val="0E2530"/>
                <w:sz w:val="13"/>
              </w:rPr>
              <w:t>W04</w:t>
            </w:r>
          </w:p>
        </w:tc>
        <w:tc>
          <w:tcPr>
            <w:tcW w:type="dxa" w:w="1200"/>
            <w:tcMar>
              <w:top w:w="70" w:type="dxa"/>
              <w:start w:w="90" w:type="dxa"/>
              <w:bottom w:w="70" w:type="dxa"/>
              <w:end w:w="90" w:type="dxa"/>
            </w:tcMar>
            <w:vAlign w:val="center"/>
          </w:tcPr>
          <w:p>
            <w:pPr>
              <w:spacing w:after="0"/>
            </w:pPr>
            <w:r>
              <w:rPr>
                <w:rFonts w:ascii="Arial" w:hAnsi="Arial"/>
                <w:color w:val="1B1B1C"/>
                <w:sz w:val="13"/>
              </w:rPr>
              <w:t>W3C</w:t>
            </w:r>
          </w:p>
        </w:tc>
        <w:tc>
          <w:tcPr>
            <w:tcW w:type="dxa" w:w="3600"/>
            <w:tcMar>
              <w:top w:w="70" w:type="dxa"/>
              <w:start w:w="90" w:type="dxa"/>
              <w:bottom w:w="70" w:type="dxa"/>
              <w:end w:w="90" w:type="dxa"/>
            </w:tcMar>
            <w:vAlign w:val="center"/>
          </w:tcPr>
          <w:p>
            <w:pPr>
              <w:spacing w:after="0"/>
            </w:pPr>
            <w:r>
              <w:rPr>
                <w:rFonts w:ascii="Arial" w:hAnsi="Arial"/>
                <w:color w:val="1B1B1C"/>
                <w:sz w:val="13"/>
              </w:rPr>
              <w:t>Data Quality Vocabulary (DQV)</w:t>
            </w:r>
          </w:p>
        </w:tc>
        <w:tc>
          <w:tcPr>
            <w:tcW w:type="dxa" w:w="1500"/>
            <w:tcMar>
              <w:top w:w="70" w:type="dxa"/>
              <w:start w:w="90" w:type="dxa"/>
              <w:bottom w:w="70" w:type="dxa"/>
              <w:end w:w="90" w:type="dxa"/>
            </w:tcMar>
            <w:vAlign w:val="center"/>
          </w:tcPr>
          <w:p>
            <w:pPr>
              <w:spacing w:after="0"/>
            </w:pPr>
            <w:r>
              <w:rPr>
                <w:rFonts w:ascii="Arial" w:hAnsi="Arial"/>
                <w:color w:val="1B1B1C"/>
                <w:sz w:val="13"/>
              </w:rPr>
              <w:t>Working Group Note</w:t>
            </w:r>
          </w:p>
        </w:tc>
        <w:tc>
          <w:tcPr>
            <w:tcW w:type="dxa" w:w="2800"/>
            <w:tcMar>
              <w:top w:w="70" w:type="dxa"/>
              <w:start w:w="90" w:type="dxa"/>
              <w:bottom w:w="70" w:type="dxa"/>
              <w:end w:w="90" w:type="dxa"/>
            </w:tcMar>
            <w:vAlign w:val="center"/>
          </w:tcPr>
          <w:p>
            <w:pPr>
              <w:spacing w:after="0"/>
            </w:pPr>
            <w:r>
              <w:rPr>
                <w:rFonts w:ascii="Arial" w:hAnsi="Arial"/>
                <w:color w:val="1B1B1C"/>
                <w:sz w:val="13"/>
              </w:rPr>
              <w:t>Quality measurements, policies and annotations</w:t>
            </w:r>
          </w:p>
        </w:tc>
      </w:tr>
      <w:tr>
        <w:trPr>
          <w:cantSplit/>
        </w:trPr>
        <w:tc>
          <w:tcPr>
            <w:tcW w:type="dxa" w:w="500"/>
            <w:tcMar>
              <w:top w:w="70" w:type="dxa"/>
              <w:start w:w="90" w:type="dxa"/>
              <w:bottom w:w="70" w:type="dxa"/>
              <w:end w:w="90" w:type="dxa"/>
            </w:tcMar>
            <w:shd w:fill="F1EFE5"/>
            <w:vAlign w:val="center"/>
          </w:tcPr>
          <w:p>
            <w:pPr>
              <w:spacing w:after="0"/>
            </w:pPr>
            <w:r>
              <w:rPr>
                <w:rFonts w:ascii="Arial" w:hAnsi="Arial"/>
                <w:b/>
                <w:color w:val="0E2530"/>
                <w:sz w:val="13"/>
              </w:rPr>
              <w:t>W05</w:t>
            </w:r>
          </w:p>
        </w:tc>
        <w:tc>
          <w:tcPr>
            <w:tcW w:type="dxa" w:w="1200"/>
            <w:tcMar>
              <w:top w:w="70" w:type="dxa"/>
              <w:start w:w="90" w:type="dxa"/>
              <w:bottom w:w="70" w:type="dxa"/>
              <w:end w:w="90" w:type="dxa"/>
            </w:tcMar>
            <w:shd w:fill="F1EFE5"/>
            <w:vAlign w:val="center"/>
          </w:tcPr>
          <w:p>
            <w:pPr>
              <w:spacing w:after="0"/>
            </w:pPr>
            <w:r>
              <w:rPr>
                <w:rFonts w:ascii="Arial" w:hAnsi="Arial"/>
                <w:color w:val="1B1B1C"/>
                <w:sz w:val="13"/>
              </w:rPr>
              <w:t>W3C</w:t>
            </w:r>
          </w:p>
        </w:tc>
        <w:tc>
          <w:tcPr>
            <w:tcW w:type="dxa" w:w="3600"/>
            <w:tcMar>
              <w:top w:w="70" w:type="dxa"/>
              <w:start w:w="90" w:type="dxa"/>
              <w:bottom w:w="70" w:type="dxa"/>
              <w:end w:w="90" w:type="dxa"/>
            </w:tcMar>
            <w:shd w:fill="F1EFE5"/>
            <w:vAlign w:val="center"/>
          </w:tcPr>
          <w:p>
            <w:pPr>
              <w:spacing w:after="0"/>
            </w:pPr>
            <w:r>
              <w:rPr>
                <w:rFonts w:ascii="Arial" w:hAnsi="Arial"/>
                <w:color w:val="1B1B1C"/>
                <w:sz w:val="13"/>
              </w:rPr>
              <w:t>Data on the Web Best Practices</w:t>
            </w:r>
          </w:p>
        </w:tc>
        <w:tc>
          <w:tcPr>
            <w:tcW w:type="dxa" w:w="1500"/>
            <w:tcMar>
              <w:top w:w="70" w:type="dxa"/>
              <w:start w:w="90" w:type="dxa"/>
              <w:bottom w:w="70" w:type="dxa"/>
              <w:end w:w="90" w:type="dxa"/>
            </w:tcMar>
            <w:shd w:fill="F1EFE5"/>
            <w:vAlign w:val="center"/>
          </w:tcPr>
          <w:p>
            <w:pPr>
              <w:spacing w:after="0"/>
            </w:pPr>
            <w:r>
              <w:rPr>
                <w:rFonts w:ascii="Arial" w:hAnsi="Arial"/>
                <w:color w:val="1B1B1C"/>
                <w:sz w:val="13"/>
              </w:rPr>
              <w:t>Recommendation</w:t>
            </w:r>
          </w:p>
        </w:tc>
        <w:tc>
          <w:tcPr>
            <w:tcW w:type="dxa" w:w="2800"/>
            <w:tcMar>
              <w:top w:w="70" w:type="dxa"/>
              <w:start w:w="90" w:type="dxa"/>
              <w:bottom w:w="70" w:type="dxa"/>
              <w:end w:w="90" w:type="dxa"/>
            </w:tcMar>
            <w:shd w:fill="F1EFE5"/>
            <w:vAlign w:val="center"/>
          </w:tcPr>
          <w:p>
            <w:pPr>
              <w:spacing w:after="0"/>
            </w:pPr>
            <w:r>
              <w:rPr>
                <w:rFonts w:ascii="Arial" w:hAnsi="Arial"/>
                <w:color w:val="1B1B1C"/>
                <w:sz w:val="13"/>
              </w:rPr>
              <w:t>Publication, metadata, provenance, quality and reuse practices</w:t>
            </w:r>
          </w:p>
        </w:tc>
      </w:tr>
      <w:tr>
        <w:trPr>
          <w:cantSplit/>
        </w:trPr>
        <w:tc>
          <w:tcPr>
            <w:tcW w:type="dxa" w:w="500"/>
            <w:tcMar>
              <w:top w:w="70" w:type="dxa"/>
              <w:start w:w="90" w:type="dxa"/>
              <w:bottom w:w="70" w:type="dxa"/>
              <w:end w:w="90" w:type="dxa"/>
            </w:tcMar>
            <w:vAlign w:val="center"/>
          </w:tcPr>
          <w:p>
            <w:pPr>
              <w:spacing w:after="0"/>
            </w:pPr>
            <w:r>
              <w:rPr>
                <w:rFonts w:ascii="Arial" w:hAnsi="Arial"/>
                <w:b/>
                <w:color w:val="0E2530"/>
                <w:sz w:val="13"/>
              </w:rPr>
              <w:t>W06</w:t>
            </w:r>
          </w:p>
        </w:tc>
        <w:tc>
          <w:tcPr>
            <w:tcW w:type="dxa" w:w="1200"/>
            <w:tcMar>
              <w:top w:w="70" w:type="dxa"/>
              <w:start w:w="90" w:type="dxa"/>
              <w:bottom w:w="70" w:type="dxa"/>
              <w:end w:w="90" w:type="dxa"/>
            </w:tcMar>
            <w:vAlign w:val="center"/>
          </w:tcPr>
          <w:p>
            <w:pPr>
              <w:spacing w:after="0"/>
            </w:pPr>
            <w:r>
              <w:rPr>
                <w:rFonts w:ascii="Arial" w:hAnsi="Arial"/>
                <w:color w:val="1B1B1C"/>
                <w:sz w:val="13"/>
              </w:rPr>
              <w:t>W3C</w:t>
            </w:r>
          </w:p>
        </w:tc>
        <w:tc>
          <w:tcPr>
            <w:tcW w:type="dxa" w:w="3600"/>
            <w:tcMar>
              <w:top w:w="70" w:type="dxa"/>
              <w:start w:w="90" w:type="dxa"/>
              <w:bottom w:w="70" w:type="dxa"/>
              <w:end w:w="90" w:type="dxa"/>
            </w:tcMar>
            <w:vAlign w:val="center"/>
          </w:tcPr>
          <w:p>
            <w:pPr>
              <w:spacing w:after="0"/>
            </w:pPr>
            <w:r>
              <w:rPr>
                <w:rFonts w:ascii="Arial" w:hAnsi="Arial"/>
                <w:color w:val="1B1B1C"/>
                <w:sz w:val="13"/>
              </w:rPr>
              <w:t>Shapes Constraint Language (SHACL)</w:t>
            </w:r>
          </w:p>
        </w:tc>
        <w:tc>
          <w:tcPr>
            <w:tcW w:type="dxa" w:w="1500"/>
            <w:tcMar>
              <w:top w:w="70" w:type="dxa"/>
              <w:start w:w="90" w:type="dxa"/>
              <w:bottom w:w="70" w:type="dxa"/>
              <w:end w:w="90" w:type="dxa"/>
            </w:tcMar>
            <w:vAlign w:val="center"/>
          </w:tcPr>
          <w:p>
            <w:pPr>
              <w:spacing w:after="0"/>
            </w:pPr>
            <w:r>
              <w:rPr>
                <w:rFonts w:ascii="Arial" w:hAnsi="Arial"/>
                <w:color w:val="1B1B1C"/>
                <w:sz w:val="13"/>
              </w:rPr>
              <w:t>Recommendation</w:t>
            </w:r>
          </w:p>
        </w:tc>
        <w:tc>
          <w:tcPr>
            <w:tcW w:type="dxa" w:w="2800"/>
            <w:tcMar>
              <w:top w:w="70" w:type="dxa"/>
              <w:start w:w="90" w:type="dxa"/>
              <w:bottom w:w="70" w:type="dxa"/>
              <w:end w:w="90" w:type="dxa"/>
            </w:tcMar>
            <w:vAlign w:val="center"/>
          </w:tcPr>
          <w:p>
            <w:pPr>
              <w:spacing w:after="0"/>
            </w:pPr>
            <w:r>
              <w:rPr>
                <w:rFonts w:ascii="Arial" w:hAnsi="Arial"/>
                <w:color w:val="1B1B1C"/>
                <w:sz w:val="13"/>
              </w:rPr>
              <w:t>Machine-executable validation of graph data</w:t>
            </w:r>
          </w:p>
        </w:tc>
      </w:tr>
      <w:tr>
        <w:trPr>
          <w:cantSplit/>
        </w:trPr>
        <w:tc>
          <w:tcPr>
            <w:tcW w:type="dxa" w:w="500"/>
            <w:tcMar>
              <w:top w:w="70" w:type="dxa"/>
              <w:start w:w="90" w:type="dxa"/>
              <w:bottom w:w="70" w:type="dxa"/>
              <w:end w:w="90" w:type="dxa"/>
            </w:tcMar>
            <w:shd w:fill="F1EFE5"/>
            <w:vAlign w:val="center"/>
          </w:tcPr>
          <w:p>
            <w:pPr>
              <w:spacing w:after="0"/>
            </w:pPr>
            <w:r>
              <w:rPr>
                <w:rFonts w:ascii="Arial" w:hAnsi="Arial"/>
                <w:b/>
                <w:color w:val="0E2530"/>
                <w:sz w:val="13"/>
              </w:rPr>
              <w:t>W07</w:t>
            </w:r>
          </w:p>
        </w:tc>
        <w:tc>
          <w:tcPr>
            <w:tcW w:type="dxa" w:w="1200"/>
            <w:tcMar>
              <w:top w:w="70" w:type="dxa"/>
              <w:start w:w="90" w:type="dxa"/>
              <w:bottom w:w="70" w:type="dxa"/>
              <w:end w:w="90" w:type="dxa"/>
            </w:tcMar>
            <w:shd w:fill="F1EFE5"/>
            <w:vAlign w:val="center"/>
          </w:tcPr>
          <w:p>
            <w:pPr>
              <w:spacing w:after="0"/>
            </w:pPr>
            <w:r>
              <w:rPr>
                <w:rFonts w:ascii="Arial" w:hAnsi="Arial"/>
                <w:color w:val="1B1B1C"/>
                <w:sz w:val="13"/>
              </w:rPr>
              <w:t>W3C</w:t>
            </w:r>
          </w:p>
        </w:tc>
        <w:tc>
          <w:tcPr>
            <w:tcW w:type="dxa" w:w="3600"/>
            <w:tcMar>
              <w:top w:w="70" w:type="dxa"/>
              <w:start w:w="90" w:type="dxa"/>
              <w:bottom w:w="70" w:type="dxa"/>
              <w:end w:w="90" w:type="dxa"/>
            </w:tcMar>
            <w:shd w:fill="F1EFE5"/>
            <w:vAlign w:val="center"/>
          </w:tcPr>
          <w:p>
            <w:pPr>
              <w:spacing w:after="0"/>
            </w:pPr>
            <w:r>
              <w:rPr>
                <w:rFonts w:ascii="Arial" w:hAnsi="Arial"/>
                <w:color w:val="1B1B1C"/>
                <w:sz w:val="13"/>
              </w:rPr>
              <w:t>ODRL Information Model 2.2</w:t>
            </w:r>
          </w:p>
        </w:tc>
        <w:tc>
          <w:tcPr>
            <w:tcW w:type="dxa" w:w="1500"/>
            <w:tcMar>
              <w:top w:w="70" w:type="dxa"/>
              <w:start w:w="90" w:type="dxa"/>
              <w:bottom w:w="70" w:type="dxa"/>
              <w:end w:w="90" w:type="dxa"/>
            </w:tcMar>
            <w:shd w:fill="F1EFE5"/>
            <w:vAlign w:val="center"/>
          </w:tcPr>
          <w:p>
            <w:pPr>
              <w:spacing w:after="0"/>
            </w:pPr>
            <w:r>
              <w:rPr>
                <w:rFonts w:ascii="Arial" w:hAnsi="Arial"/>
                <w:color w:val="1B1B1C"/>
                <w:sz w:val="13"/>
              </w:rPr>
              <w:t>Recommendation</w:t>
            </w:r>
          </w:p>
        </w:tc>
        <w:tc>
          <w:tcPr>
            <w:tcW w:type="dxa" w:w="2800"/>
            <w:tcMar>
              <w:top w:w="70" w:type="dxa"/>
              <w:start w:w="90" w:type="dxa"/>
              <w:bottom w:w="70" w:type="dxa"/>
              <w:end w:w="90" w:type="dxa"/>
            </w:tcMar>
            <w:shd w:fill="F1EFE5"/>
            <w:vAlign w:val="center"/>
          </w:tcPr>
          <w:p>
            <w:pPr>
              <w:spacing w:after="0"/>
            </w:pPr>
            <w:r>
              <w:rPr>
                <w:rFonts w:ascii="Arial" w:hAnsi="Arial"/>
                <w:color w:val="1B1B1C"/>
                <w:sz w:val="13"/>
              </w:rPr>
              <w:t>Permissions, prohibitions, duties and data-use policy</w:t>
            </w:r>
          </w:p>
        </w:tc>
      </w:tr>
      <w:tr>
        <w:trPr>
          <w:cantSplit/>
        </w:trPr>
        <w:tc>
          <w:tcPr>
            <w:tcW w:type="dxa" w:w="500"/>
            <w:tcMar>
              <w:top w:w="70" w:type="dxa"/>
              <w:start w:w="90" w:type="dxa"/>
              <w:bottom w:w="70" w:type="dxa"/>
              <w:end w:w="90" w:type="dxa"/>
            </w:tcMar>
            <w:vAlign w:val="center"/>
          </w:tcPr>
          <w:p>
            <w:pPr>
              <w:spacing w:after="0"/>
            </w:pPr>
            <w:r>
              <w:rPr>
                <w:rFonts w:ascii="Arial" w:hAnsi="Arial"/>
                <w:b/>
                <w:color w:val="0E2530"/>
                <w:sz w:val="13"/>
              </w:rPr>
              <w:t>W09</w:t>
            </w:r>
          </w:p>
        </w:tc>
        <w:tc>
          <w:tcPr>
            <w:tcW w:type="dxa" w:w="1200"/>
            <w:tcMar>
              <w:top w:w="70" w:type="dxa"/>
              <w:start w:w="90" w:type="dxa"/>
              <w:bottom w:w="70" w:type="dxa"/>
              <w:end w:w="90" w:type="dxa"/>
            </w:tcMar>
            <w:vAlign w:val="center"/>
          </w:tcPr>
          <w:p>
            <w:pPr>
              <w:spacing w:after="0"/>
            </w:pPr>
            <w:r>
              <w:rPr>
                <w:rFonts w:ascii="Arial" w:hAnsi="Arial"/>
                <w:color w:val="1B1B1C"/>
                <w:sz w:val="13"/>
              </w:rPr>
              <w:t>W3C</w:t>
            </w:r>
          </w:p>
        </w:tc>
        <w:tc>
          <w:tcPr>
            <w:tcW w:type="dxa" w:w="3600"/>
            <w:tcMar>
              <w:top w:w="70" w:type="dxa"/>
              <w:start w:w="90" w:type="dxa"/>
              <w:bottom w:w="70" w:type="dxa"/>
              <w:end w:w="90" w:type="dxa"/>
            </w:tcMar>
            <w:vAlign w:val="center"/>
          </w:tcPr>
          <w:p>
            <w:pPr>
              <w:spacing w:after="0"/>
            </w:pPr>
            <w:r>
              <w:rPr>
                <w:rFonts w:ascii="Arial" w:hAnsi="Arial"/>
                <w:color w:val="1B1B1C"/>
                <w:sz w:val="13"/>
              </w:rPr>
              <w:t>Verifiable Credential Data Integrity 1.0</w:t>
            </w:r>
          </w:p>
        </w:tc>
        <w:tc>
          <w:tcPr>
            <w:tcW w:type="dxa" w:w="1500"/>
            <w:tcMar>
              <w:top w:w="70" w:type="dxa"/>
              <w:start w:w="90" w:type="dxa"/>
              <w:bottom w:w="70" w:type="dxa"/>
              <w:end w:w="90" w:type="dxa"/>
            </w:tcMar>
            <w:vAlign w:val="center"/>
          </w:tcPr>
          <w:p>
            <w:pPr>
              <w:spacing w:after="0"/>
            </w:pPr>
            <w:r>
              <w:rPr>
                <w:rFonts w:ascii="Arial" w:hAnsi="Arial"/>
                <w:color w:val="1B1B1C"/>
                <w:sz w:val="13"/>
              </w:rPr>
              <w:t>Recommendation</w:t>
            </w:r>
          </w:p>
        </w:tc>
        <w:tc>
          <w:tcPr>
            <w:tcW w:type="dxa" w:w="2800"/>
            <w:tcMar>
              <w:top w:w="70" w:type="dxa"/>
              <w:start w:w="90" w:type="dxa"/>
              <w:bottom w:w="70" w:type="dxa"/>
              <w:end w:w="90" w:type="dxa"/>
            </w:tcMar>
            <w:vAlign w:val="center"/>
          </w:tcPr>
          <w:p>
            <w:pPr>
              <w:spacing w:after="0"/>
            </w:pPr>
            <w:r>
              <w:rPr>
                <w:rFonts w:ascii="Arial" w:hAnsi="Arial"/>
                <w:color w:val="1B1B1C"/>
                <w:sz w:val="13"/>
              </w:rPr>
              <w:t>Proofs for authenticity and integrity</w:t>
            </w:r>
          </w:p>
        </w:tc>
      </w:tr>
      <w:tr>
        <w:trPr>
          <w:cantSplit/>
        </w:trPr>
        <w:tc>
          <w:tcPr>
            <w:tcW w:type="dxa" w:w="500"/>
            <w:tcMar>
              <w:top w:w="70" w:type="dxa"/>
              <w:start w:w="90" w:type="dxa"/>
              <w:bottom w:w="70" w:type="dxa"/>
              <w:end w:w="90" w:type="dxa"/>
            </w:tcMar>
            <w:shd w:fill="F1EFE5"/>
            <w:vAlign w:val="center"/>
          </w:tcPr>
          <w:p>
            <w:pPr>
              <w:spacing w:after="0"/>
            </w:pPr>
            <w:r>
              <w:rPr>
                <w:rFonts w:ascii="Arial" w:hAnsi="Arial"/>
                <w:b/>
                <w:color w:val="0E2530"/>
                <w:sz w:val="13"/>
              </w:rPr>
              <w:t>W10</w:t>
            </w:r>
          </w:p>
        </w:tc>
        <w:tc>
          <w:tcPr>
            <w:tcW w:type="dxa" w:w="1200"/>
            <w:tcMar>
              <w:top w:w="70" w:type="dxa"/>
              <w:start w:w="90" w:type="dxa"/>
              <w:bottom w:w="70" w:type="dxa"/>
              <w:end w:w="90" w:type="dxa"/>
            </w:tcMar>
            <w:shd w:fill="F1EFE5"/>
            <w:vAlign w:val="center"/>
          </w:tcPr>
          <w:p>
            <w:pPr>
              <w:spacing w:after="0"/>
            </w:pPr>
            <w:r>
              <w:rPr>
                <w:rFonts w:ascii="Arial" w:hAnsi="Arial"/>
                <w:color w:val="1B1B1C"/>
                <w:sz w:val="13"/>
              </w:rPr>
              <w:t>W3C</w:t>
            </w:r>
          </w:p>
        </w:tc>
        <w:tc>
          <w:tcPr>
            <w:tcW w:type="dxa" w:w="3600"/>
            <w:tcMar>
              <w:top w:w="70" w:type="dxa"/>
              <w:start w:w="90" w:type="dxa"/>
              <w:bottom w:w="70" w:type="dxa"/>
              <w:end w:w="90" w:type="dxa"/>
            </w:tcMar>
            <w:shd w:fill="F1EFE5"/>
            <w:vAlign w:val="center"/>
          </w:tcPr>
          <w:p>
            <w:pPr>
              <w:spacing w:after="0"/>
            </w:pPr>
            <w:r>
              <w:rPr>
                <w:rFonts w:ascii="Arial" w:hAnsi="Arial"/>
                <w:color w:val="1B1B1C"/>
                <w:sz w:val="13"/>
              </w:rPr>
              <w:t>RDF 1.1 Concepts and Abstract Syntax</w:t>
            </w:r>
          </w:p>
        </w:tc>
        <w:tc>
          <w:tcPr>
            <w:tcW w:type="dxa" w:w="1500"/>
            <w:tcMar>
              <w:top w:w="70" w:type="dxa"/>
              <w:start w:w="90" w:type="dxa"/>
              <w:bottom w:w="70" w:type="dxa"/>
              <w:end w:w="90" w:type="dxa"/>
            </w:tcMar>
            <w:shd w:fill="F1EFE5"/>
            <w:vAlign w:val="center"/>
          </w:tcPr>
          <w:p>
            <w:pPr>
              <w:spacing w:after="0"/>
            </w:pPr>
            <w:r>
              <w:rPr>
                <w:rFonts w:ascii="Arial" w:hAnsi="Arial"/>
                <w:color w:val="1B1B1C"/>
                <w:sz w:val="13"/>
              </w:rPr>
              <w:t>Recommendation</w:t>
            </w:r>
          </w:p>
        </w:tc>
        <w:tc>
          <w:tcPr>
            <w:tcW w:type="dxa" w:w="2800"/>
            <w:tcMar>
              <w:top w:w="70" w:type="dxa"/>
              <w:start w:w="90" w:type="dxa"/>
              <w:bottom w:w="70" w:type="dxa"/>
              <w:end w:w="90" w:type="dxa"/>
            </w:tcMar>
            <w:shd w:fill="F1EFE5"/>
            <w:vAlign w:val="center"/>
          </w:tcPr>
          <w:p>
            <w:pPr>
              <w:spacing w:after="0"/>
            </w:pPr>
            <w:r>
              <w:rPr>
                <w:rFonts w:ascii="Arial" w:hAnsi="Arial"/>
                <w:color w:val="1B1B1C"/>
                <w:sz w:val="13"/>
              </w:rPr>
              <w:t>Graph data model and identifiers</w:t>
            </w:r>
          </w:p>
        </w:tc>
      </w:tr>
      <w:tr>
        <w:trPr>
          <w:cantSplit/>
        </w:trPr>
        <w:tc>
          <w:tcPr>
            <w:tcW w:type="dxa" w:w="500"/>
            <w:tcMar>
              <w:top w:w="70" w:type="dxa"/>
              <w:start w:w="90" w:type="dxa"/>
              <w:bottom w:w="70" w:type="dxa"/>
              <w:end w:w="90" w:type="dxa"/>
            </w:tcMar>
            <w:vAlign w:val="center"/>
          </w:tcPr>
          <w:p>
            <w:pPr>
              <w:spacing w:after="0"/>
            </w:pPr>
            <w:r>
              <w:rPr>
                <w:rFonts w:ascii="Arial" w:hAnsi="Arial"/>
                <w:b/>
                <w:color w:val="0E2530"/>
                <w:sz w:val="13"/>
              </w:rPr>
              <w:t>W11</w:t>
            </w:r>
          </w:p>
        </w:tc>
        <w:tc>
          <w:tcPr>
            <w:tcW w:type="dxa" w:w="1200"/>
            <w:tcMar>
              <w:top w:w="70" w:type="dxa"/>
              <w:start w:w="90" w:type="dxa"/>
              <w:bottom w:w="70" w:type="dxa"/>
              <w:end w:w="90" w:type="dxa"/>
            </w:tcMar>
            <w:vAlign w:val="center"/>
          </w:tcPr>
          <w:p>
            <w:pPr>
              <w:spacing w:after="0"/>
            </w:pPr>
            <w:r>
              <w:rPr>
                <w:rFonts w:ascii="Arial" w:hAnsi="Arial"/>
                <w:color w:val="1B1B1C"/>
                <w:sz w:val="13"/>
              </w:rPr>
              <w:t>W3C</w:t>
            </w:r>
          </w:p>
        </w:tc>
        <w:tc>
          <w:tcPr>
            <w:tcW w:type="dxa" w:w="3600"/>
            <w:tcMar>
              <w:top w:w="70" w:type="dxa"/>
              <w:start w:w="90" w:type="dxa"/>
              <w:bottom w:w="70" w:type="dxa"/>
              <w:end w:w="90" w:type="dxa"/>
            </w:tcMar>
            <w:vAlign w:val="center"/>
          </w:tcPr>
          <w:p>
            <w:pPr>
              <w:spacing w:after="0"/>
            </w:pPr>
            <w:r>
              <w:rPr>
                <w:rFonts w:ascii="Arial" w:hAnsi="Arial"/>
                <w:color w:val="1B1B1C"/>
                <w:sz w:val="13"/>
              </w:rPr>
              <w:t>SKOS Simple Knowledge Organization System</w:t>
            </w:r>
          </w:p>
        </w:tc>
        <w:tc>
          <w:tcPr>
            <w:tcW w:type="dxa" w:w="1500"/>
            <w:tcMar>
              <w:top w:w="70" w:type="dxa"/>
              <w:start w:w="90" w:type="dxa"/>
              <w:bottom w:w="70" w:type="dxa"/>
              <w:end w:w="90" w:type="dxa"/>
            </w:tcMar>
            <w:vAlign w:val="center"/>
          </w:tcPr>
          <w:p>
            <w:pPr>
              <w:spacing w:after="0"/>
            </w:pPr>
            <w:r>
              <w:rPr>
                <w:rFonts w:ascii="Arial" w:hAnsi="Arial"/>
                <w:color w:val="1B1B1C"/>
                <w:sz w:val="13"/>
              </w:rPr>
              <w:t>Recommendation</w:t>
            </w:r>
          </w:p>
        </w:tc>
        <w:tc>
          <w:tcPr>
            <w:tcW w:type="dxa" w:w="2800"/>
            <w:tcMar>
              <w:top w:w="70" w:type="dxa"/>
              <w:start w:w="90" w:type="dxa"/>
              <w:bottom w:w="70" w:type="dxa"/>
              <w:end w:w="90" w:type="dxa"/>
            </w:tcMar>
            <w:vAlign w:val="center"/>
          </w:tcPr>
          <w:p>
            <w:pPr>
              <w:spacing w:after="0"/>
            </w:pPr>
            <w:r>
              <w:rPr>
                <w:rFonts w:ascii="Arial" w:hAnsi="Arial"/>
                <w:color w:val="1B1B1C"/>
                <w:sz w:val="13"/>
              </w:rPr>
              <w:t>Controlled vocabularies and concept schemes</w:t>
            </w:r>
          </w:p>
        </w:tc>
      </w:tr>
      <w:tr>
        <w:trPr>
          <w:cantSplit/>
        </w:trPr>
        <w:tc>
          <w:tcPr>
            <w:tcW w:type="dxa" w:w="500"/>
            <w:tcMar>
              <w:top w:w="70" w:type="dxa"/>
              <w:start w:w="90" w:type="dxa"/>
              <w:bottom w:w="70" w:type="dxa"/>
              <w:end w:w="90" w:type="dxa"/>
            </w:tcMar>
            <w:shd w:fill="F1EFE5"/>
            <w:vAlign w:val="center"/>
          </w:tcPr>
          <w:p>
            <w:pPr>
              <w:spacing w:after="0"/>
            </w:pPr>
            <w:r>
              <w:rPr>
                <w:rFonts w:ascii="Arial" w:hAnsi="Arial"/>
                <w:b/>
                <w:color w:val="0E2530"/>
                <w:sz w:val="13"/>
              </w:rPr>
              <w:t>N01</w:t>
            </w:r>
          </w:p>
        </w:tc>
        <w:tc>
          <w:tcPr>
            <w:tcW w:type="dxa" w:w="1200"/>
            <w:tcMar>
              <w:top w:w="70" w:type="dxa"/>
              <w:start w:w="90" w:type="dxa"/>
              <w:bottom w:w="70" w:type="dxa"/>
              <w:end w:w="90" w:type="dxa"/>
            </w:tcMar>
            <w:shd w:fill="F1EFE5"/>
            <w:vAlign w:val="center"/>
          </w:tcPr>
          <w:p>
            <w:pPr>
              <w:spacing w:after="0"/>
            </w:pPr>
            <w:r>
              <w:rPr>
                <w:rFonts w:ascii="Arial" w:hAnsi="Arial"/>
                <w:color w:val="1B1B1C"/>
                <w:sz w:val="13"/>
              </w:rPr>
              <w:t>NIST</w:t>
            </w:r>
          </w:p>
        </w:tc>
        <w:tc>
          <w:tcPr>
            <w:tcW w:type="dxa" w:w="3600"/>
            <w:tcMar>
              <w:top w:w="70" w:type="dxa"/>
              <w:start w:w="90" w:type="dxa"/>
              <w:bottom w:w="70" w:type="dxa"/>
              <w:end w:w="90" w:type="dxa"/>
            </w:tcMar>
            <w:shd w:fill="F1EFE5"/>
            <w:vAlign w:val="center"/>
          </w:tcPr>
          <w:p>
            <w:pPr>
              <w:spacing w:after="0"/>
            </w:pPr>
            <w:r>
              <w:rPr>
                <w:rFonts w:ascii="Arial" w:hAnsi="Arial"/>
                <w:color w:val="1B1B1C"/>
                <w:sz w:val="13"/>
              </w:rPr>
              <w:t>AI Risk Management Framework 1.0</w:t>
            </w:r>
          </w:p>
        </w:tc>
        <w:tc>
          <w:tcPr>
            <w:tcW w:type="dxa" w:w="1500"/>
            <w:tcMar>
              <w:top w:w="70" w:type="dxa"/>
              <w:start w:w="90" w:type="dxa"/>
              <w:bottom w:w="70" w:type="dxa"/>
              <w:end w:w="90" w:type="dxa"/>
            </w:tcMar>
            <w:shd w:fill="F1EFE5"/>
            <w:vAlign w:val="center"/>
          </w:tcPr>
          <w:p>
            <w:pPr>
              <w:spacing w:after="0"/>
            </w:pPr>
            <w:r>
              <w:rPr>
                <w:rFonts w:ascii="Arial" w:hAnsi="Arial"/>
                <w:color w:val="1B1B1C"/>
                <w:sz w:val="13"/>
              </w:rPr>
              <w:t>Current baseline; revision underway in 2026</w:t>
            </w:r>
          </w:p>
        </w:tc>
        <w:tc>
          <w:tcPr>
            <w:tcW w:type="dxa" w:w="2800"/>
            <w:tcMar>
              <w:top w:w="70" w:type="dxa"/>
              <w:start w:w="90" w:type="dxa"/>
              <w:bottom w:w="70" w:type="dxa"/>
              <w:end w:w="90" w:type="dxa"/>
            </w:tcMar>
            <w:shd w:fill="F1EFE5"/>
            <w:vAlign w:val="center"/>
          </w:tcPr>
          <w:p>
            <w:pPr>
              <w:spacing w:after="0"/>
            </w:pPr>
            <w:r>
              <w:rPr>
                <w:rFonts w:ascii="Arial" w:hAnsi="Arial"/>
                <w:color w:val="1B1B1C"/>
                <w:sz w:val="13"/>
              </w:rPr>
              <w:t>Govern, Map, Measure and Manage AI risk</w:t>
            </w:r>
          </w:p>
        </w:tc>
      </w:tr>
      <w:tr>
        <w:trPr>
          <w:cantSplit/>
        </w:trPr>
        <w:tc>
          <w:tcPr>
            <w:tcW w:type="dxa" w:w="500"/>
            <w:tcMar>
              <w:top w:w="70" w:type="dxa"/>
              <w:start w:w="90" w:type="dxa"/>
              <w:bottom w:w="70" w:type="dxa"/>
              <w:end w:w="90" w:type="dxa"/>
            </w:tcMar>
            <w:vAlign w:val="center"/>
          </w:tcPr>
          <w:p>
            <w:pPr>
              <w:spacing w:after="0"/>
            </w:pPr>
            <w:r>
              <w:rPr>
                <w:rFonts w:ascii="Arial" w:hAnsi="Arial"/>
                <w:b/>
                <w:color w:val="0E2530"/>
                <w:sz w:val="13"/>
              </w:rPr>
              <w:t>N02</w:t>
            </w:r>
          </w:p>
        </w:tc>
        <w:tc>
          <w:tcPr>
            <w:tcW w:type="dxa" w:w="1200"/>
            <w:tcMar>
              <w:top w:w="70" w:type="dxa"/>
              <w:start w:w="90" w:type="dxa"/>
              <w:bottom w:w="70" w:type="dxa"/>
              <w:end w:w="90" w:type="dxa"/>
            </w:tcMar>
            <w:vAlign w:val="center"/>
          </w:tcPr>
          <w:p>
            <w:pPr>
              <w:spacing w:after="0"/>
            </w:pPr>
            <w:r>
              <w:rPr>
                <w:rFonts w:ascii="Arial" w:hAnsi="Arial"/>
                <w:color w:val="1B1B1C"/>
                <w:sz w:val="13"/>
              </w:rPr>
              <w:t>NIST</w:t>
            </w:r>
          </w:p>
        </w:tc>
        <w:tc>
          <w:tcPr>
            <w:tcW w:type="dxa" w:w="3600"/>
            <w:tcMar>
              <w:top w:w="70" w:type="dxa"/>
              <w:start w:w="90" w:type="dxa"/>
              <w:bottom w:w="70" w:type="dxa"/>
              <w:end w:w="90" w:type="dxa"/>
            </w:tcMar>
            <w:vAlign w:val="center"/>
          </w:tcPr>
          <w:p>
            <w:pPr>
              <w:spacing w:after="0"/>
            </w:pPr>
            <w:r>
              <w:rPr>
                <w:rFonts w:ascii="Arial" w:hAnsi="Arial"/>
                <w:color w:val="1B1B1C"/>
                <w:sz w:val="13"/>
              </w:rPr>
              <w:t>Research Data Framework (RDaF), SP 1500-18r2</w:t>
            </w:r>
          </w:p>
        </w:tc>
        <w:tc>
          <w:tcPr>
            <w:tcW w:type="dxa" w:w="1500"/>
            <w:tcMar>
              <w:top w:w="70" w:type="dxa"/>
              <w:start w:w="90" w:type="dxa"/>
              <w:bottom w:w="70" w:type="dxa"/>
              <w:end w:w="90" w:type="dxa"/>
            </w:tcMar>
            <w:vAlign w:val="center"/>
          </w:tcPr>
          <w:p>
            <w:pPr>
              <w:spacing w:after="0"/>
            </w:pPr>
            <w:r>
              <w:rPr>
                <w:rFonts w:ascii="Arial" w:hAnsi="Arial"/>
                <w:color w:val="1B1B1C"/>
                <w:sz w:val="13"/>
              </w:rPr>
              <w:t>Final</w:t>
            </w:r>
          </w:p>
        </w:tc>
        <w:tc>
          <w:tcPr>
            <w:tcW w:type="dxa" w:w="2800"/>
            <w:tcMar>
              <w:top w:w="70" w:type="dxa"/>
              <w:start w:w="90" w:type="dxa"/>
              <w:bottom w:w="70" w:type="dxa"/>
              <w:end w:w="90" w:type="dxa"/>
            </w:tcMar>
            <w:vAlign w:val="center"/>
          </w:tcPr>
          <w:p>
            <w:pPr>
              <w:spacing w:after="0"/>
            </w:pPr>
            <w:r>
              <w:rPr>
                <w:rFonts w:ascii="Arial" w:hAnsi="Arial"/>
                <w:color w:val="1B1B1C"/>
                <w:sz w:val="13"/>
              </w:rPr>
              <w:t>Research data lifecycle, provenance, integrity and reproducibility</w:t>
            </w:r>
          </w:p>
        </w:tc>
      </w:tr>
      <w:tr>
        <w:trPr>
          <w:cantSplit/>
        </w:trPr>
        <w:tc>
          <w:tcPr>
            <w:tcW w:type="dxa" w:w="500"/>
            <w:tcMar>
              <w:top w:w="70" w:type="dxa"/>
              <w:start w:w="90" w:type="dxa"/>
              <w:bottom w:w="70" w:type="dxa"/>
              <w:end w:w="90" w:type="dxa"/>
            </w:tcMar>
            <w:shd w:fill="F1EFE5"/>
            <w:vAlign w:val="center"/>
          </w:tcPr>
          <w:p>
            <w:pPr>
              <w:spacing w:after="0"/>
            </w:pPr>
            <w:r>
              <w:rPr>
                <w:rFonts w:ascii="Arial" w:hAnsi="Arial"/>
                <w:b/>
                <w:color w:val="0E2530"/>
                <w:sz w:val="13"/>
              </w:rPr>
              <w:t>N03</w:t>
            </w:r>
          </w:p>
        </w:tc>
        <w:tc>
          <w:tcPr>
            <w:tcW w:type="dxa" w:w="1200"/>
            <w:tcMar>
              <w:top w:w="70" w:type="dxa"/>
              <w:start w:w="90" w:type="dxa"/>
              <w:bottom w:w="70" w:type="dxa"/>
              <w:end w:w="90" w:type="dxa"/>
            </w:tcMar>
            <w:shd w:fill="F1EFE5"/>
            <w:vAlign w:val="center"/>
          </w:tcPr>
          <w:p>
            <w:pPr>
              <w:spacing w:after="0"/>
            </w:pPr>
            <w:r>
              <w:rPr>
                <w:rFonts w:ascii="Arial" w:hAnsi="Arial"/>
                <w:color w:val="1B1B1C"/>
                <w:sz w:val="13"/>
              </w:rPr>
              <w:t>NIST</w:t>
            </w:r>
          </w:p>
        </w:tc>
        <w:tc>
          <w:tcPr>
            <w:tcW w:type="dxa" w:w="3600"/>
            <w:tcMar>
              <w:top w:w="70" w:type="dxa"/>
              <w:start w:w="90" w:type="dxa"/>
              <w:bottom w:w="70" w:type="dxa"/>
              <w:end w:w="90" w:type="dxa"/>
            </w:tcMar>
            <w:shd w:fill="F1EFE5"/>
            <w:vAlign w:val="center"/>
          </w:tcPr>
          <w:p>
            <w:pPr>
              <w:spacing w:after="0"/>
            </w:pPr>
            <w:r>
              <w:rPr>
                <w:rFonts w:ascii="Arial" w:hAnsi="Arial"/>
                <w:color w:val="1B1B1C"/>
                <w:sz w:val="13"/>
              </w:rPr>
              <w:t>CSRC glossary: provenance</w:t>
            </w:r>
          </w:p>
        </w:tc>
        <w:tc>
          <w:tcPr>
            <w:tcW w:type="dxa" w:w="1500"/>
            <w:tcMar>
              <w:top w:w="70" w:type="dxa"/>
              <w:start w:w="90" w:type="dxa"/>
              <w:bottom w:w="70" w:type="dxa"/>
              <w:end w:w="90" w:type="dxa"/>
            </w:tcMar>
            <w:shd w:fill="F1EFE5"/>
            <w:vAlign w:val="center"/>
          </w:tcPr>
          <w:p>
            <w:pPr>
              <w:spacing w:after="0"/>
            </w:pPr>
            <w:r>
              <w:rPr>
                <w:rFonts w:ascii="Arial" w:hAnsi="Arial"/>
                <w:color w:val="1B1B1C"/>
                <w:sz w:val="13"/>
              </w:rPr>
              <w:t>Current glossary entry</w:t>
            </w:r>
          </w:p>
        </w:tc>
        <w:tc>
          <w:tcPr>
            <w:tcW w:type="dxa" w:w="2800"/>
            <w:tcMar>
              <w:top w:w="70" w:type="dxa"/>
              <w:start w:w="90" w:type="dxa"/>
              <w:bottom w:w="70" w:type="dxa"/>
              <w:end w:w="90" w:type="dxa"/>
            </w:tcMar>
            <w:shd w:fill="F1EFE5"/>
            <w:vAlign w:val="center"/>
          </w:tcPr>
          <w:p>
            <w:pPr>
              <w:spacing w:after="0"/>
            </w:pPr>
            <w:r>
              <w:rPr>
                <w:rFonts w:ascii="Arial" w:hAnsi="Arial"/>
                <w:color w:val="1B1B1C"/>
                <w:sz w:val="13"/>
              </w:rPr>
              <w:t>Origin, development, ownership, location and changes</w:t>
            </w:r>
          </w:p>
        </w:tc>
      </w:tr>
      <w:tr>
        <w:trPr>
          <w:cantSplit/>
        </w:trPr>
        <w:tc>
          <w:tcPr>
            <w:tcW w:type="dxa" w:w="500"/>
            <w:tcMar>
              <w:top w:w="70" w:type="dxa"/>
              <w:start w:w="90" w:type="dxa"/>
              <w:bottom w:w="70" w:type="dxa"/>
              <w:end w:w="90" w:type="dxa"/>
            </w:tcMar>
            <w:vAlign w:val="center"/>
          </w:tcPr>
          <w:p>
            <w:pPr>
              <w:spacing w:after="0"/>
            </w:pPr>
            <w:r>
              <w:rPr>
                <w:rFonts w:ascii="Arial" w:hAnsi="Arial"/>
                <w:b/>
                <w:color w:val="0E2530"/>
                <w:sz w:val="13"/>
              </w:rPr>
              <w:t>N04</w:t>
            </w:r>
          </w:p>
        </w:tc>
        <w:tc>
          <w:tcPr>
            <w:tcW w:type="dxa" w:w="1200"/>
            <w:tcMar>
              <w:top w:w="70" w:type="dxa"/>
              <w:start w:w="90" w:type="dxa"/>
              <w:bottom w:w="70" w:type="dxa"/>
              <w:end w:w="90" w:type="dxa"/>
            </w:tcMar>
            <w:vAlign w:val="center"/>
          </w:tcPr>
          <w:p>
            <w:pPr>
              <w:spacing w:after="0"/>
            </w:pPr>
            <w:r>
              <w:rPr>
                <w:rFonts w:ascii="Arial" w:hAnsi="Arial"/>
                <w:color w:val="1B1B1C"/>
                <w:sz w:val="13"/>
              </w:rPr>
              <w:t>NIST</w:t>
            </w:r>
          </w:p>
        </w:tc>
        <w:tc>
          <w:tcPr>
            <w:tcW w:type="dxa" w:w="3600"/>
            <w:tcMar>
              <w:top w:w="70" w:type="dxa"/>
              <w:start w:w="90" w:type="dxa"/>
              <w:bottom w:w="70" w:type="dxa"/>
              <w:end w:w="90" w:type="dxa"/>
            </w:tcMar>
            <w:vAlign w:val="center"/>
          </w:tcPr>
          <w:p>
            <w:pPr>
              <w:spacing w:after="0"/>
            </w:pPr>
            <w:r>
              <w:rPr>
                <w:rFonts w:ascii="Arial" w:hAnsi="Arial"/>
                <w:color w:val="1B1B1C"/>
                <w:sz w:val="13"/>
              </w:rPr>
              <w:t>SP 800-53 Rev. 5, Release 5.2.0</w:t>
            </w:r>
          </w:p>
        </w:tc>
        <w:tc>
          <w:tcPr>
            <w:tcW w:type="dxa" w:w="1500"/>
            <w:tcMar>
              <w:top w:w="70" w:type="dxa"/>
              <w:start w:w="90" w:type="dxa"/>
              <w:bottom w:w="70" w:type="dxa"/>
              <w:end w:w="90" w:type="dxa"/>
            </w:tcMar>
            <w:vAlign w:val="center"/>
          </w:tcPr>
          <w:p>
            <w:pPr>
              <w:spacing w:after="0"/>
            </w:pPr>
            <w:r>
              <w:rPr>
                <w:rFonts w:ascii="Arial" w:hAnsi="Arial"/>
                <w:color w:val="1B1B1C"/>
                <w:sz w:val="13"/>
              </w:rPr>
              <w:t>Final; August 2025 release</w:t>
            </w:r>
          </w:p>
        </w:tc>
        <w:tc>
          <w:tcPr>
            <w:tcW w:type="dxa" w:w="2800"/>
            <w:tcMar>
              <w:top w:w="70" w:type="dxa"/>
              <w:start w:w="90" w:type="dxa"/>
              <w:bottom w:w="70" w:type="dxa"/>
              <w:end w:w="90" w:type="dxa"/>
            </w:tcMar>
            <w:vAlign w:val="center"/>
          </w:tcPr>
          <w:p>
            <w:pPr>
              <w:spacing w:after="0"/>
            </w:pPr>
            <w:r>
              <w:rPr>
                <w:rFonts w:ascii="Arial" w:hAnsi="Arial"/>
                <w:color w:val="1B1B1C"/>
                <w:sz w:val="13"/>
              </w:rPr>
              <w:t>Audit, configuration, integrity, privacy and supply-chain controls</w:t>
            </w:r>
          </w:p>
        </w:tc>
      </w:tr>
      <w:tr>
        <w:trPr>
          <w:cantSplit/>
        </w:trPr>
        <w:tc>
          <w:tcPr>
            <w:tcW w:type="dxa" w:w="500"/>
            <w:tcMar>
              <w:top w:w="70" w:type="dxa"/>
              <w:start w:w="90" w:type="dxa"/>
              <w:bottom w:w="70" w:type="dxa"/>
              <w:end w:w="90" w:type="dxa"/>
            </w:tcMar>
            <w:shd w:fill="F1EFE5"/>
            <w:vAlign w:val="center"/>
          </w:tcPr>
          <w:p>
            <w:pPr>
              <w:spacing w:after="0"/>
            </w:pPr>
            <w:r>
              <w:rPr>
                <w:rFonts w:ascii="Arial" w:hAnsi="Arial"/>
                <w:b/>
                <w:color w:val="0E2530"/>
                <w:sz w:val="13"/>
              </w:rPr>
              <w:t>N05</w:t>
            </w:r>
          </w:p>
        </w:tc>
        <w:tc>
          <w:tcPr>
            <w:tcW w:type="dxa" w:w="1200"/>
            <w:tcMar>
              <w:top w:w="70" w:type="dxa"/>
              <w:start w:w="90" w:type="dxa"/>
              <w:bottom w:w="70" w:type="dxa"/>
              <w:end w:w="90" w:type="dxa"/>
            </w:tcMar>
            <w:shd w:fill="F1EFE5"/>
            <w:vAlign w:val="center"/>
          </w:tcPr>
          <w:p>
            <w:pPr>
              <w:spacing w:after="0"/>
            </w:pPr>
            <w:r>
              <w:rPr>
                <w:rFonts w:ascii="Arial" w:hAnsi="Arial"/>
                <w:color w:val="1B1B1C"/>
                <w:sz w:val="13"/>
              </w:rPr>
              <w:t>NIST</w:t>
            </w:r>
          </w:p>
        </w:tc>
        <w:tc>
          <w:tcPr>
            <w:tcW w:type="dxa" w:w="3600"/>
            <w:tcMar>
              <w:top w:w="70" w:type="dxa"/>
              <w:start w:w="90" w:type="dxa"/>
              <w:bottom w:w="70" w:type="dxa"/>
              <w:end w:w="90" w:type="dxa"/>
            </w:tcMar>
            <w:shd w:fill="F1EFE5"/>
            <w:vAlign w:val="center"/>
          </w:tcPr>
          <w:p>
            <w:pPr>
              <w:spacing w:after="0"/>
            </w:pPr>
            <w:r>
              <w:rPr>
                <w:rFonts w:ascii="Arial" w:hAnsi="Arial"/>
                <w:color w:val="1B1B1C"/>
                <w:sz w:val="13"/>
              </w:rPr>
              <w:t>SP 800-53A Rev. 5</w:t>
            </w:r>
          </w:p>
        </w:tc>
        <w:tc>
          <w:tcPr>
            <w:tcW w:type="dxa" w:w="1500"/>
            <w:tcMar>
              <w:top w:w="70" w:type="dxa"/>
              <w:start w:w="90" w:type="dxa"/>
              <w:bottom w:w="70" w:type="dxa"/>
              <w:end w:w="90" w:type="dxa"/>
            </w:tcMar>
            <w:shd w:fill="F1EFE5"/>
            <w:vAlign w:val="center"/>
          </w:tcPr>
          <w:p>
            <w:pPr>
              <w:spacing w:after="0"/>
            </w:pPr>
            <w:r>
              <w:rPr>
                <w:rFonts w:ascii="Arial" w:hAnsi="Arial"/>
                <w:color w:val="1B1B1C"/>
                <w:sz w:val="13"/>
              </w:rPr>
              <w:t>Final</w:t>
            </w:r>
          </w:p>
        </w:tc>
        <w:tc>
          <w:tcPr>
            <w:tcW w:type="dxa" w:w="2800"/>
            <w:tcMar>
              <w:top w:w="70" w:type="dxa"/>
              <w:start w:w="90" w:type="dxa"/>
              <w:bottom w:w="70" w:type="dxa"/>
              <w:end w:w="90" w:type="dxa"/>
            </w:tcMar>
            <w:shd w:fill="F1EFE5"/>
            <w:vAlign w:val="center"/>
          </w:tcPr>
          <w:p>
            <w:pPr>
              <w:spacing w:after="0"/>
            </w:pPr>
            <w:r>
              <w:rPr>
                <w:rFonts w:ascii="Arial" w:hAnsi="Arial"/>
                <w:color w:val="1B1B1C"/>
                <w:sz w:val="13"/>
              </w:rPr>
              <w:t>Test methods and evidence for SP 800-53 controls</w:t>
            </w:r>
          </w:p>
        </w:tc>
      </w:tr>
      <w:tr>
        <w:trPr>
          <w:cantSplit/>
        </w:trPr>
        <w:tc>
          <w:tcPr>
            <w:tcW w:type="dxa" w:w="500"/>
            <w:tcMar>
              <w:top w:w="70" w:type="dxa"/>
              <w:start w:w="90" w:type="dxa"/>
              <w:bottom w:w="70" w:type="dxa"/>
              <w:end w:w="90" w:type="dxa"/>
            </w:tcMar>
            <w:vAlign w:val="center"/>
          </w:tcPr>
          <w:p>
            <w:pPr>
              <w:spacing w:after="0"/>
            </w:pPr>
            <w:r>
              <w:rPr>
                <w:rFonts w:ascii="Arial" w:hAnsi="Arial"/>
                <w:b/>
                <w:color w:val="0E2530"/>
                <w:sz w:val="13"/>
              </w:rPr>
              <w:t>N06</w:t>
            </w:r>
          </w:p>
        </w:tc>
        <w:tc>
          <w:tcPr>
            <w:tcW w:type="dxa" w:w="1200"/>
            <w:tcMar>
              <w:top w:w="70" w:type="dxa"/>
              <w:start w:w="90" w:type="dxa"/>
              <w:bottom w:w="70" w:type="dxa"/>
              <w:end w:w="90" w:type="dxa"/>
            </w:tcMar>
            <w:vAlign w:val="center"/>
          </w:tcPr>
          <w:p>
            <w:pPr>
              <w:spacing w:after="0"/>
            </w:pPr>
            <w:r>
              <w:rPr>
                <w:rFonts w:ascii="Arial" w:hAnsi="Arial"/>
                <w:color w:val="1B1B1C"/>
                <w:sz w:val="13"/>
              </w:rPr>
              <w:t>NIST</w:t>
            </w:r>
          </w:p>
        </w:tc>
        <w:tc>
          <w:tcPr>
            <w:tcW w:type="dxa" w:w="3600"/>
            <w:tcMar>
              <w:top w:w="70" w:type="dxa"/>
              <w:start w:w="90" w:type="dxa"/>
              <w:bottom w:w="70" w:type="dxa"/>
              <w:end w:w="90" w:type="dxa"/>
            </w:tcMar>
            <w:vAlign w:val="center"/>
          </w:tcPr>
          <w:p>
            <w:pPr>
              <w:spacing w:after="0"/>
            </w:pPr>
            <w:r>
              <w:rPr>
                <w:rFonts w:ascii="Arial" w:hAnsi="Arial"/>
                <w:color w:val="1B1B1C"/>
                <w:sz w:val="13"/>
              </w:rPr>
              <w:t>Cybersecurity Framework 2.0</w:t>
            </w:r>
          </w:p>
        </w:tc>
        <w:tc>
          <w:tcPr>
            <w:tcW w:type="dxa" w:w="1500"/>
            <w:tcMar>
              <w:top w:w="70" w:type="dxa"/>
              <w:start w:w="90" w:type="dxa"/>
              <w:bottom w:w="70" w:type="dxa"/>
              <w:end w:w="90" w:type="dxa"/>
            </w:tcMar>
            <w:vAlign w:val="center"/>
          </w:tcPr>
          <w:p>
            <w:pPr>
              <w:spacing w:after="0"/>
            </w:pPr>
            <w:r>
              <w:rPr>
                <w:rFonts w:ascii="Arial" w:hAnsi="Arial"/>
                <w:color w:val="1B1B1C"/>
                <w:sz w:val="13"/>
              </w:rPr>
              <w:t>Final</w:t>
            </w:r>
          </w:p>
        </w:tc>
        <w:tc>
          <w:tcPr>
            <w:tcW w:type="dxa" w:w="2800"/>
            <w:tcMar>
              <w:top w:w="70" w:type="dxa"/>
              <w:start w:w="90" w:type="dxa"/>
              <w:bottom w:w="70" w:type="dxa"/>
              <w:end w:w="90" w:type="dxa"/>
            </w:tcMar>
            <w:vAlign w:val="center"/>
          </w:tcPr>
          <w:p>
            <w:pPr>
              <w:spacing w:after="0"/>
            </w:pPr>
            <w:r>
              <w:rPr>
                <w:rFonts w:ascii="Arial" w:hAnsi="Arial"/>
                <w:color w:val="1B1B1C"/>
                <w:sz w:val="13"/>
              </w:rPr>
              <w:t>Govern, Identify, Protect, Detect, Respond, Recover</w:t>
            </w:r>
          </w:p>
        </w:tc>
      </w:tr>
      <w:tr>
        <w:trPr>
          <w:cantSplit/>
        </w:trPr>
        <w:tc>
          <w:tcPr>
            <w:tcW w:type="dxa" w:w="500"/>
            <w:tcMar>
              <w:top w:w="70" w:type="dxa"/>
              <w:start w:w="90" w:type="dxa"/>
              <w:bottom w:w="70" w:type="dxa"/>
              <w:end w:w="90" w:type="dxa"/>
            </w:tcMar>
            <w:shd w:fill="F1EFE5"/>
            <w:vAlign w:val="center"/>
          </w:tcPr>
          <w:p>
            <w:pPr>
              <w:spacing w:after="0"/>
            </w:pPr>
            <w:r>
              <w:rPr>
                <w:rFonts w:ascii="Arial" w:hAnsi="Arial"/>
                <w:b/>
                <w:color w:val="0E2530"/>
                <w:sz w:val="13"/>
              </w:rPr>
              <w:t>N07</w:t>
            </w:r>
          </w:p>
        </w:tc>
        <w:tc>
          <w:tcPr>
            <w:tcW w:type="dxa" w:w="1200"/>
            <w:tcMar>
              <w:top w:w="70" w:type="dxa"/>
              <w:start w:w="90" w:type="dxa"/>
              <w:bottom w:w="70" w:type="dxa"/>
              <w:end w:w="90" w:type="dxa"/>
            </w:tcMar>
            <w:shd w:fill="F1EFE5"/>
            <w:vAlign w:val="center"/>
          </w:tcPr>
          <w:p>
            <w:pPr>
              <w:spacing w:after="0"/>
            </w:pPr>
            <w:r>
              <w:rPr>
                <w:rFonts w:ascii="Arial" w:hAnsi="Arial"/>
                <w:color w:val="1B1B1C"/>
                <w:sz w:val="13"/>
              </w:rPr>
              <w:t>NIST</w:t>
            </w:r>
          </w:p>
        </w:tc>
        <w:tc>
          <w:tcPr>
            <w:tcW w:type="dxa" w:w="3600"/>
            <w:tcMar>
              <w:top w:w="70" w:type="dxa"/>
              <w:start w:w="90" w:type="dxa"/>
              <w:bottom w:w="70" w:type="dxa"/>
              <w:end w:w="90" w:type="dxa"/>
            </w:tcMar>
            <w:shd w:fill="F1EFE5"/>
            <w:vAlign w:val="center"/>
          </w:tcPr>
          <w:p>
            <w:pPr>
              <w:spacing w:after="0"/>
            </w:pPr>
            <w:r>
              <w:rPr>
                <w:rFonts w:ascii="Arial" w:hAnsi="Arial"/>
                <w:color w:val="1B1B1C"/>
                <w:sz w:val="13"/>
              </w:rPr>
              <w:t>Privacy Framework 1.0 / 1.1 initial public draft</w:t>
            </w:r>
          </w:p>
        </w:tc>
        <w:tc>
          <w:tcPr>
            <w:tcW w:type="dxa" w:w="1500"/>
            <w:tcMar>
              <w:top w:w="70" w:type="dxa"/>
              <w:start w:w="90" w:type="dxa"/>
              <w:bottom w:w="70" w:type="dxa"/>
              <w:end w:w="90" w:type="dxa"/>
            </w:tcMar>
            <w:shd w:fill="F1EFE5"/>
            <w:vAlign w:val="center"/>
          </w:tcPr>
          <w:p>
            <w:pPr>
              <w:spacing w:after="0"/>
            </w:pPr>
            <w:r>
              <w:rPr>
                <w:rFonts w:ascii="Arial" w:hAnsi="Arial"/>
                <w:color w:val="1B1B1C"/>
                <w:sz w:val="13"/>
              </w:rPr>
              <w:t>1.0 final; 1.1 draft</w:t>
            </w:r>
          </w:p>
        </w:tc>
        <w:tc>
          <w:tcPr>
            <w:tcW w:type="dxa" w:w="2800"/>
            <w:tcMar>
              <w:top w:w="70" w:type="dxa"/>
              <w:start w:w="90" w:type="dxa"/>
              <w:bottom w:w="70" w:type="dxa"/>
              <w:end w:w="90" w:type="dxa"/>
            </w:tcMar>
            <w:shd w:fill="F1EFE5"/>
            <w:vAlign w:val="center"/>
          </w:tcPr>
          <w:p>
            <w:pPr>
              <w:spacing w:after="0"/>
            </w:pPr>
            <w:r>
              <w:rPr>
                <w:rFonts w:ascii="Arial" w:hAnsi="Arial"/>
                <w:color w:val="1B1B1C"/>
                <w:sz w:val="13"/>
              </w:rPr>
              <w:t>Enterprise privacy-risk management</w:t>
            </w:r>
          </w:p>
        </w:tc>
      </w:tr>
      <w:tr>
        <w:trPr>
          <w:cantSplit/>
        </w:trPr>
        <w:tc>
          <w:tcPr>
            <w:tcW w:type="dxa" w:w="500"/>
            <w:tcMar>
              <w:top w:w="70" w:type="dxa"/>
              <w:start w:w="90" w:type="dxa"/>
              <w:bottom w:w="70" w:type="dxa"/>
              <w:end w:w="90" w:type="dxa"/>
            </w:tcMar>
            <w:vAlign w:val="center"/>
          </w:tcPr>
          <w:p>
            <w:pPr>
              <w:spacing w:after="0"/>
            </w:pPr>
            <w:r>
              <w:rPr>
                <w:rFonts w:ascii="Arial" w:hAnsi="Arial"/>
                <w:b/>
                <w:color w:val="0E2530"/>
                <w:sz w:val="13"/>
              </w:rPr>
              <w:t>N09</w:t>
            </w:r>
          </w:p>
        </w:tc>
        <w:tc>
          <w:tcPr>
            <w:tcW w:type="dxa" w:w="1200"/>
            <w:tcMar>
              <w:top w:w="70" w:type="dxa"/>
              <w:start w:w="90" w:type="dxa"/>
              <w:bottom w:w="70" w:type="dxa"/>
              <w:end w:w="90" w:type="dxa"/>
            </w:tcMar>
            <w:vAlign w:val="center"/>
          </w:tcPr>
          <w:p>
            <w:pPr>
              <w:spacing w:after="0"/>
            </w:pPr>
            <w:r>
              <w:rPr>
                <w:rFonts w:ascii="Arial" w:hAnsi="Arial"/>
                <w:color w:val="1B1B1C"/>
                <w:sz w:val="13"/>
              </w:rPr>
              <w:t>NIST</w:t>
            </w:r>
          </w:p>
        </w:tc>
        <w:tc>
          <w:tcPr>
            <w:tcW w:type="dxa" w:w="3600"/>
            <w:tcMar>
              <w:top w:w="70" w:type="dxa"/>
              <w:start w:w="90" w:type="dxa"/>
              <w:bottom w:w="70" w:type="dxa"/>
              <w:end w:w="90" w:type="dxa"/>
            </w:tcMar>
            <w:vAlign w:val="center"/>
          </w:tcPr>
          <w:p>
            <w:pPr>
              <w:spacing w:after="0"/>
            </w:pPr>
            <w:r>
              <w:rPr>
                <w:rFonts w:ascii="Arial" w:hAnsi="Arial"/>
                <w:color w:val="1B1B1C"/>
                <w:sz w:val="13"/>
              </w:rPr>
              <w:t>SP 800-161 Rev. 1 - Cybersecurity supply-chain risk management</w:t>
            </w:r>
          </w:p>
        </w:tc>
        <w:tc>
          <w:tcPr>
            <w:tcW w:type="dxa" w:w="1500"/>
            <w:tcMar>
              <w:top w:w="70" w:type="dxa"/>
              <w:start w:w="90" w:type="dxa"/>
              <w:bottom w:w="70" w:type="dxa"/>
              <w:end w:w="90" w:type="dxa"/>
            </w:tcMar>
            <w:vAlign w:val="center"/>
          </w:tcPr>
          <w:p>
            <w:pPr>
              <w:spacing w:after="0"/>
            </w:pPr>
            <w:r>
              <w:rPr>
                <w:rFonts w:ascii="Arial" w:hAnsi="Arial"/>
                <w:color w:val="1B1B1C"/>
                <w:sz w:val="13"/>
              </w:rPr>
              <w:t>Final</w:t>
            </w:r>
          </w:p>
        </w:tc>
        <w:tc>
          <w:tcPr>
            <w:tcW w:type="dxa" w:w="2800"/>
            <w:tcMar>
              <w:top w:w="70" w:type="dxa"/>
              <w:start w:w="90" w:type="dxa"/>
              <w:bottom w:w="70" w:type="dxa"/>
              <w:end w:w="90" w:type="dxa"/>
            </w:tcMar>
            <w:vAlign w:val="center"/>
          </w:tcPr>
          <w:p>
            <w:pPr>
              <w:spacing w:after="0"/>
            </w:pPr>
            <w:r>
              <w:rPr>
                <w:rFonts w:ascii="Arial" w:hAnsi="Arial"/>
                <w:color w:val="1B1B1C"/>
                <w:sz w:val="13"/>
              </w:rPr>
              <w:t>Third-party and supply-chain evidence</w:t>
            </w:r>
          </w:p>
        </w:tc>
      </w:tr>
      <w:tr>
        <w:trPr>
          <w:cantSplit/>
        </w:trPr>
        <w:tc>
          <w:tcPr>
            <w:tcW w:type="dxa" w:w="500"/>
            <w:tcMar>
              <w:top w:w="70" w:type="dxa"/>
              <w:start w:w="90" w:type="dxa"/>
              <w:bottom w:w="70" w:type="dxa"/>
              <w:end w:w="90" w:type="dxa"/>
            </w:tcMar>
            <w:shd w:fill="F1EFE5"/>
            <w:vAlign w:val="center"/>
          </w:tcPr>
          <w:p>
            <w:pPr>
              <w:spacing w:after="0"/>
            </w:pPr>
            <w:r>
              <w:rPr>
                <w:rFonts w:ascii="Arial" w:hAnsi="Arial"/>
                <w:b/>
                <w:color w:val="0E2530"/>
                <w:sz w:val="13"/>
              </w:rPr>
              <w:t>N10</w:t>
            </w:r>
          </w:p>
        </w:tc>
        <w:tc>
          <w:tcPr>
            <w:tcW w:type="dxa" w:w="1200"/>
            <w:tcMar>
              <w:top w:w="70" w:type="dxa"/>
              <w:start w:w="90" w:type="dxa"/>
              <w:bottom w:w="70" w:type="dxa"/>
              <w:end w:w="90" w:type="dxa"/>
            </w:tcMar>
            <w:shd w:fill="F1EFE5"/>
            <w:vAlign w:val="center"/>
          </w:tcPr>
          <w:p>
            <w:pPr>
              <w:spacing w:after="0"/>
            </w:pPr>
            <w:r>
              <w:rPr>
                <w:rFonts w:ascii="Arial" w:hAnsi="Arial"/>
                <w:color w:val="1B1B1C"/>
                <w:sz w:val="13"/>
              </w:rPr>
              <w:t>NIST</w:t>
            </w:r>
          </w:p>
        </w:tc>
        <w:tc>
          <w:tcPr>
            <w:tcW w:type="dxa" w:w="3600"/>
            <w:tcMar>
              <w:top w:w="70" w:type="dxa"/>
              <w:start w:w="90" w:type="dxa"/>
              <w:bottom w:w="70" w:type="dxa"/>
              <w:end w:w="90" w:type="dxa"/>
            </w:tcMar>
            <w:shd w:fill="F1EFE5"/>
            <w:vAlign w:val="center"/>
          </w:tcPr>
          <w:p>
            <w:pPr>
              <w:spacing w:after="0"/>
            </w:pPr>
            <w:r>
              <w:rPr>
                <w:rFonts w:ascii="Arial" w:hAnsi="Arial"/>
                <w:color w:val="1B1B1C"/>
                <w:sz w:val="13"/>
              </w:rPr>
              <w:t>OSCAL - Open Security Controls Assessment Language</w:t>
            </w:r>
          </w:p>
        </w:tc>
        <w:tc>
          <w:tcPr>
            <w:tcW w:type="dxa" w:w="1500"/>
            <w:tcMar>
              <w:top w:w="70" w:type="dxa"/>
              <w:start w:w="90" w:type="dxa"/>
              <w:bottom w:w="70" w:type="dxa"/>
              <w:end w:w="90" w:type="dxa"/>
            </w:tcMar>
            <w:shd w:fill="F1EFE5"/>
            <w:vAlign w:val="center"/>
          </w:tcPr>
          <w:p>
            <w:pPr>
              <w:spacing w:after="0"/>
            </w:pPr>
            <w:r>
              <w:rPr>
                <w:rFonts w:ascii="Arial" w:hAnsi="Arial"/>
                <w:color w:val="1B1B1C"/>
                <w:sz w:val="13"/>
              </w:rPr>
              <w:t>Active program</w:t>
            </w:r>
          </w:p>
        </w:tc>
        <w:tc>
          <w:tcPr>
            <w:tcW w:type="dxa" w:w="2800"/>
            <w:tcMar>
              <w:top w:w="70" w:type="dxa"/>
              <w:start w:w="90" w:type="dxa"/>
              <w:bottom w:w="70" w:type="dxa"/>
              <w:end w:w="90" w:type="dxa"/>
            </w:tcMar>
            <w:shd w:fill="F1EFE5"/>
            <w:vAlign w:val="center"/>
          </w:tcPr>
          <w:p>
            <w:pPr>
              <w:spacing w:after="0"/>
            </w:pPr>
            <w:r>
              <w:rPr>
                <w:rFonts w:ascii="Arial" w:hAnsi="Arial"/>
                <w:color w:val="1B1B1C"/>
                <w:sz w:val="13"/>
              </w:rPr>
              <w:t>Machine-readable control catalogs, profiles and assessment results</w:t>
            </w:r>
          </w:p>
        </w:tc>
      </w:tr>
      <w:tr>
        <w:trPr>
          <w:cantSplit/>
        </w:trPr>
        <w:tc>
          <w:tcPr>
            <w:tcW w:type="dxa" w:w="500"/>
            <w:tcMar>
              <w:top w:w="70" w:type="dxa"/>
              <w:start w:w="90" w:type="dxa"/>
              <w:bottom w:w="70" w:type="dxa"/>
              <w:end w:w="90" w:type="dxa"/>
            </w:tcMar>
            <w:vAlign w:val="center"/>
          </w:tcPr>
          <w:p>
            <w:pPr>
              <w:spacing w:after="0"/>
            </w:pPr>
            <w:r>
              <w:rPr>
                <w:rFonts w:ascii="Arial" w:hAnsi="Arial"/>
                <w:b/>
                <w:color w:val="0E2530"/>
                <w:sz w:val="13"/>
              </w:rPr>
              <w:t>U01</w:t>
            </w:r>
          </w:p>
        </w:tc>
        <w:tc>
          <w:tcPr>
            <w:tcW w:type="dxa" w:w="1200"/>
            <w:tcMar>
              <w:top w:w="70" w:type="dxa"/>
              <w:start w:w="90" w:type="dxa"/>
              <w:bottom w:w="70" w:type="dxa"/>
              <w:end w:w="90" w:type="dxa"/>
            </w:tcMar>
            <w:vAlign w:val="center"/>
          </w:tcPr>
          <w:p>
            <w:pPr>
              <w:spacing w:after="0"/>
            </w:pPr>
            <w:r>
              <w:rPr>
                <w:rFonts w:ascii="Arial" w:hAnsi="Arial"/>
                <w:color w:val="1B1B1C"/>
                <w:sz w:val="13"/>
              </w:rPr>
              <w:t>IEC</w:t>
            </w:r>
          </w:p>
        </w:tc>
        <w:tc>
          <w:tcPr>
            <w:tcW w:type="dxa" w:w="3600"/>
            <w:tcMar>
              <w:top w:w="70" w:type="dxa"/>
              <w:start w:w="90" w:type="dxa"/>
              <w:bottom w:w="70" w:type="dxa"/>
              <w:end w:w="90" w:type="dxa"/>
            </w:tcMar>
            <w:vAlign w:val="center"/>
          </w:tcPr>
          <w:p>
            <w:pPr>
              <w:spacing w:after="0"/>
            </w:pPr>
            <w:r>
              <w:rPr>
                <w:rFonts w:ascii="Arial" w:hAnsi="Arial"/>
                <w:color w:val="1B1B1C"/>
                <w:sz w:val="13"/>
              </w:rPr>
              <w:t>IEC 61968-11:2013 - Common Information Model for distribution</w:t>
            </w:r>
          </w:p>
        </w:tc>
        <w:tc>
          <w:tcPr>
            <w:tcW w:type="dxa" w:w="1500"/>
            <w:tcMar>
              <w:top w:w="70" w:type="dxa"/>
              <w:start w:w="90" w:type="dxa"/>
              <w:bottom w:w="70" w:type="dxa"/>
              <w:end w:w="90" w:type="dxa"/>
            </w:tcMar>
            <w:vAlign w:val="center"/>
          </w:tcPr>
          <w:p>
            <w:pPr>
              <w:spacing w:after="0"/>
            </w:pPr>
            <w:r>
              <w:rPr>
                <w:rFonts w:ascii="Arial" w:hAnsi="Arial"/>
                <w:color w:val="1B1B1C"/>
                <w:sz w:val="13"/>
              </w:rPr>
              <w:t>Published</w:t>
            </w:r>
          </w:p>
        </w:tc>
        <w:tc>
          <w:tcPr>
            <w:tcW w:type="dxa" w:w="2800"/>
            <w:tcMar>
              <w:top w:w="70" w:type="dxa"/>
              <w:start w:w="90" w:type="dxa"/>
              <w:bottom w:w="70" w:type="dxa"/>
              <w:end w:w="90" w:type="dxa"/>
            </w:tcMar>
            <w:vAlign w:val="center"/>
          </w:tcPr>
          <w:p>
            <w:pPr>
              <w:spacing w:after="0"/>
            </w:pPr>
            <w:r>
              <w:rPr>
                <w:rFonts w:ascii="Arial" w:hAnsi="Arial"/>
                <w:color w:val="1B1B1C"/>
                <w:sz w:val="13"/>
              </w:rPr>
              <w:t>Enterprise integration and distribution-system semantics</w:t>
            </w:r>
          </w:p>
        </w:tc>
      </w:tr>
      <w:tr>
        <w:trPr>
          <w:cantSplit/>
        </w:trPr>
        <w:tc>
          <w:tcPr>
            <w:tcW w:type="dxa" w:w="500"/>
            <w:tcMar>
              <w:top w:w="70" w:type="dxa"/>
              <w:start w:w="90" w:type="dxa"/>
              <w:bottom w:w="70" w:type="dxa"/>
              <w:end w:w="90" w:type="dxa"/>
            </w:tcMar>
            <w:shd w:fill="F1EFE5"/>
            <w:vAlign w:val="center"/>
          </w:tcPr>
          <w:p>
            <w:pPr>
              <w:spacing w:after="0"/>
            </w:pPr>
            <w:r>
              <w:rPr>
                <w:rFonts w:ascii="Arial" w:hAnsi="Arial"/>
                <w:b/>
                <w:color w:val="0E2530"/>
                <w:sz w:val="13"/>
              </w:rPr>
              <w:t>U03</w:t>
            </w:r>
          </w:p>
        </w:tc>
        <w:tc>
          <w:tcPr>
            <w:tcW w:type="dxa" w:w="1200"/>
            <w:tcMar>
              <w:top w:w="70" w:type="dxa"/>
              <w:start w:w="90" w:type="dxa"/>
              <w:bottom w:w="70" w:type="dxa"/>
              <w:end w:w="90" w:type="dxa"/>
            </w:tcMar>
            <w:shd w:fill="F1EFE5"/>
            <w:vAlign w:val="center"/>
          </w:tcPr>
          <w:p>
            <w:pPr>
              <w:spacing w:after="0"/>
            </w:pPr>
            <w:r>
              <w:rPr>
                <w:rFonts w:ascii="Arial" w:hAnsi="Arial"/>
                <w:color w:val="1B1B1C"/>
                <w:sz w:val="13"/>
              </w:rPr>
              <w:t>IEC</w:t>
            </w:r>
          </w:p>
        </w:tc>
        <w:tc>
          <w:tcPr>
            <w:tcW w:type="dxa" w:w="3600"/>
            <w:tcMar>
              <w:top w:w="70" w:type="dxa"/>
              <w:start w:w="90" w:type="dxa"/>
              <w:bottom w:w="70" w:type="dxa"/>
              <w:end w:w="90" w:type="dxa"/>
            </w:tcMar>
            <w:shd w:fill="F1EFE5"/>
            <w:vAlign w:val="center"/>
          </w:tcPr>
          <w:p>
            <w:pPr>
              <w:spacing w:after="0"/>
            </w:pPr>
            <w:r>
              <w:rPr>
                <w:rFonts w:ascii="Arial" w:hAnsi="Arial"/>
                <w:color w:val="1B1B1C"/>
                <w:sz w:val="13"/>
              </w:rPr>
              <w:t>IEC 61850 family - Power utility automation</w:t>
            </w:r>
          </w:p>
        </w:tc>
        <w:tc>
          <w:tcPr>
            <w:tcW w:type="dxa" w:w="1500"/>
            <w:tcMar>
              <w:top w:w="70" w:type="dxa"/>
              <w:start w:w="90" w:type="dxa"/>
              <w:bottom w:w="70" w:type="dxa"/>
              <w:end w:w="90" w:type="dxa"/>
            </w:tcMar>
            <w:shd w:fill="F1EFE5"/>
            <w:vAlign w:val="center"/>
          </w:tcPr>
          <w:p>
            <w:pPr>
              <w:spacing w:after="0"/>
            </w:pPr>
            <w:r>
              <w:rPr>
                <w:rFonts w:ascii="Arial" w:hAnsi="Arial"/>
                <w:color w:val="1B1B1C"/>
                <w:sz w:val="13"/>
              </w:rPr>
              <w:t>Published / evolving series</w:t>
            </w:r>
          </w:p>
        </w:tc>
        <w:tc>
          <w:tcPr>
            <w:tcW w:type="dxa" w:w="2800"/>
            <w:tcMar>
              <w:top w:w="70" w:type="dxa"/>
              <w:start w:w="90" w:type="dxa"/>
              <w:bottom w:w="70" w:type="dxa"/>
              <w:end w:w="90" w:type="dxa"/>
            </w:tcMar>
            <w:shd w:fill="F1EFE5"/>
            <w:vAlign w:val="center"/>
          </w:tcPr>
          <w:p>
            <w:pPr>
              <w:spacing w:after="0"/>
            </w:pPr>
            <w:r>
              <w:rPr>
                <w:rFonts w:ascii="Arial" w:hAnsi="Arial"/>
                <w:color w:val="1B1B1C"/>
                <w:sz w:val="13"/>
              </w:rPr>
              <w:t>Substation and power-system data models and communication</w:t>
            </w:r>
          </w:p>
        </w:tc>
      </w:tr>
      <w:tr>
        <w:trPr>
          <w:cantSplit/>
        </w:trPr>
        <w:tc>
          <w:tcPr>
            <w:tcW w:type="dxa" w:w="500"/>
            <w:tcMar>
              <w:top w:w="70" w:type="dxa"/>
              <w:start w:w="90" w:type="dxa"/>
              <w:bottom w:w="70" w:type="dxa"/>
              <w:end w:w="90" w:type="dxa"/>
            </w:tcMar>
            <w:vAlign w:val="center"/>
          </w:tcPr>
          <w:p>
            <w:pPr>
              <w:spacing w:after="0"/>
            </w:pPr>
            <w:r>
              <w:rPr>
                <w:rFonts w:ascii="Arial" w:hAnsi="Arial"/>
                <w:b/>
                <w:color w:val="0E2530"/>
                <w:sz w:val="13"/>
              </w:rPr>
              <w:t>U04</w:t>
            </w:r>
          </w:p>
        </w:tc>
        <w:tc>
          <w:tcPr>
            <w:tcW w:type="dxa" w:w="1200"/>
            <w:tcMar>
              <w:top w:w="70" w:type="dxa"/>
              <w:start w:w="90" w:type="dxa"/>
              <w:bottom w:w="70" w:type="dxa"/>
              <w:end w:w="90" w:type="dxa"/>
            </w:tcMar>
            <w:vAlign w:val="center"/>
          </w:tcPr>
          <w:p>
            <w:pPr>
              <w:spacing w:after="0"/>
            </w:pPr>
            <w:r>
              <w:rPr>
                <w:rFonts w:ascii="Arial" w:hAnsi="Arial"/>
                <w:color w:val="1B1B1C"/>
                <w:sz w:val="13"/>
              </w:rPr>
              <w:t>IEC</w:t>
            </w:r>
          </w:p>
        </w:tc>
        <w:tc>
          <w:tcPr>
            <w:tcW w:type="dxa" w:w="3600"/>
            <w:tcMar>
              <w:top w:w="70" w:type="dxa"/>
              <w:start w:w="90" w:type="dxa"/>
              <w:bottom w:w="70" w:type="dxa"/>
              <w:end w:w="90" w:type="dxa"/>
            </w:tcMar>
            <w:vAlign w:val="center"/>
          </w:tcPr>
          <w:p>
            <w:pPr>
              <w:spacing w:after="0"/>
            </w:pPr>
            <w:r>
              <w:rPr>
                <w:rFonts w:ascii="Arial" w:hAnsi="Arial"/>
                <w:color w:val="1B1B1C"/>
                <w:sz w:val="13"/>
              </w:rPr>
              <w:t>IEC 62443-2-1:2024 - IACS security program requirements</w:t>
            </w:r>
          </w:p>
        </w:tc>
        <w:tc>
          <w:tcPr>
            <w:tcW w:type="dxa" w:w="1500"/>
            <w:tcMar>
              <w:top w:w="70" w:type="dxa"/>
              <w:start w:w="90" w:type="dxa"/>
              <w:bottom w:w="70" w:type="dxa"/>
              <w:end w:w="90" w:type="dxa"/>
            </w:tcMar>
            <w:vAlign w:val="center"/>
          </w:tcPr>
          <w:p>
            <w:pPr>
              <w:spacing w:after="0"/>
            </w:pPr>
            <w:r>
              <w:rPr>
                <w:rFonts w:ascii="Arial" w:hAnsi="Arial"/>
                <w:color w:val="1B1B1C"/>
                <w:sz w:val="13"/>
              </w:rPr>
              <w:t>Published</w:t>
            </w:r>
          </w:p>
        </w:tc>
        <w:tc>
          <w:tcPr>
            <w:tcW w:type="dxa" w:w="2800"/>
            <w:tcMar>
              <w:top w:w="70" w:type="dxa"/>
              <w:start w:w="90" w:type="dxa"/>
              <w:bottom w:w="70" w:type="dxa"/>
              <w:end w:w="90" w:type="dxa"/>
            </w:tcMar>
            <w:vAlign w:val="center"/>
          </w:tcPr>
          <w:p>
            <w:pPr>
              <w:spacing w:after="0"/>
            </w:pPr>
            <w:r>
              <w:rPr>
                <w:rFonts w:ascii="Arial" w:hAnsi="Arial"/>
                <w:color w:val="1B1B1C"/>
                <w:sz w:val="13"/>
              </w:rPr>
              <w:t>Asset-owner governance for industrial automation and control systems</w:t>
            </w:r>
          </w:p>
        </w:tc>
      </w:tr>
      <w:tr>
        <w:trPr>
          <w:cantSplit/>
        </w:trPr>
        <w:tc>
          <w:tcPr>
            <w:tcW w:type="dxa" w:w="500"/>
            <w:tcMar>
              <w:top w:w="70" w:type="dxa"/>
              <w:start w:w="90" w:type="dxa"/>
              <w:bottom w:w="70" w:type="dxa"/>
              <w:end w:w="90" w:type="dxa"/>
            </w:tcMar>
            <w:shd w:fill="F1EFE5"/>
            <w:vAlign w:val="center"/>
          </w:tcPr>
          <w:p>
            <w:pPr>
              <w:spacing w:after="0"/>
            </w:pPr>
            <w:r>
              <w:rPr>
                <w:rFonts w:ascii="Arial" w:hAnsi="Arial"/>
                <w:b/>
                <w:color w:val="0E2530"/>
                <w:sz w:val="13"/>
              </w:rPr>
              <w:t>U06</w:t>
            </w:r>
          </w:p>
        </w:tc>
        <w:tc>
          <w:tcPr>
            <w:tcW w:type="dxa" w:w="1200"/>
            <w:tcMar>
              <w:top w:w="70" w:type="dxa"/>
              <w:start w:w="90" w:type="dxa"/>
              <w:bottom w:w="70" w:type="dxa"/>
              <w:end w:w="90" w:type="dxa"/>
            </w:tcMar>
            <w:shd w:fill="F1EFE5"/>
            <w:vAlign w:val="center"/>
          </w:tcPr>
          <w:p>
            <w:pPr>
              <w:spacing w:after="0"/>
            </w:pPr>
            <w:r>
              <w:rPr>
                <w:rFonts w:ascii="Arial" w:hAnsi="Arial"/>
                <w:color w:val="1B1B1C"/>
                <w:sz w:val="13"/>
              </w:rPr>
              <w:t>OpenLineage</w:t>
            </w:r>
          </w:p>
        </w:tc>
        <w:tc>
          <w:tcPr>
            <w:tcW w:type="dxa" w:w="3600"/>
            <w:tcMar>
              <w:top w:w="70" w:type="dxa"/>
              <w:start w:w="90" w:type="dxa"/>
              <w:bottom w:w="70" w:type="dxa"/>
              <w:end w:w="90" w:type="dxa"/>
            </w:tcMar>
            <w:shd w:fill="F1EFE5"/>
            <w:vAlign w:val="center"/>
          </w:tcPr>
          <w:p>
            <w:pPr>
              <w:spacing w:after="0"/>
            </w:pPr>
            <w:r>
              <w:rPr>
                <w:rFonts w:ascii="Arial" w:hAnsi="Arial"/>
                <w:color w:val="1B1B1C"/>
                <w:sz w:val="13"/>
              </w:rPr>
              <w:t>OpenLineage specification</w:t>
            </w:r>
          </w:p>
        </w:tc>
        <w:tc>
          <w:tcPr>
            <w:tcW w:type="dxa" w:w="1500"/>
            <w:tcMar>
              <w:top w:w="70" w:type="dxa"/>
              <w:start w:w="90" w:type="dxa"/>
              <w:bottom w:w="70" w:type="dxa"/>
              <w:end w:w="90" w:type="dxa"/>
            </w:tcMar>
            <w:shd w:fill="F1EFE5"/>
            <w:vAlign w:val="center"/>
          </w:tcPr>
          <w:p>
            <w:pPr>
              <w:spacing w:after="0"/>
            </w:pPr>
            <w:r>
              <w:rPr>
                <w:rFonts w:ascii="Arial" w:hAnsi="Arial"/>
                <w:color w:val="1B1B1C"/>
                <w:sz w:val="13"/>
              </w:rPr>
              <w:t>Active open standard</w:t>
            </w:r>
          </w:p>
        </w:tc>
        <w:tc>
          <w:tcPr>
            <w:tcW w:type="dxa" w:w="2800"/>
            <w:tcMar>
              <w:top w:w="70" w:type="dxa"/>
              <w:start w:w="90" w:type="dxa"/>
              <w:bottom w:w="70" w:type="dxa"/>
              <w:end w:w="90" w:type="dxa"/>
            </w:tcMar>
            <w:shd w:fill="F1EFE5"/>
            <w:vAlign w:val="center"/>
          </w:tcPr>
          <w:p>
            <w:pPr>
              <w:spacing w:after="0"/>
            </w:pPr>
            <w:r>
              <w:rPr>
                <w:rFonts w:ascii="Arial" w:hAnsi="Arial"/>
                <w:color w:val="1B1B1C"/>
                <w:sz w:val="13"/>
              </w:rPr>
              <w:t>Run, job, dataset and facet events for operational lineage</w:t>
            </w:r>
          </w:p>
        </w:tc>
      </w:tr>
      <w:tr>
        <w:trPr>
          <w:cantSplit/>
        </w:trPr>
        <w:tc>
          <w:tcPr>
            <w:tcW w:type="dxa" w:w="500"/>
            <w:tcMar>
              <w:top w:w="70" w:type="dxa"/>
              <w:start w:w="90" w:type="dxa"/>
              <w:bottom w:w="70" w:type="dxa"/>
              <w:end w:w="90" w:type="dxa"/>
            </w:tcMar>
            <w:vAlign w:val="center"/>
          </w:tcPr>
          <w:p>
            <w:pPr>
              <w:spacing w:after="0"/>
            </w:pPr>
            <w:r>
              <w:rPr>
                <w:rFonts w:ascii="Arial" w:hAnsi="Arial"/>
                <w:b/>
                <w:color w:val="0E2530"/>
                <w:sz w:val="13"/>
              </w:rPr>
              <w:t>U08</w:t>
            </w:r>
          </w:p>
        </w:tc>
        <w:tc>
          <w:tcPr>
            <w:tcW w:type="dxa" w:w="1200"/>
            <w:tcMar>
              <w:top w:w="70" w:type="dxa"/>
              <w:start w:w="90" w:type="dxa"/>
              <w:bottom w:w="70" w:type="dxa"/>
              <w:end w:w="90" w:type="dxa"/>
            </w:tcMar>
            <w:vAlign w:val="center"/>
          </w:tcPr>
          <w:p>
            <w:pPr>
              <w:spacing w:after="0"/>
            </w:pPr>
            <w:r>
              <w:rPr>
                <w:rFonts w:ascii="Arial" w:hAnsi="Arial"/>
                <w:color w:val="1B1B1C"/>
                <w:sz w:val="13"/>
              </w:rPr>
              <w:t>EPA</w:t>
            </w:r>
          </w:p>
        </w:tc>
        <w:tc>
          <w:tcPr>
            <w:tcW w:type="dxa" w:w="3600"/>
            <w:tcMar>
              <w:top w:w="70" w:type="dxa"/>
              <w:start w:w="90" w:type="dxa"/>
              <w:bottom w:w="70" w:type="dxa"/>
              <w:end w:w="90" w:type="dxa"/>
            </w:tcMar>
            <w:vAlign w:val="center"/>
          </w:tcPr>
          <w:p>
            <w:pPr>
              <w:spacing w:after="0"/>
            </w:pPr>
            <w:r>
              <w:rPr>
                <w:rFonts w:ascii="Arial" w:hAnsi="Arial"/>
                <w:color w:val="1B1B1C"/>
                <w:sz w:val="13"/>
              </w:rPr>
              <w:t>America's Water Infrastructure Act: risk and resilience</w:t>
            </w:r>
          </w:p>
        </w:tc>
        <w:tc>
          <w:tcPr>
            <w:tcW w:type="dxa" w:w="1500"/>
            <w:tcMar>
              <w:top w:w="70" w:type="dxa"/>
              <w:start w:w="90" w:type="dxa"/>
              <w:bottom w:w="70" w:type="dxa"/>
              <w:end w:w="90" w:type="dxa"/>
            </w:tcMar>
            <w:vAlign w:val="center"/>
          </w:tcPr>
          <w:p>
            <w:pPr>
              <w:spacing w:after="0"/>
            </w:pPr>
            <w:r>
              <w:rPr>
                <w:rFonts w:ascii="Arial" w:hAnsi="Arial"/>
                <w:color w:val="1B1B1C"/>
                <w:sz w:val="13"/>
              </w:rPr>
              <w:t>Statutory program</w:t>
            </w:r>
          </w:p>
        </w:tc>
        <w:tc>
          <w:tcPr>
            <w:tcW w:type="dxa" w:w="2800"/>
            <w:tcMar>
              <w:top w:w="70" w:type="dxa"/>
              <w:start w:w="90" w:type="dxa"/>
              <w:bottom w:w="70" w:type="dxa"/>
              <w:end w:w="90" w:type="dxa"/>
            </w:tcMar>
            <w:vAlign w:val="center"/>
          </w:tcPr>
          <w:p>
            <w:pPr>
              <w:spacing w:after="0"/>
            </w:pPr>
            <w:r>
              <w:rPr>
                <w:rFonts w:ascii="Arial" w:hAnsi="Arial"/>
                <w:color w:val="1B1B1C"/>
                <w:sz w:val="13"/>
              </w:rPr>
              <w:t>Risk/resilience assessments and emergency response plans</w:t>
            </w:r>
          </w:p>
        </w:tc>
      </w:tr>
      <w:tr>
        <w:trPr>
          <w:cantSplit/>
        </w:trPr>
        <w:tc>
          <w:tcPr>
            <w:tcW w:type="dxa" w:w="500"/>
            <w:tcMar>
              <w:top w:w="70" w:type="dxa"/>
              <w:start w:w="90" w:type="dxa"/>
              <w:bottom w:w="70" w:type="dxa"/>
              <w:end w:w="90" w:type="dxa"/>
            </w:tcMar>
            <w:shd w:fill="F1EFE5"/>
            <w:vAlign w:val="center"/>
          </w:tcPr>
          <w:p>
            <w:pPr>
              <w:spacing w:after="0"/>
            </w:pPr>
            <w:r>
              <w:rPr>
                <w:rFonts w:ascii="Arial" w:hAnsi="Arial"/>
                <w:b/>
                <w:color w:val="0E2530"/>
                <w:sz w:val="13"/>
              </w:rPr>
              <w:t>U11</w:t>
            </w:r>
          </w:p>
        </w:tc>
        <w:tc>
          <w:tcPr>
            <w:tcW w:type="dxa" w:w="1200"/>
            <w:tcMar>
              <w:top w:w="70" w:type="dxa"/>
              <w:start w:w="90" w:type="dxa"/>
              <w:bottom w:w="70" w:type="dxa"/>
              <w:end w:w="90" w:type="dxa"/>
            </w:tcMar>
            <w:shd w:fill="F1EFE5"/>
            <w:vAlign w:val="center"/>
          </w:tcPr>
          <w:p>
            <w:pPr>
              <w:spacing w:after="0"/>
            </w:pPr>
            <w:r>
              <w:rPr>
                <w:rFonts w:ascii="Arial" w:hAnsi="Arial"/>
                <w:color w:val="1B1B1C"/>
                <w:sz w:val="13"/>
              </w:rPr>
              <w:t>Ofgem</w:t>
            </w:r>
          </w:p>
        </w:tc>
        <w:tc>
          <w:tcPr>
            <w:tcW w:type="dxa" w:w="3600"/>
            <w:tcMar>
              <w:top w:w="70" w:type="dxa"/>
              <w:start w:w="90" w:type="dxa"/>
              <w:bottom w:w="70" w:type="dxa"/>
              <w:end w:w="90" w:type="dxa"/>
            </w:tcMar>
            <w:shd w:fill="F1EFE5"/>
            <w:vAlign w:val="center"/>
          </w:tcPr>
          <w:p>
            <w:pPr>
              <w:spacing w:after="0"/>
            </w:pPr>
            <w:r>
              <w:rPr>
                <w:rFonts w:ascii="Arial" w:hAnsi="Arial"/>
                <w:color w:val="1B1B1C"/>
                <w:sz w:val="13"/>
              </w:rPr>
              <w:t>Data Best Practice guidance</w:t>
            </w:r>
          </w:p>
        </w:tc>
        <w:tc>
          <w:tcPr>
            <w:tcW w:type="dxa" w:w="1500"/>
            <w:tcMar>
              <w:top w:w="70" w:type="dxa"/>
              <w:start w:w="90" w:type="dxa"/>
              <w:bottom w:w="70" w:type="dxa"/>
              <w:end w:w="90" w:type="dxa"/>
            </w:tcMar>
            <w:shd w:fill="F1EFE5"/>
            <w:vAlign w:val="center"/>
          </w:tcPr>
          <w:p>
            <w:pPr>
              <w:spacing w:after="0"/>
            </w:pPr>
            <w:r>
              <w:rPr>
                <w:rFonts w:ascii="Arial" w:hAnsi="Arial"/>
                <w:color w:val="1B1B1C"/>
                <w:sz w:val="13"/>
              </w:rPr>
              <w:t>Published 17 Nov 2025</w:t>
            </w:r>
          </w:p>
        </w:tc>
        <w:tc>
          <w:tcPr>
            <w:tcW w:type="dxa" w:w="2800"/>
            <w:tcMar>
              <w:top w:w="70" w:type="dxa"/>
              <w:start w:w="90" w:type="dxa"/>
              <w:bottom w:w="70" w:type="dxa"/>
              <w:end w:w="90" w:type="dxa"/>
            </w:tcMar>
            <w:shd w:fill="F1EFE5"/>
            <w:vAlign w:val="center"/>
          </w:tcPr>
          <w:p>
            <w:pPr>
              <w:spacing w:after="0"/>
            </w:pPr>
            <w:r>
              <w:rPr>
                <w:rFonts w:ascii="Arial" w:hAnsi="Arial"/>
                <w:color w:val="1B1B1C"/>
                <w:sz w:val="13"/>
              </w:rPr>
              <w:t>Energy-system data sharing, interoperability and licence expectations</w:t>
            </w:r>
          </w:p>
        </w:tc>
      </w:tr>
      <w:tr>
        <w:trPr>
          <w:cantSplit/>
        </w:trPr>
        <w:tc>
          <w:tcPr>
            <w:tcW w:type="dxa" w:w="500"/>
            <w:tcMar>
              <w:top w:w="70" w:type="dxa"/>
              <w:start w:w="90" w:type="dxa"/>
              <w:bottom w:w="70" w:type="dxa"/>
              <w:end w:w="90" w:type="dxa"/>
            </w:tcMar>
            <w:vAlign w:val="center"/>
          </w:tcPr>
          <w:p>
            <w:pPr>
              <w:spacing w:after="0"/>
            </w:pPr>
            <w:r>
              <w:rPr>
                <w:rFonts w:ascii="Arial" w:hAnsi="Arial"/>
                <w:b/>
                <w:color w:val="0E2530"/>
                <w:sz w:val="13"/>
              </w:rPr>
              <w:t>F01</w:t>
            </w:r>
          </w:p>
        </w:tc>
        <w:tc>
          <w:tcPr>
            <w:tcW w:type="dxa" w:w="1200"/>
            <w:tcMar>
              <w:top w:w="70" w:type="dxa"/>
              <w:start w:w="90" w:type="dxa"/>
              <w:bottom w:w="70" w:type="dxa"/>
              <w:end w:w="90" w:type="dxa"/>
            </w:tcMar>
            <w:vAlign w:val="center"/>
          </w:tcPr>
          <w:p>
            <w:pPr>
              <w:spacing w:after="0"/>
            </w:pPr>
            <w:r>
              <w:rPr>
                <w:rFonts w:ascii="Arial" w:hAnsi="Arial"/>
                <w:color w:val="1B1B1C"/>
                <w:sz w:val="13"/>
              </w:rPr>
              <w:t>DAMA International</w:t>
            </w:r>
          </w:p>
        </w:tc>
        <w:tc>
          <w:tcPr>
            <w:tcW w:type="dxa" w:w="3600"/>
            <w:tcMar>
              <w:top w:w="70" w:type="dxa"/>
              <w:start w:w="90" w:type="dxa"/>
              <w:bottom w:w="70" w:type="dxa"/>
              <w:end w:w="90" w:type="dxa"/>
            </w:tcMar>
            <w:vAlign w:val="center"/>
          </w:tcPr>
          <w:p>
            <w:pPr>
              <w:spacing w:after="0"/>
            </w:pPr>
            <w:r>
              <w:rPr>
                <w:rFonts w:ascii="Arial" w:hAnsi="Arial"/>
                <w:color w:val="1B1B1C"/>
                <w:sz w:val="13"/>
              </w:rPr>
              <w:t>DAMA-DMBOK2 Revised</w:t>
            </w:r>
          </w:p>
        </w:tc>
        <w:tc>
          <w:tcPr>
            <w:tcW w:type="dxa" w:w="1500"/>
            <w:tcMar>
              <w:top w:w="70" w:type="dxa"/>
              <w:start w:w="90" w:type="dxa"/>
              <w:bottom w:w="70" w:type="dxa"/>
              <w:end w:w="90" w:type="dxa"/>
            </w:tcMar>
            <w:vAlign w:val="center"/>
          </w:tcPr>
          <w:p>
            <w:pPr>
              <w:spacing w:after="0"/>
            </w:pPr>
            <w:r>
              <w:rPr>
                <w:rFonts w:ascii="Arial" w:hAnsi="Arial"/>
                <w:color w:val="1B1B1C"/>
                <w:sz w:val="13"/>
              </w:rPr>
              <w:t>Current; DMBOK 3.0 in development</w:t>
            </w:r>
          </w:p>
        </w:tc>
        <w:tc>
          <w:tcPr>
            <w:tcW w:type="dxa" w:w="2800"/>
            <w:tcMar>
              <w:top w:w="70" w:type="dxa"/>
              <w:start w:w="90" w:type="dxa"/>
              <w:bottom w:w="70" w:type="dxa"/>
              <w:end w:w="90" w:type="dxa"/>
            </w:tcMar>
            <w:vAlign w:val="center"/>
          </w:tcPr>
          <w:p>
            <w:pPr>
              <w:spacing w:after="0"/>
            </w:pPr>
            <w:r>
              <w:rPr>
                <w:rFonts w:ascii="Arial" w:hAnsi="Arial"/>
                <w:color w:val="1B1B1C"/>
                <w:sz w:val="13"/>
              </w:rPr>
              <w:t>Enterprise data-management capabilities and roles</w:t>
            </w:r>
          </w:p>
        </w:tc>
      </w:tr>
      <w:tr>
        <w:trPr>
          <w:cantSplit/>
        </w:trPr>
        <w:tc>
          <w:tcPr>
            <w:tcW w:type="dxa" w:w="500"/>
            <w:tcMar>
              <w:top w:w="70" w:type="dxa"/>
              <w:start w:w="90" w:type="dxa"/>
              <w:bottom w:w="70" w:type="dxa"/>
              <w:end w:w="90" w:type="dxa"/>
            </w:tcMar>
            <w:shd w:fill="F1EFE5"/>
            <w:vAlign w:val="center"/>
          </w:tcPr>
          <w:p>
            <w:pPr>
              <w:spacing w:after="0"/>
            </w:pPr>
            <w:r>
              <w:rPr>
                <w:rFonts w:ascii="Arial" w:hAnsi="Arial"/>
                <w:b/>
                <w:color w:val="0E2530"/>
                <w:sz w:val="13"/>
              </w:rPr>
              <w:t>F02</w:t>
            </w:r>
          </w:p>
        </w:tc>
        <w:tc>
          <w:tcPr>
            <w:tcW w:type="dxa" w:w="1200"/>
            <w:tcMar>
              <w:top w:w="70" w:type="dxa"/>
              <w:start w:w="90" w:type="dxa"/>
              <w:bottom w:w="70" w:type="dxa"/>
              <w:end w:w="90" w:type="dxa"/>
            </w:tcMar>
            <w:shd w:fill="F1EFE5"/>
            <w:vAlign w:val="center"/>
          </w:tcPr>
          <w:p>
            <w:pPr>
              <w:spacing w:after="0"/>
            </w:pPr>
            <w:r>
              <w:rPr>
                <w:rFonts w:ascii="Arial" w:hAnsi="Arial"/>
                <w:color w:val="1B1B1C"/>
                <w:sz w:val="13"/>
              </w:rPr>
              <w:t>EDM Council</w:t>
            </w:r>
          </w:p>
        </w:tc>
        <w:tc>
          <w:tcPr>
            <w:tcW w:type="dxa" w:w="3600"/>
            <w:tcMar>
              <w:top w:w="70" w:type="dxa"/>
              <w:start w:w="90" w:type="dxa"/>
              <w:bottom w:w="70" w:type="dxa"/>
              <w:end w:w="90" w:type="dxa"/>
            </w:tcMar>
            <w:shd w:fill="F1EFE5"/>
            <w:vAlign w:val="center"/>
          </w:tcPr>
          <w:p>
            <w:pPr>
              <w:spacing w:after="0"/>
            </w:pPr>
            <w:r>
              <w:rPr>
                <w:rFonts w:ascii="Arial" w:hAnsi="Arial"/>
                <w:color w:val="1B1B1C"/>
                <w:sz w:val="13"/>
              </w:rPr>
              <w:t>DCAM v3</w:t>
            </w:r>
          </w:p>
        </w:tc>
        <w:tc>
          <w:tcPr>
            <w:tcW w:type="dxa" w:w="1500"/>
            <w:tcMar>
              <w:top w:w="70" w:type="dxa"/>
              <w:start w:w="90" w:type="dxa"/>
              <w:bottom w:w="70" w:type="dxa"/>
              <w:end w:w="90" w:type="dxa"/>
            </w:tcMar>
            <w:shd w:fill="F1EFE5"/>
            <w:vAlign w:val="center"/>
          </w:tcPr>
          <w:p>
            <w:pPr>
              <w:spacing w:after="0"/>
            </w:pPr>
            <w:r>
              <w:rPr>
                <w:rFonts w:ascii="Arial" w:hAnsi="Arial"/>
                <w:color w:val="1B1B1C"/>
                <w:sz w:val="13"/>
              </w:rPr>
              <w:t>Announced June 2025</w:t>
            </w:r>
          </w:p>
        </w:tc>
        <w:tc>
          <w:tcPr>
            <w:tcW w:type="dxa" w:w="2800"/>
            <w:tcMar>
              <w:top w:w="70" w:type="dxa"/>
              <w:start w:w="90" w:type="dxa"/>
              <w:bottom w:w="70" w:type="dxa"/>
              <w:end w:w="90" w:type="dxa"/>
            </w:tcMar>
            <w:shd w:fill="F1EFE5"/>
            <w:vAlign w:val="center"/>
          </w:tcPr>
          <w:p>
            <w:pPr>
              <w:spacing w:after="0"/>
            </w:pPr>
            <w:r>
              <w:rPr>
                <w:rFonts w:ascii="Arial" w:hAnsi="Arial"/>
                <w:color w:val="1B1B1C"/>
                <w:sz w:val="13"/>
              </w:rPr>
              <w:t>Data-management and analytics capability assessment</w:t>
            </w:r>
          </w:p>
        </w:tc>
      </w:tr>
      <w:tr>
        <w:trPr>
          <w:cantSplit/>
        </w:trPr>
        <w:tc>
          <w:tcPr>
            <w:tcW w:type="dxa" w:w="500"/>
            <w:tcMar>
              <w:top w:w="70" w:type="dxa"/>
              <w:start w:w="90" w:type="dxa"/>
              <w:bottom w:w="70" w:type="dxa"/>
              <w:end w:w="90" w:type="dxa"/>
            </w:tcMar>
            <w:vAlign w:val="center"/>
          </w:tcPr>
          <w:p>
            <w:pPr>
              <w:spacing w:after="0"/>
            </w:pPr>
            <w:r>
              <w:rPr>
                <w:rFonts w:ascii="Arial" w:hAnsi="Arial"/>
                <w:b/>
                <w:color w:val="0E2530"/>
                <w:sz w:val="13"/>
              </w:rPr>
              <w:t>F03</w:t>
            </w:r>
          </w:p>
        </w:tc>
        <w:tc>
          <w:tcPr>
            <w:tcW w:type="dxa" w:w="1200"/>
            <w:tcMar>
              <w:top w:w="70" w:type="dxa"/>
              <w:start w:w="90" w:type="dxa"/>
              <w:bottom w:w="70" w:type="dxa"/>
              <w:end w:w="90" w:type="dxa"/>
            </w:tcMar>
            <w:vAlign w:val="center"/>
          </w:tcPr>
          <w:p>
            <w:pPr>
              <w:spacing w:after="0"/>
            </w:pPr>
            <w:r>
              <w:rPr>
                <w:rFonts w:ascii="Arial" w:hAnsi="Arial"/>
                <w:color w:val="1B1B1C"/>
                <w:sz w:val="13"/>
              </w:rPr>
              <w:t>EDM Council</w:t>
            </w:r>
          </w:p>
        </w:tc>
        <w:tc>
          <w:tcPr>
            <w:tcW w:type="dxa" w:w="3600"/>
            <w:tcMar>
              <w:top w:w="70" w:type="dxa"/>
              <w:start w:w="90" w:type="dxa"/>
              <w:bottom w:w="70" w:type="dxa"/>
              <w:end w:w="90" w:type="dxa"/>
            </w:tcMar>
            <w:vAlign w:val="center"/>
          </w:tcPr>
          <w:p>
            <w:pPr>
              <w:spacing w:after="0"/>
            </w:pPr>
            <w:r>
              <w:rPr>
                <w:rFonts w:ascii="Arial" w:hAnsi="Arial"/>
                <w:color w:val="1B1B1C"/>
                <w:sz w:val="13"/>
              </w:rPr>
              <w:t>Cloud Data Management Capabilities (CDMC)</w:t>
            </w:r>
          </w:p>
        </w:tc>
        <w:tc>
          <w:tcPr>
            <w:tcW w:type="dxa" w:w="1500"/>
            <w:tcMar>
              <w:top w:w="70" w:type="dxa"/>
              <w:start w:w="90" w:type="dxa"/>
              <w:bottom w:w="70" w:type="dxa"/>
              <w:end w:w="90" w:type="dxa"/>
            </w:tcMar>
            <w:vAlign w:val="center"/>
          </w:tcPr>
          <w:p>
            <w:pPr>
              <w:spacing w:after="0"/>
            </w:pPr>
            <w:r>
              <w:rPr>
                <w:rFonts w:ascii="Arial" w:hAnsi="Arial"/>
                <w:color w:val="1B1B1C"/>
                <w:sz w:val="13"/>
              </w:rPr>
              <w:t>Version 1.1</w:t>
            </w:r>
          </w:p>
        </w:tc>
        <w:tc>
          <w:tcPr>
            <w:tcW w:type="dxa" w:w="2800"/>
            <w:tcMar>
              <w:top w:w="70" w:type="dxa"/>
              <w:start w:w="90" w:type="dxa"/>
              <w:bottom w:w="70" w:type="dxa"/>
              <w:end w:w="90" w:type="dxa"/>
            </w:tcMar>
            <w:vAlign w:val="center"/>
          </w:tcPr>
          <w:p>
            <w:pPr>
              <w:spacing w:after="0"/>
            </w:pPr>
            <w:r>
              <w:rPr>
                <w:rFonts w:ascii="Arial" w:hAnsi="Arial"/>
                <w:color w:val="1B1B1C"/>
                <w:sz w:val="13"/>
              </w:rPr>
              <w:t>Fourteen auditable cloud data controls</w:t>
            </w:r>
          </w:p>
        </w:tc>
      </w:tr>
      <w:tr>
        <w:trPr>
          <w:cantSplit/>
        </w:trPr>
        <w:tc>
          <w:tcPr>
            <w:tcW w:type="dxa" w:w="500"/>
            <w:tcMar>
              <w:top w:w="70" w:type="dxa"/>
              <w:start w:w="90" w:type="dxa"/>
              <w:bottom w:w="70" w:type="dxa"/>
              <w:end w:w="90" w:type="dxa"/>
            </w:tcMar>
            <w:shd w:fill="F1EFE5"/>
            <w:vAlign w:val="center"/>
          </w:tcPr>
          <w:p>
            <w:pPr>
              <w:spacing w:after="0"/>
            </w:pPr>
            <w:r>
              <w:rPr>
                <w:rFonts w:ascii="Arial" w:hAnsi="Arial"/>
                <w:b/>
                <w:color w:val="0E2530"/>
                <w:sz w:val="13"/>
              </w:rPr>
              <w:t>F04</w:t>
            </w:r>
          </w:p>
        </w:tc>
        <w:tc>
          <w:tcPr>
            <w:tcW w:type="dxa" w:w="1200"/>
            <w:tcMar>
              <w:top w:w="70" w:type="dxa"/>
              <w:start w:w="90" w:type="dxa"/>
              <w:bottom w:w="70" w:type="dxa"/>
              <w:end w:w="90" w:type="dxa"/>
            </w:tcMar>
            <w:shd w:fill="F1EFE5"/>
            <w:vAlign w:val="center"/>
          </w:tcPr>
          <w:p>
            <w:pPr>
              <w:spacing w:after="0"/>
            </w:pPr>
            <w:r>
              <w:rPr>
                <w:rFonts w:ascii="Arial" w:hAnsi="Arial"/>
                <w:color w:val="1B1B1C"/>
                <w:sz w:val="13"/>
              </w:rPr>
              <w:t>ISACA</w:t>
            </w:r>
          </w:p>
        </w:tc>
        <w:tc>
          <w:tcPr>
            <w:tcW w:type="dxa" w:w="3600"/>
            <w:tcMar>
              <w:top w:w="70" w:type="dxa"/>
              <w:start w:w="90" w:type="dxa"/>
              <w:bottom w:w="70" w:type="dxa"/>
              <w:end w:w="90" w:type="dxa"/>
            </w:tcMar>
            <w:shd w:fill="F1EFE5"/>
            <w:vAlign w:val="center"/>
          </w:tcPr>
          <w:p>
            <w:pPr>
              <w:spacing w:after="0"/>
            </w:pPr>
            <w:r>
              <w:rPr>
                <w:rFonts w:ascii="Arial" w:hAnsi="Arial"/>
                <w:color w:val="1B1B1C"/>
                <w:sz w:val="13"/>
              </w:rPr>
              <w:t>COBIT 2019</w:t>
            </w:r>
          </w:p>
        </w:tc>
        <w:tc>
          <w:tcPr>
            <w:tcW w:type="dxa" w:w="1500"/>
            <w:tcMar>
              <w:top w:w="70" w:type="dxa"/>
              <w:start w:w="90" w:type="dxa"/>
              <w:bottom w:w="70" w:type="dxa"/>
              <w:end w:w="90" w:type="dxa"/>
            </w:tcMar>
            <w:shd w:fill="F1EFE5"/>
            <w:vAlign w:val="center"/>
          </w:tcPr>
          <w:p>
            <w:pPr>
              <w:spacing w:after="0"/>
            </w:pPr>
            <w:r>
              <w:rPr>
                <w:rFonts w:ascii="Arial" w:hAnsi="Arial"/>
                <w:color w:val="1B1B1C"/>
                <w:sz w:val="13"/>
              </w:rPr>
              <w:t>Current</w:t>
            </w:r>
          </w:p>
        </w:tc>
        <w:tc>
          <w:tcPr>
            <w:tcW w:type="dxa" w:w="2800"/>
            <w:tcMar>
              <w:top w:w="70" w:type="dxa"/>
              <w:start w:w="90" w:type="dxa"/>
              <w:bottom w:w="70" w:type="dxa"/>
              <w:end w:w="90" w:type="dxa"/>
            </w:tcMar>
            <w:shd w:fill="F1EFE5"/>
            <w:vAlign w:val="center"/>
          </w:tcPr>
          <w:p>
            <w:pPr>
              <w:spacing w:after="0"/>
            </w:pPr>
            <w:r>
              <w:rPr>
                <w:rFonts w:ascii="Arial" w:hAnsi="Arial"/>
                <w:color w:val="1B1B1C"/>
                <w:sz w:val="13"/>
              </w:rPr>
              <w:t>Enterprise governance of information and technology</w:t>
            </w:r>
          </w:p>
        </w:tc>
      </w:tr>
      <w:tr>
        <w:trPr>
          <w:cantSplit/>
        </w:trPr>
        <w:tc>
          <w:tcPr>
            <w:tcW w:type="dxa" w:w="500"/>
            <w:tcMar>
              <w:top w:w="70" w:type="dxa"/>
              <w:start w:w="90" w:type="dxa"/>
              <w:bottom w:w="70" w:type="dxa"/>
              <w:end w:w="90" w:type="dxa"/>
            </w:tcMar>
            <w:vAlign w:val="center"/>
          </w:tcPr>
          <w:p>
            <w:pPr>
              <w:spacing w:after="0"/>
            </w:pPr>
            <w:r>
              <w:rPr>
                <w:rFonts w:ascii="Arial" w:hAnsi="Arial"/>
                <w:b/>
                <w:color w:val="0E2530"/>
                <w:sz w:val="13"/>
              </w:rPr>
              <w:t>F05</w:t>
            </w:r>
          </w:p>
        </w:tc>
        <w:tc>
          <w:tcPr>
            <w:tcW w:type="dxa" w:w="1200"/>
            <w:tcMar>
              <w:top w:w="70" w:type="dxa"/>
              <w:start w:w="90" w:type="dxa"/>
              <w:bottom w:w="70" w:type="dxa"/>
              <w:end w:w="90" w:type="dxa"/>
            </w:tcMar>
            <w:vAlign w:val="center"/>
          </w:tcPr>
          <w:p>
            <w:pPr>
              <w:spacing w:after="0"/>
            </w:pPr>
            <w:r>
              <w:rPr>
                <w:rFonts w:ascii="Arial" w:hAnsi="Arial"/>
                <w:color w:val="1B1B1C"/>
                <w:sz w:val="13"/>
              </w:rPr>
              <w:t>GO FAIR</w:t>
            </w:r>
          </w:p>
        </w:tc>
        <w:tc>
          <w:tcPr>
            <w:tcW w:type="dxa" w:w="3600"/>
            <w:tcMar>
              <w:top w:w="70" w:type="dxa"/>
              <w:start w:w="90" w:type="dxa"/>
              <w:bottom w:w="70" w:type="dxa"/>
              <w:end w:w="90" w:type="dxa"/>
            </w:tcMar>
            <w:vAlign w:val="center"/>
          </w:tcPr>
          <w:p>
            <w:pPr>
              <w:spacing w:after="0"/>
            </w:pPr>
            <w:r>
              <w:rPr>
                <w:rFonts w:ascii="Arial" w:hAnsi="Arial"/>
                <w:color w:val="1B1B1C"/>
                <w:sz w:val="13"/>
              </w:rPr>
              <w:t>FAIR Guiding Principles</w:t>
            </w:r>
          </w:p>
        </w:tc>
        <w:tc>
          <w:tcPr>
            <w:tcW w:type="dxa" w:w="1500"/>
            <w:tcMar>
              <w:top w:w="70" w:type="dxa"/>
              <w:start w:w="90" w:type="dxa"/>
              <w:bottom w:w="70" w:type="dxa"/>
              <w:end w:w="90" w:type="dxa"/>
            </w:tcMar>
            <w:vAlign w:val="center"/>
          </w:tcPr>
          <w:p>
            <w:pPr>
              <w:spacing w:after="0"/>
            </w:pPr>
            <w:r>
              <w:rPr>
                <w:rFonts w:ascii="Arial" w:hAnsi="Arial"/>
                <w:color w:val="1B1B1C"/>
                <w:sz w:val="13"/>
              </w:rPr>
              <w:t>Current principles</w:t>
            </w:r>
          </w:p>
        </w:tc>
        <w:tc>
          <w:tcPr>
            <w:tcW w:type="dxa" w:w="2800"/>
            <w:tcMar>
              <w:top w:w="70" w:type="dxa"/>
              <w:start w:w="90" w:type="dxa"/>
              <w:bottom w:w="70" w:type="dxa"/>
              <w:end w:w="90" w:type="dxa"/>
            </w:tcMar>
            <w:vAlign w:val="center"/>
          </w:tcPr>
          <w:p>
            <w:pPr>
              <w:spacing w:after="0"/>
            </w:pPr>
            <w:r>
              <w:rPr>
                <w:rFonts w:ascii="Arial" w:hAnsi="Arial"/>
                <w:color w:val="1B1B1C"/>
                <w:sz w:val="13"/>
              </w:rPr>
              <w:t>Findable, Accessible, Interoperable and Reusable data</w:t>
            </w:r>
          </w:p>
        </w:tc>
      </w:tr>
    </w:tbl>
    <w:p>
      <w:pPr>
        <w:spacing w:after="0"/>
      </w:pPr>
    </w:p>
    <w:tbl>
      <w:tblPr>
        <w:tblW w:type="auto" w:w="0"/>
        <w:jc w:val="center"/>
        <w:tblLayout w:type="fixed"/>
        <w:tblLook w:firstColumn="1" w:firstRow="1" w:lastColumn="0" w:lastRow="0" w:noHBand="0" w:noVBand="1" w:val="04A0"/>
        <w:tblBorders>
          <w:top w:val="single" w:sz="10" w:space="0" w:color="C9A26A"/>
          <w:left w:val="single" w:sz="10" w:space="0" w:color="C9A26A"/>
          <w:bottom w:val="single" w:sz="10" w:space="0" w:color="C9A26A"/>
          <w:right w:val="single" w:sz="10" w:space="0" w:color="C9A26A"/>
          <w:insideH w:val="single" w:sz="10" w:space="0" w:color="C9A26A"/>
          <w:insideV w:val="single" w:sz="10" w:space="0" w:color="C9A26A"/>
        </w:tblBorders>
      </w:tblPr>
      <w:tblGrid>
        <w:gridCol w:w="9820"/>
      </w:tblGrid>
      <w:tr>
        <w:trPr>
          <w:cantSplit/>
        </w:trPr>
        <w:tc>
          <w:tcPr>
            <w:tcW w:type="dxa" w:w="9820"/>
            <w:shd w:fill="FFF7E6"/>
            <w:tcMar>
              <w:top w:w="140" w:type="dxa"/>
              <w:start w:w="170" w:type="dxa"/>
              <w:bottom w:w="140" w:type="dxa"/>
              <w:end w:w="170" w:type="dxa"/>
            </w:tcMar>
          </w:tcPr>
          <w:p>
            <w:pPr>
              <w:spacing w:after="80"/>
            </w:pPr>
            <w:r>
              <w:rPr>
                <w:rFonts w:ascii="Arial" w:hAnsi="Arial"/>
                <w:b/>
                <w:color w:val="C9A26A"/>
                <w:sz w:val="20"/>
              </w:rPr>
              <w:t>Licensing note</w:t>
            </w:r>
          </w:p>
          <w:p>
            <w:pPr>
              <w:spacing w:after="0"/>
            </w:pPr>
            <w:r>
              <w:rPr>
                <w:rFonts w:ascii="Arial" w:hAnsi="Arial"/>
                <w:color w:val="1B1B1C"/>
                <w:sz w:val="20"/>
              </w:rPr>
              <w:t>ISO and IEC standards are often licensed publications. This paper identifies the standards and translates their operating role. An implementation team should obtain the licensed text and confirm the edition before claiming conformance or certification.</w:t>
            </w:r>
          </w:p>
        </w:tc>
      </w:tr>
    </w:tbl>
    <w:p>
      <w:pPr>
        <w:pageBreakBefore/>
        <w:spacing w:after="100"/>
      </w:pPr>
      <w:r>
        <w:rPr>
          <w:rFonts w:ascii="Arial" w:hAnsi="Arial"/>
          <w:b/>
          <w:color w:val="2F7F9E"/>
          <w:sz w:val="17"/>
        </w:rPr>
        <w:t>APPLICATION PAPER</w:t>
      </w:r>
    </w:p>
    <w:p>
      <w:pPr>
        <w:pStyle w:val="Heading1"/>
      </w:pPr>
      <w:r>
        <w:t>4. The utility operating model</w:t>
      </w:r>
    </w:p>
    <w:p>
      <w:pPr>
        <w:pStyle w:val="Subtitle"/>
        <w:spacing w:after="280"/>
      </w:pPr>
      <w:r>
        <w:rPr>
          <w:color w:val="3C3B36"/>
          <w:sz w:val="25"/>
        </w:rPr>
        <w:t>Govern the physical decision chain, not only the information technology estate.</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820"/>
      </w:tblGrid>
      <w:tr>
        <w:tc>
          <w:tcPr>
            <w:tcW w:type="dxa" w:w="1500"/>
            <w:shd w:fill="E0A64A"/>
            <w:tcMar>
              <w:top w:w="0" w:type="dxa"/>
              <w:start w:w="0" w:type="dxa"/>
              <w:bottom w:w="0" w:type="dxa"/>
              <w:end w:w="0" w:type="dxa"/>
            </w:tcMar>
          </w:tcPr>
          <w:p>
            <w:pPr>
              <w:spacing w:after="0"/>
            </w:pPr>
            <w:r>
              <w:rPr>
                <w:sz w:val="4"/>
              </w:rPr>
              <w:t xml:space="preserve"> </w:t>
            </w:r>
          </w:p>
        </w:tc>
      </w:tr>
    </w:tbl>
    <w:p>
      <w:r>
        <w:t>Information technology (IT) manages business and information services. OT monitors or controls the physical process. Utility governance must connect both because a material decision often begins in physical equipment and ends in a business, customer or regulatory record.</w:t>
      </w:r>
    </w:p>
    <w:p>
      <w:pPr>
        <w:spacing w:before="120" w:after="0"/>
        <w:jc w:val="center"/>
      </w:pPr>
      <w:r>
        <w:drawing>
          <wp:inline xmlns:a="http://schemas.openxmlformats.org/drawingml/2006/main" xmlns:pic="http://schemas.openxmlformats.org/drawingml/2006/picture">
            <wp:extent cx="6126480" cy="3539744"/>
            <wp:docPr id="9" name="Picture 9" title="Figure 5. The governed data lifecycle" descr="Governance must stay with the data from creation through use and disposal. Every handoff needs identity, responsibility, quality, change, access, purpose and retention evidence."/>
            <wp:cNvGraphicFramePr>
              <a:graphicFrameLocks noChangeAspect="1"/>
            </wp:cNvGraphicFramePr>
            <a:graphic>
              <a:graphicData uri="http://schemas.openxmlformats.org/drawingml/2006/picture">
                <pic:pic>
                  <pic:nvPicPr>
                    <pic:cNvPr id="0" name="05_lifecycle.png"/>
                    <pic:cNvPicPr/>
                  </pic:nvPicPr>
                  <pic:blipFill>
                    <a:blip r:embed="rId32"/>
                    <a:stretch>
                      <a:fillRect/>
                    </a:stretch>
                  </pic:blipFill>
                  <pic:spPr>
                    <a:xfrm>
                      <a:off x="0" y="0"/>
                      <a:ext cx="6126480" cy="3539744"/>
                    </a:xfrm>
                    <a:prstGeom prst="rect"/>
                  </pic:spPr>
                </pic:pic>
              </a:graphicData>
            </a:graphic>
          </wp:inline>
        </w:drawing>
      </w:r>
    </w:p>
    <w:p>
      <w:pPr>
        <w:pStyle w:val="Caption"/>
        <w:jc w:val="left"/>
      </w:pPr>
      <w:r>
        <w:t>Figure 5. The governed data lifecycle</w:t>
      </w:r>
    </w:p>
    <w:p>
      <w:pPr>
        <w:spacing w:after="40"/>
      </w:pPr>
      <w:r>
        <w:rPr>
          <w:b/>
          <w:color w:val="2F7F9E"/>
        </w:rPr>
        <w:t xml:space="preserve">What this shows. </w:t>
      </w:r>
      <w:r>
        <w:t>Governance must stay with the data from creation through use and disposal. Every handoff needs identity, responsibility, quality, change, access, purpose and retention evidence.</w:t>
      </w:r>
    </w:p>
    <w:p>
      <w:pPr>
        <w:spacing w:after="180"/>
      </w:pPr>
      <w:r>
        <w:rPr>
          <w:rFonts w:ascii="Arial" w:hAnsi="Arial"/>
          <w:i/>
          <w:color w:val="7D766A"/>
          <w:sz w:val="15"/>
        </w:rPr>
        <w:t>Source: APAS AI synthesis of ISO, W3C, NIST and records-management sources.</w:t>
      </w:r>
    </w:p>
    <w:p>
      <w:pPr>
        <w:pStyle w:val="Heading2"/>
      </w:pPr>
      <w:r>
        <w:t>The lifecycle evidence rule</w:t>
      </w:r>
    </w:p>
    <w:p>
      <w:r>
        <w:t>At each lifecycle stage, the utility should retain enough evidence to answer seven questions: What is it? Who is accountable? What changed? Is it fit for this use? Who can access it? Why is it being used? How long should it remain? The answers do not have to live in one tool, but they must connect through stable identifiers.</w:t>
      </w:r>
    </w:p>
    <w:p>
      <w:pPr>
        <w:spacing w:before="120" w:after="0"/>
        <w:jc w:val="center"/>
      </w:pPr>
      <w:r>
        <w:drawing>
          <wp:inline xmlns:a="http://schemas.openxmlformats.org/drawingml/2006/main" xmlns:pic="http://schemas.openxmlformats.org/drawingml/2006/picture">
            <wp:extent cx="6126480" cy="3539744"/>
            <wp:docPr id="10" name="Picture 10" title="Figure 6. The utility data estate is one connected system" descr="Operational, asset, laboratory, customer, work, regulatory and AI data depend on common identifiers and controlled handoffs. Governing only the enterprise warehouse leaves the most consequential utility decisions outside the program."/>
            <wp:cNvGraphicFramePr>
              <a:graphicFrameLocks noChangeAspect="1"/>
            </wp:cNvGraphicFramePr>
            <a:graphic>
              <a:graphicData uri="http://schemas.openxmlformats.org/drawingml/2006/picture">
                <pic:pic>
                  <pic:nvPicPr>
                    <pic:cNvPr id="0" name="06_utility_estate.png"/>
                    <pic:cNvPicPr/>
                  </pic:nvPicPr>
                  <pic:blipFill>
                    <a:blip r:embed="rId33"/>
                    <a:stretch>
                      <a:fillRect/>
                    </a:stretch>
                  </pic:blipFill>
                  <pic:spPr>
                    <a:xfrm>
                      <a:off x="0" y="0"/>
                      <a:ext cx="6126480" cy="3539744"/>
                    </a:xfrm>
                    <a:prstGeom prst="rect"/>
                  </pic:spPr>
                </pic:pic>
              </a:graphicData>
            </a:graphic>
          </wp:inline>
        </w:drawing>
      </w:r>
    </w:p>
    <w:p>
      <w:pPr>
        <w:pStyle w:val="Caption"/>
        <w:jc w:val="left"/>
      </w:pPr>
      <w:r>
        <w:t>Figure 6. The utility data estate is one connected system</w:t>
      </w:r>
    </w:p>
    <w:p>
      <w:pPr>
        <w:spacing w:after="40"/>
      </w:pPr>
      <w:r>
        <w:rPr>
          <w:b/>
          <w:color w:val="2F7F9E"/>
        </w:rPr>
        <w:t xml:space="preserve">What this shows. </w:t>
      </w:r>
      <w:r>
        <w:t>Operational, asset, laboratory, customer, work, regulatory and AI data depend on common identifiers and controlled handoffs. Governing only the enterprise warehouse leaves the most consequential utility decisions outside the program.</w:t>
      </w:r>
    </w:p>
    <w:p>
      <w:pPr>
        <w:spacing w:after="180"/>
      </w:pPr>
      <w:r>
        <w:rPr>
          <w:rFonts w:ascii="Arial" w:hAnsi="Arial"/>
          <w:i/>
          <w:color w:val="7D766A"/>
          <w:sz w:val="15"/>
        </w:rPr>
        <w:t>Source: APAS AI utility operating model.</w:t>
      </w:r>
    </w:p>
    <w:p>
      <w:pPr>
        <w:pStyle w:val="Heading2"/>
      </w:pPr>
      <w:r>
        <w:t>The connective tissue is shared identity</w:t>
      </w:r>
    </w:p>
    <w:p>
      <w:r>
        <w:t>The systems do not need to become one platform. They do need to agree on the identity of the asset, event, obligation and decision. Stable identifiers allow a person to move from a physical condition to the supporting record without rebuilding the story by hand.</w:t>
      </w:r>
    </w:p>
    <w:p>
      <w:pPr>
        <w:pStyle w:val="ListBullet"/>
      </w:pPr>
      <w:r>
        <w:t>An asset identifier connects the geographic information system, maintenance record, telemetry tag and engineering model to the same physical thing.</w:t>
      </w:r>
    </w:p>
    <w:p>
      <w:pPr>
        <w:pStyle w:val="ListBullet"/>
      </w:pPr>
      <w:r>
        <w:t>Event identifiers and trusted time connect an alarm, sample, customer impact, work response and operating outcome.</w:t>
      </w:r>
    </w:p>
    <w:p>
      <w:pPr>
        <w:pStyle w:val="ListBullet"/>
      </w:pPr>
      <w:r>
        <w:t>Rule and obligation identifiers connect a permit limit or operating rule to the calculation, approval, filing and corrective action it governs.</w:t>
      </w:r>
    </w:p>
    <w:p>
      <w:pPr>
        <w:spacing w:before="120" w:after="0"/>
        <w:jc w:val="center"/>
      </w:pPr>
      <w:r>
        <w:drawing>
          <wp:inline xmlns:a="http://schemas.openxmlformats.org/drawingml/2006/main" xmlns:pic="http://schemas.openxmlformats.org/drawingml/2006/picture">
            <wp:extent cx="6126480" cy="4152392"/>
            <wp:docPr id="11" name="Picture 11" title="Figure 14. One utility question crosses the entire data estate" descr="An overflow-risk, water-quality, compliance or capital question rarely belongs to one system. It depends on controlled connections among SCADA, the historian, GIS, hydraulic models, CMMS or EAM, LIMS, customer systems, weather and regulatory records."/>
            <wp:cNvGraphicFramePr>
              <a:graphicFrameLocks noChangeAspect="1"/>
            </wp:cNvGraphicFramePr>
            <a:graphic>
              <a:graphicData uri="http://schemas.openxmlformats.org/drawingml/2006/picture">
                <pic:pic>
                  <pic:nvPicPr>
                    <pic:cNvPr id="0" name="14_utility_question.png"/>
                    <pic:cNvPicPr/>
                  </pic:nvPicPr>
                  <pic:blipFill>
                    <a:blip r:embed="rId34"/>
                    <a:stretch>
                      <a:fillRect/>
                    </a:stretch>
                  </pic:blipFill>
                  <pic:spPr>
                    <a:xfrm>
                      <a:off x="0" y="0"/>
                      <a:ext cx="6126480" cy="4152392"/>
                    </a:xfrm>
                    <a:prstGeom prst="rect"/>
                  </pic:spPr>
                </pic:pic>
              </a:graphicData>
            </a:graphic>
          </wp:inline>
        </w:drawing>
      </w:r>
    </w:p>
    <w:p>
      <w:pPr>
        <w:pStyle w:val="Caption"/>
        <w:jc w:val="left"/>
      </w:pPr>
      <w:r>
        <w:t>Figure 14. One utility question crosses the entire data estate</w:t>
      </w:r>
    </w:p>
    <w:p>
      <w:pPr>
        <w:spacing w:after="40"/>
      </w:pPr>
      <w:r>
        <w:rPr>
          <w:b/>
          <w:color w:val="2F7F9E"/>
        </w:rPr>
        <w:t xml:space="preserve">What this shows. </w:t>
      </w:r>
      <w:r>
        <w:t>An overflow-risk, water-quality, compliance or capital question rarely belongs to one system. It depends on controlled connections among SCADA, the historian, GIS, hydraulic models, CMMS or EAM, LIMS, customer systems, weather and regulatory records.</w:t>
      </w:r>
    </w:p>
    <w:p>
      <w:pPr>
        <w:spacing w:after="180"/>
      </w:pPr>
      <w:r>
        <w:rPr>
          <w:rFonts w:ascii="Arial" w:hAnsi="Arial"/>
          <w:i/>
          <w:color w:val="7D766A"/>
          <w:sz w:val="15"/>
        </w:rPr>
        <w:t>Source: APAS AI utility decision-chain model.</w:t>
      </w:r>
    </w:p>
    <w:p>
      <w:pPr>
        <w:pStyle w:val="Heading2"/>
      </w:pPr>
      <w:r>
        <w:t>Four examples of fragmented data becoming an accountable outcome</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3273"/>
        <w:gridCol w:w="3273"/>
        <w:gridCol w:w="3273"/>
      </w:tblGrid>
      <w:tr>
        <w:trPr>
          <w:tblHeader w:val="true"/>
          <w:cantSplit/>
        </w:trPr>
        <w:tc>
          <w:tcPr>
            <w:tcW w:type="dxa" w:w="1900"/>
            <w:tcMar>
              <w:top w:w="75" w:type="dxa"/>
              <w:start w:w="90" w:type="dxa"/>
              <w:bottom w:w="75" w:type="dxa"/>
              <w:end w:w="90" w:type="dxa"/>
            </w:tcMar>
            <w:shd w:fill="1B1B1C"/>
          </w:tcPr>
          <w:p>
            <w:pPr>
              <w:spacing w:after="0"/>
            </w:pPr>
            <w:r>
              <w:rPr>
                <w:rFonts w:ascii="Arial" w:hAnsi="Arial"/>
                <w:b/>
                <w:color w:val="FFFFFF"/>
                <w:sz w:val="14"/>
              </w:rPr>
              <w:t>Utility decision</w:t>
            </w:r>
          </w:p>
        </w:tc>
        <w:tc>
          <w:tcPr>
            <w:tcW w:type="dxa" w:w="4300"/>
            <w:tcMar>
              <w:top w:w="75" w:type="dxa"/>
              <w:start w:w="90" w:type="dxa"/>
              <w:bottom w:w="75" w:type="dxa"/>
              <w:end w:w="90" w:type="dxa"/>
            </w:tcMar>
            <w:shd w:fill="1B1B1C"/>
          </w:tcPr>
          <w:p>
            <w:pPr>
              <w:spacing w:after="0"/>
            </w:pPr>
            <w:r>
              <w:rPr>
                <w:rFonts w:ascii="Arial" w:hAnsi="Arial"/>
                <w:b/>
                <w:color w:val="FFFFFF"/>
                <w:sz w:val="14"/>
              </w:rPr>
              <w:t>Systems that must connect</w:t>
            </w:r>
          </w:p>
        </w:tc>
        <w:tc>
          <w:tcPr>
            <w:tcW w:type="dxa" w:w="3100"/>
            <w:tcMar>
              <w:top w:w="75" w:type="dxa"/>
              <w:start w:w="90" w:type="dxa"/>
              <w:bottom w:w="75" w:type="dxa"/>
              <w:end w:w="90" w:type="dxa"/>
            </w:tcMar>
            <w:shd w:fill="1B1B1C"/>
          </w:tcPr>
          <w:p>
            <w:pPr>
              <w:spacing w:after="0"/>
            </w:pPr>
            <w:r>
              <w:rPr>
                <w:rFonts w:ascii="Arial" w:hAnsi="Arial"/>
                <w:b/>
                <w:color w:val="FFFFFF"/>
                <w:sz w:val="14"/>
              </w:rPr>
              <w:t>Governed outcome</w:t>
            </w:r>
          </w:p>
        </w:tc>
      </w:tr>
      <w:tr>
        <w:trPr>
          <w:cantSplit/>
        </w:trPr>
        <w:tc>
          <w:tcPr>
            <w:tcW w:type="dxa" w:w="1900"/>
            <w:tcMar>
              <w:top w:w="70" w:type="dxa"/>
              <w:start w:w="90" w:type="dxa"/>
              <w:bottom w:w="70" w:type="dxa"/>
              <w:end w:w="90" w:type="dxa"/>
            </w:tcMar>
            <w:vAlign w:val="center"/>
          </w:tcPr>
          <w:p>
            <w:pPr>
              <w:spacing w:after="0"/>
            </w:pPr>
            <w:r>
              <w:rPr>
                <w:rFonts w:ascii="Arial" w:hAnsi="Arial"/>
                <w:b/>
                <w:color w:val="0E2530"/>
                <w:sz w:val="14"/>
              </w:rPr>
              <w:t>Wet-weather overflow response</w:t>
            </w:r>
          </w:p>
        </w:tc>
        <w:tc>
          <w:tcPr>
            <w:tcW w:type="dxa" w:w="4300"/>
            <w:tcMar>
              <w:top w:w="70" w:type="dxa"/>
              <w:start w:w="90" w:type="dxa"/>
              <w:bottom w:w="70" w:type="dxa"/>
              <w:end w:w="90" w:type="dxa"/>
            </w:tcMar>
            <w:vAlign w:val="center"/>
          </w:tcPr>
          <w:p>
            <w:pPr>
              <w:spacing w:after="0"/>
            </w:pPr>
            <w:r>
              <w:rPr>
                <w:rFonts w:ascii="Arial" w:hAnsi="Arial"/>
                <w:color w:val="1B1B1C"/>
                <w:sz w:val="14"/>
              </w:rPr>
              <w:t>SCADA levels and alarms; historian time series; rainfall; GIS collection model; CMMS pump condition and work; fats, oils and grease (FOG) inspections; permit and consent requirements.</w:t>
            </w:r>
          </w:p>
        </w:tc>
        <w:tc>
          <w:tcPr>
            <w:tcW w:type="dxa" w:w="3100"/>
            <w:tcMar>
              <w:top w:w="70" w:type="dxa"/>
              <w:start w:w="90" w:type="dxa"/>
              <w:bottom w:w="70" w:type="dxa"/>
              <w:end w:w="90" w:type="dxa"/>
            </w:tcMar>
            <w:vAlign w:val="center"/>
          </w:tcPr>
          <w:p>
            <w:pPr>
              <w:spacing w:after="0"/>
            </w:pPr>
            <w:r>
              <w:rPr>
                <w:rFonts w:ascii="Arial" w:hAnsi="Arial"/>
                <w:color w:val="1B1B1C"/>
                <w:sz w:val="14"/>
              </w:rPr>
              <w:t>A cited risk signal, operator decision, response record and regulatory evidence chain.</w:t>
            </w:r>
          </w:p>
        </w:tc>
      </w:tr>
      <w:tr>
        <w:trPr>
          <w:cantSplit/>
        </w:trPr>
        <w:tc>
          <w:tcPr>
            <w:tcW w:type="dxa" w:w="1900"/>
            <w:tcMar>
              <w:top w:w="70" w:type="dxa"/>
              <w:start w:w="90" w:type="dxa"/>
              <w:bottom w:w="70" w:type="dxa"/>
              <w:end w:w="90" w:type="dxa"/>
            </w:tcMar>
            <w:shd w:fill="F1EFE5"/>
            <w:vAlign w:val="center"/>
          </w:tcPr>
          <w:p>
            <w:pPr>
              <w:spacing w:after="0"/>
            </w:pPr>
            <w:r>
              <w:rPr>
                <w:rFonts w:ascii="Arial" w:hAnsi="Arial"/>
                <w:b/>
                <w:color w:val="0E2530"/>
                <w:sz w:val="14"/>
              </w:rPr>
              <w:t>Drinking-water quality release</w:t>
            </w:r>
          </w:p>
        </w:tc>
        <w:tc>
          <w:tcPr>
            <w:tcW w:type="dxa" w:w="4300"/>
            <w:tcMar>
              <w:top w:w="70" w:type="dxa"/>
              <w:start w:w="90" w:type="dxa"/>
              <w:bottom w:w="70" w:type="dxa"/>
              <w:end w:w="90" w:type="dxa"/>
            </w:tcMar>
            <w:shd w:fill="F1EFE5"/>
            <w:vAlign w:val="center"/>
          </w:tcPr>
          <w:p>
            <w:pPr>
              <w:spacing w:after="0"/>
            </w:pPr>
            <w:r>
              <w:rPr>
                <w:rFonts w:ascii="Arial" w:hAnsi="Arial"/>
                <w:color w:val="1B1B1C"/>
                <w:sz w:val="14"/>
              </w:rPr>
              <w:t>LIMS sample and method; instrument calibration and maintenance; SCADA treatment conditions; historian trends; laboratory approval; distribution model; regulatory limits.</w:t>
            </w:r>
          </w:p>
        </w:tc>
        <w:tc>
          <w:tcPr>
            <w:tcW w:type="dxa" w:w="3100"/>
            <w:tcMar>
              <w:top w:w="70" w:type="dxa"/>
              <w:start w:w="90" w:type="dxa"/>
              <w:bottom w:w="70" w:type="dxa"/>
              <w:end w:w="90" w:type="dxa"/>
            </w:tcMar>
            <w:shd w:fill="F1EFE5"/>
            <w:vAlign w:val="center"/>
          </w:tcPr>
          <w:p>
            <w:pPr>
              <w:spacing w:after="0"/>
            </w:pPr>
            <w:r>
              <w:rPr>
                <w:rFonts w:ascii="Arial" w:hAnsi="Arial"/>
                <w:color w:val="1B1B1C"/>
                <w:sz w:val="14"/>
              </w:rPr>
              <w:t>A defensible release or escalation decision with custody, method, condition, approval and exception evidence.</w:t>
            </w:r>
          </w:p>
        </w:tc>
      </w:tr>
      <w:tr>
        <w:trPr>
          <w:cantSplit/>
        </w:trPr>
        <w:tc>
          <w:tcPr>
            <w:tcW w:type="dxa" w:w="1900"/>
            <w:tcMar>
              <w:top w:w="70" w:type="dxa"/>
              <w:start w:w="90" w:type="dxa"/>
              <w:bottom w:w="70" w:type="dxa"/>
              <w:end w:w="90" w:type="dxa"/>
            </w:tcMar>
            <w:vAlign w:val="center"/>
          </w:tcPr>
          <w:p>
            <w:pPr>
              <w:spacing w:after="0"/>
            </w:pPr>
            <w:r>
              <w:rPr>
                <w:rFonts w:ascii="Arial" w:hAnsi="Arial"/>
                <w:b/>
                <w:color w:val="0E2530"/>
                <w:sz w:val="14"/>
              </w:rPr>
              <w:t>Capital renewal priority</w:t>
            </w:r>
          </w:p>
        </w:tc>
        <w:tc>
          <w:tcPr>
            <w:tcW w:type="dxa" w:w="4300"/>
            <w:tcMar>
              <w:top w:w="70" w:type="dxa"/>
              <w:start w:w="90" w:type="dxa"/>
              <w:bottom w:w="70" w:type="dxa"/>
              <w:end w:w="90" w:type="dxa"/>
            </w:tcMar>
            <w:vAlign w:val="center"/>
          </w:tcPr>
          <w:p>
            <w:pPr>
              <w:spacing w:after="0"/>
            </w:pPr>
            <w:r>
              <w:rPr>
                <w:rFonts w:ascii="Arial" w:hAnsi="Arial"/>
                <w:color w:val="1B1B1C"/>
                <w:sz w:val="14"/>
              </w:rPr>
              <w:t>GIS asset identity; CMMS or EAM failure and work history; hydraulic or process model; AMI demand; customer impact; climate stress; cost and regulatory commitments.</w:t>
            </w:r>
          </w:p>
        </w:tc>
        <w:tc>
          <w:tcPr>
            <w:tcW w:type="dxa" w:w="3100"/>
            <w:tcMar>
              <w:top w:w="70" w:type="dxa"/>
              <w:start w:w="90" w:type="dxa"/>
              <w:bottom w:w="70" w:type="dxa"/>
              <w:end w:w="90" w:type="dxa"/>
            </w:tcMar>
            <w:vAlign w:val="center"/>
          </w:tcPr>
          <w:p>
            <w:pPr>
              <w:spacing w:after="0"/>
            </w:pPr>
            <w:r>
              <w:rPr>
                <w:rFonts w:ascii="Arial" w:hAnsi="Arial"/>
                <w:color w:val="1B1B1C"/>
                <w:sz w:val="14"/>
              </w:rPr>
              <w:t>A ranked investment decision that can be traced from physical condition and modeled consequence to funding.</w:t>
            </w:r>
          </w:p>
        </w:tc>
      </w:tr>
      <w:tr>
        <w:trPr>
          <w:cantSplit/>
        </w:trPr>
        <w:tc>
          <w:tcPr>
            <w:tcW w:type="dxa" w:w="1900"/>
            <w:tcMar>
              <w:top w:w="70" w:type="dxa"/>
              <w:start w:w="90" w:type="dxa"/>
              <w:bottom w:w="70" w:type="dxa"/>
              <w:end w:w="90" w:type="dxa"/>
            </w:tcMar>
            <w:shd w:fill="F1EFE5"/>
            <w:vAlign w:val="center"/>
          </w:tcPr>
          <w:p>
            <w:pPr>
              <w:spacing w:after="0"/>
            </w:pPr>
            <w:r>
              <w:rPr>
                <w:rFonts w:ascii="Arial" w:hAnsi="Arial"/>
                <w:b/>
                <w:color w:val="0E2530"/>
                <w:sz w:val="14"/>
              </w:rPr>
              <w:t>Customer leak or billing correction</w:t>
            </w:r>
          </w:p>
        </w:tc>
        <w:tc>
          <w:tcPr>
            <w:tcW w:type="dxa" w:w="4300"/>
            <w:tcMar>
              <w:top w:w="70" w:type="dxa"/>
              <w:start w:w="90" w:type="dxa"/>
              <w:bottom w:w="70" w:type="dxa"/>
              <w:end w:w="90" w:type="dxa"/>
            </w:tcMar>
            <w:shd w:fill="F1EFE5"/>
            <w:vAlign w:val="center"/>
          </w:tcPr>
          <w:p>
            <w:pPr>
              <w:spacing w:after="0"/>
            </w:pPr>
            <w:r>
              <w:rPr>
                <w:rFonts w:ascii="Arial" w:hAnsi="Arial"/>
                <w:color w:val="1B1B1C"/>
                <w:sz w:val="14"/>
              </w:rPr>
              <w:t>AMI interval data; meter events; customer information system (CIS) account and billing; GIS service location; field work order; estimation rule; notice and correction history.</w:t>
            </w:r>
          </w:p>
        </w:tc>
        <w:tc>
          <w:tcPr>
            <w:tcW w:type="dxa" w:w="3100"/>
            <w:tcMar>
              <w:top w:w="70" w:type="dxa"/>
              <w:start w:w="90" w:type="dxa"/>
              <w:bottom w:w="70" w:type="dxa"/>
              <w:end w:w="90" w:type="dxa"/>
            </w:tcMar>
            <w:shd w:fill="F1EFE5"/>
            <w:vAlign w:val="center"/>
          </w:tcPr>
          <w:p>
            <w:pPr>
              <w:spacing w:after="0"/>
            </w:pPr>
            <w:r>
              <w:rPr>
                <w:rFonts w:ascii="Arial" w:hAnsi="Arial"/>
                <w:color w:val="1B1B1C"/>
                <w:sz w:val="14"/>
              </w:rPr>
              <w:t>A fair, reconstructable customer outcome with purpose, source, estimate, review and redress.</w:t>
            </w:r>
          </w:p>
        </w:tc>
      </w:tr>
    </w:tbl>
    <w:p>
      <w:pPr>
        <w:spacing w:after="0"/>
      </w:pPr>
    </w:p>
    <w:tbl>
      <w:tblPr>
        <w:tblW w:type="auto" w:w="0"/>
        <w:jc w:val="center"/>
        <w:tblLayout w:type="fixed"/>
        <w:tblLook w:firstColumn="1" w:firstRow="1" w:lastColumn="0" w:lastRow="0" w:noHBand="0" w:noVBand="1" w:val="04A0"/>
        <w:tblBorders>
          <w:top w:val="single" w:sz="10" w:space="0" w:color="C9A26A"/>
          <w:left w:val="single" w:sz="10" w:space="0" w:color="C9A26A"/>
          <w:bottom w:val="single" w:sz="10" w:space="0" w:color="C9A26A"/>
          <w:right w:val="single" w:sz="10" w:space="0" w:color="C9A26A"/>
          <w:insideH w:val="single" w:sz="10" w:space="0" w:color="C9A26A"/>
          <w:insideV w:val="single" w:sz="10" w:space="0" w:color="C9A26A"/>
        </w:tblBorders>
      </w:tblPr>
      <w:tblGrid>
        <w:gridCol w:w="9820"/>
      </w:tblGrid>
      <w:tr>
        <w:trPr>
          <w:cantSplit/>
        </w:trPr>
        <w:tc>
          <w:tcPr>
            <w:tcW w:type="dxa" w:w="9820"/>
            <w:shd w:fill="FFF7E6"/>
            <w:tcMar>
              <w:top w:w="140" w:type="dxa"/>
              <w:start w:w="170" w:type="dxa"/>
              <w:bottom w:w="140" w:type="dxa"/>
              <w:end w:w="170" w:type="dxa"/>
            </w:tcMar>
          </w:tcPr>
          <w:p>
            <w:pPr>
              <w:spacing w:after="80"/>
            </w:pPr>
            <w:r>
              <w:rPr>
                <w:rFonts w:ascii="Arial" w:hAnsi="Arial"/>
                <w:b/>
                <w:color w:val="C9A26A"/>
                <w:sz w:val="20"/>
              </w:rPr>
              <w:t>The fragmentation tax</w:t>
            </w:r>
          </w:p>
          <w:p>
            <w:pPr>
              <w:spacing w:after="0"/>
            </w:pPr>
            <w:r>
              <w:rPr>
                <w:rFonts w:ascii="Arial" w:hAnsi="Arial"/>
                <w:color w:val="1B1B1C"/>
                <w:sz w:val="20"/>
              </w:rPr>
              <w:t>When these systems do not share identifiers, time, meaning and evidence, staff rebuild the truth by hand. The delay is expensive; the inconsistency is a governance risk; and the resulting AI learns the fragmentation rather than resolving it.</w:t>
            </w:r>
          </w:p>
        </w:tc>
      </w:tr>
    </w:tbl>
    <w:p>
      <w:pPr>
        <w:spacing w:after="0"/>
      </w:pPr>
    </w:p>
    <w:p>
      <w:pPr>
        <w:pStyle w:val="Heading2"/>
      </w:pPr>
      <w:r>
        <w:t>Minimum governed domains</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3273"/>
        <w:gridCol w:w="3273"/>
        <w:gridCol w:w="3273"/>
      </w:tblGrid>
      <w:tr>
        <w:trPr>
          <w:tblHeader w:val="true"/>
          <w:cantSplit/>
        </w:trPr>
        <w:tc>
          <w:tcPr>
            <w:tcW w:type="dxa" w:w="1700"/>
            <w:tcMar>
              <w:top w:w="75" w:type="dxa"/>
              <w:start w:w="90" w:type="dxa"/>
              <w:bottom w:w="75" w:type="dxa"/>
              <w:end w:w="90" w:type="dxa"/>
            </w:tcMar>
            <w:shd w:fill="1B1B1C"/>
          </w:tcPr>
          <w:p>
            <w:pPr>
              <w:spacing w:after="0"/>
            </w:pPr>
            <w:r>
              <w:rPr>
                <w:rFonts w:ascii="Arial" w:hAnsi="Arial"/>
                <w:b/>
                <w:color w:val="FFFFFF"/>
                <w:sz w:val="15"/>
              </w:rPr>
              <w:t>Domain</w:t>
            </w:r>
          </w:p>
        </w:tc>
        <w:tc>
          <w:tcPr>
            <w:tcW w:type="dxa" w:w="3400"/>
            <w:tcMar>
              <w:top w:w="75" w:type="dxa"/>
              <w:start w:w="90" w:type="dxa"/>
              <w:bottom w:w="75" w:type="dxa"/>
              <w:end w:w="90" w:type="dxa"/>
            </w:tcMar>
            <w:shd w:fill="1B1B1C"/>
          </w:tcPr>
          <w:p>
            <w:pPr>
              <w:spacing w:after="0"/>
            </w:pPr>
            <w:r>
              <w:rPr>
                <w:rFonts w:ascii="Arial" w:hAnsi="Arial"/>
                <w:b/>
                <w:color w:val="FFFFFF"/>
                <w:sz w:val="15"/>
              </w:rPr>
              <w:t>Typical systems</w:t>
            </w:r>
          </w:p>
        </w:tc>
        <w:tc>
          <w:tcPr>
            <w:tcW w:type="dxa" w:w="4200"/>
            <w:tcMar>
              <w:top w:w="75" w:type="dxa"/>
              <w:start w:w="90" w:type="dxa"/>
              <w:bottom w:w="75" w:type="dxa"/>
              <w:end w:w="90" w:type="dxa"/>
            </w:tcMar>
            <w:shd w:fill="1B1B1C"/>
          </w:tcPr>
          <w:p>
            <w:pPr>
              <w:spacing w:after="0"/>
            </w:pPr>
            <w:r>
              <w:rPr>
                <w:rFonts w:ascii="Arial" w:hAnsi="Arial"/>
                <w:b/>
                <w:color w:val="FFFFFF"/>
                <w:sz w:val="15"/>
              </w:rPr>
              <w:t>Minimum evidence</w:t>
            </w:r>
          </w:p>
        </w:tc>
      </w:tr>
      <w:tr>
        <w:trPr>
          <w:cantSplit/>
        </w:trPr>
        <w:tc>
          <w:tcPr>
            <w:tcW w:type="dxa" w:w="1700"/>
            <w:tcMar>
              <w:top w:w="70" w:type="dxa"/>
              <w:start w:w="90" w:type="dxa"/>
              <w:bottom w:w="70" w:type="dxa"/>
              <w:end w:w="90" w:type="dxa"/>
            </w:tcMar>
            <w:vAlign w:val="center"/>
          </w:tcPr>
          <w:p>
            <w:pPr>
              <w:spacing w:after="0"/>
            </w:pPr>
            <w:r>
              <w:rPr>
                <w:rFonts w:ascii="Arial" w:hAnsi="Arial"/>
                <w:b/>
                <w:color w:val="0E2530"/>
                <w:sz w:val="15"/>
              </w:rPr>
              <w:t>Network and assets</w:t>
            </w:r>
          </w:p>
        </w:tc>
        <w:tc>
          <w:tcPr>
            <w:tcW w:type="dxa" w:w="3400"/>
            <w:tcMar>
              <w:top w:w="70" w:type="dxa"/>
              <w:start w:w="90" w:type="dxa"/>
              <w:bottom w:w="70" w:type="dxa"/>
              <w:end w:w="90" w:type="dxa"/>
            </w:tcMar>
            <w:vAlign w:val="center"/>
          </w:tcPr>
          <w:p>
            <w:pPr>
              <w:spacing w:after="0"/>
            </w:pPr>
            <w:r>
              <w:rPr>
                <w:rFonts w:ascii="Arial" w:hAnsi="Arial"/>
                <w:color w:val="1B1B1C"/>
                <w:sz w:val="15"/>
              </w:rPr>
              <w:t>GIS, network model, EAM, CMMS, drawings and condition records.</w:t>
            </w:r>
          </w:p>
        </w:tc>
        <w:tc>
          <w:tcPr>
            <w:tcW w:type="dxa" w:w="4200"/>
            <w:tcMar>
              <w:top w:w="70" w:type="dxa"/>
              <w:start w:w="90" w:type="dxa"/>
              <w:bottom w:w="70" w:type="dxa"/>
              <w:end w:w="90" w:type="dxa"/>
            </w:tcMar>
            <w:vAlign w:val="center"/>
          </w:tcPr>
          <w:p>
            <w:pPr>
              <w:spacing w:after="0"/>
            </w:pPr>
            <w:r>
              <w:rPr>
                <w:rFonts w:ascii="Arial" w:hAnsi="Arial"/>
                <w:color w:val="1B1B1C"/>
                <w:sz w:val="15"/>
              </w:rPr>
              <w:t>Asset and location ID, version, as-built state, criticality and owner.</w:t>
            </w:r>
          </w:p>
        </w:tc>
      </w:tr>
      <w:tr>
        <w:trPr>
          <w:cantSplit/>
        </w:trPr>
        <w:tc>
          <w:tcPr>
            <w:tcW w:type="dxa" w:w="1700"/>
            <w:tcMar>
              <w:top w:w="70" w:type="dxa"/>
              <w:start w:w="90" w:type="dxa"/>
              <w:bottom w:w="70" w:type="dxa"/>
              <w:end w:w="90" w:type="dxa"/>
            </w:tcMar>
            <w:shd w:fill="F1EFE5"/>
            <w:vAlign w:val="center"/>
          </w:tcPr>
          <w:p>
            <w:pPr>
              <w:spacing w:after="0"/>
            </w:pPr>
            <w:r>
              <w:rPr>
                <w:rFonts w:ascii="Arial" w:hAnsi="Arial"/>
                <w:b/>
                <w:color w:val="0E2530"/>
                <w:sz w:val="15"/>
              </w:rPr>
              <w:t>Operations and telemetry</w:t>
            </w:r>
          </w:p>
        </w:tc>
        <w:tc>
          <w:tcPr>
            <w:tcW w:type="dxa" w:w="3400"/>
            <w:tcMar>
              <w:top w:w="70" w:type="dxa"/>
              <w:start w:w="90" w:type="dxa"/>
              <w:bottom w:w="70" w:type="dxa"/>
              <w:end w:w="90" w:type="dxa"/>
            </w:tcMar>
            <w:shd w:fill="F1EFE5"/>
            <w:vAlign w:val="center"/>
          </w:tcPr>
          <w:p>
            <w:pPr>
              <w:spacing w:after="0"/>
            </w:pPr>
            <w:r>
              <w:rPr>
                <w:rFonts w:ascii="Arial" w:hAnsi="Arial"/>
                <w:color w:val="1B1B1C"/>
                <w:sz w:val="15"/>
              </w:rPr>
              <w:t>SCADA, historian, alarms, controls, AMI and IoT.</w:t>
            </w:r>
          </w:p>
        </w:tc>
        <w:tc>
          <w:tcPr>
            <w:tcW w:type="dxa" w:w="4200"/>
            <w:tcMar>
              <w:top w:w="70" w:type="dxa"/>
              <w:start w:w="90" w:type="dxa"/>
              <w:bottom w:w="70" w:type="dxa"/>
              <w:end w:w="90" w:type="dxa"/>
            </w:tcMar>
            <w:shd w:fill="F1EFE5"/>
            <w:vAlign w:val="center"/>
          </w:tcPr>
          <w:p>
            <w:pPr>
              <w:spacing w:after="0"/>
            </w:pPr>
            <w:r>
              <w:rPr>
                <w:rFonts w:ascii="Arial" w:hAnsi="Arial"/>
                <w:color w:val="1B1B1C"/>
                <w:sz w:val="15"/>
              </w:rPr>
              <w:t>Sensor identity, time, unit, quality flag, calibration and communication state.</w:t>
            </w:r>
          </w:p>
        </w:tc>
      </w:tr>
      <w:tr>
        <w:trPr>
          <w:cantSplit/>
        </w:trPr>
        <w:tc>
          <w:tcPr>
            <w:tcW w:type="dxa" w:w="1700"/>
            <w:tcMar>
              <w:top w:w="70" w:type="dxa"/>
              <w:start w:w="90" w:type="dxa"/>
              <w:bottom w:w="70" w:type="dxa"/>
              <w:end w:w="90" w:type="dxa"/>
            </w:tcMar>
            <w:vAlign w:val="center"/>
          </w:tcPr>
          <w:p>
            <w:pPr>
              <w:spacing w:after="0"/>
            </w:pPr>
            <w:r>
              <w:rPr>
                <w:rFonts w:ascii="Arial" w:hAnsi="Arial"/>
                <w:b/>
                <w:color w:val="0E2530"/>
                <w:sz w:val="15"/>
              </w:rPr>
              <w:t>Water and product quality</w:t>
            </w:r>
          </w:p>
        </w:tc>
        <w:tc>
          <w:tcPr>
            <w:tcW w:type="dxa" w:w="3400"/>
            <w:tcMar>
              <w:top w:w="70" w:type="dxa"/>
              <w:start w:w="90" w:type="dxa"/>
              <w:bottom w:w="70" w:type="dxa"/>
              <w:end w:w="90" w:type="dxa"/>
            </w:tcMar>
            <w:vAlign w:val="center"/>
          </w:tcPr>
          <w:p>
            <w:pPr>
              <w:spacing w:after="0"/>
            </w:pPr>
            <w:r>
              <w:rPr>
                <w:rFonts w:ascii="Arial" w:hAnsi="Arial"/>
                <w:color w:val="1B1B1C"/>
                <w:sz w:val="15"/>
              </w:rPr>
              <w:t>LIMS, sample, method, instrument and laboratory result.</w:t>
            </w:r>
          </w:p>
        </w:tc>
        <w:tc>
          <w:tcPr>
            <w:tcW w:type="dxa" w:w="4200"/>
            <w:tcMar>
              <w:top w:w="70" w:type="dxa"/>
              <w:start w:w="90" w:type="dxa"/>
              <w:bottom w:w="70" w:type="dxa"/>
              <w:end w:w="90" w:type="dxa"/>
            </w:tcMar>
            <w:vAlign w:val="center"/>
          </w:tcPr>
          <w:p>
            <w:pPr>
              <w:spacing w:after="0"/>
            </w:pPr>
            <w:r>
              <w:rPr>
                <w:rFonts w:ascii="Arial" w:hAnsi="Arial"/>
                <w:color w:val="1B1B1C"/>
                <w:sz w:val="15"/>
              </w:rPr>
              <w:t>Sample, site and method IDs, detection limit, custody, approval and amendment history.</w:t>
            </w:r>
          </w:p>
        </w:tc>
      </w:tr>
      <w:tr>
        <w:trPr>
          <w:cantSplit/>
        </w:trPr>
        <w:tc>
          <w:tcPr>
            <w:tcW w:type="dxa" w:w="1700"/>
            <w:tcMar>
              <w:top w:w="70" w:type="dxa"/>
              <w:start w:w="90" w:type="dxa"/>
              <w:bottom w:w="70" w:type="dxa"/>
              <w:end w:w="90" w:type="dxa"/>
            </w:tcMar>
            <w:shd w:fill="F1EFE5"/>
            <w:vAlign w:val="center"/>
          </w:tcPr>
          <w:p>
            <w:pPr>
              <w:spacing w:after="0"/>
            </w:pPr>
            <w:r>
              <w:rPr>
                <w:rFonts w:ascii="Arial" w:hAnsi="Arial"/>
                <w:b/>
                <w:color w:val="0E2530"/>
                <w:sz w:val="15"/>
              </w:rPr>
              <w:t>Customer and usage</w:t>
            </w:r>
          </w:p>
        </w:tc>
        <w:tc>
          <w:tcPr>
            <w:tcW w:type="dxa" w:w="3400"/>
            <w:tcMar>
              <w:top w:w="70" w:type="dxa"/>
              <w:start w:w="90" w:type="dxa"/>
              <w:bottom w:w="70" w:type="dxa"/>
              <w:end w:w="90" w:type="dxa"/>
            </w:tcMar>
            <w:shd w:fill="F1EFE5"/>
            <w:vAlign w:val="center"/>
          </w:tcPr>
          <w:p>
            <w:pPr>
              <w:spacing w:after="0"/>
            </w:pPr>
            <w:r>
              <w:rPr>
                <w:rFonts w:ascii="Arial" w:hAnsi="Arial"/>
                <w:color w:val="1B1B1C"/>
                <w:sz w:val="15"/>
              </w:rPr>
              <w:t>Account, meter, interval use, contact, assistance and billing.</w:t>
            </w:r>
          </w:p>
        </w:tc>
        <w:tc>
          <w:tcPr>
            <w:tcW w:type="dxa" w:w="4200"/>
            <w:tcMar>
              <w:top w:w="70" w:type="dxa"/>
              <w:start w:w="90" w:type="dxa"/>
              <w:bottom w:w="70" w:type="dxa"/>
              <w:end w:w="90" w:type="dxa"/>
            </w:tcMar>
            <w:shd w:fill="F1EFE5"/>
            <w:vAlign w:val="center"/>
          </w:tcPr>
          <w:p>
            <w:pPr>
              <w:spacing w:after="0"/>
            </w:pPr>
            <w:r>
              <w:rPr>
                <w:rFonts w:ascii="Arial" w:hAnsi="Arial"/>
                <w:color w:val="1B1B1C"/>
                <w:sz w:val="15"/>
              </w:rPr>
              <w:t>Purpose, privacy, meter-account link, estimate, correction, notice and retention.</w:t>
            </w:r>
          </w:p>
        </w:tc>
      </w:tr>
      <w:tr>
        <w:trPr>
          <w:cantSplit/>
        </w:trPr>
        <w:tc>
          <w:tcPr>
            <w:tcW w:type="dxa" w:w="1700"/>
            <w:tcMar>
              <w:top w:w="70" w:type="dxa"/>
              <w:start w:w="90" w:type="dxa"/>
              <w:bottom w:w="70" w:type="dxa"/>
              <w:end w:w="90" w:type="dxa"/>
            </w:tcMar>
            <w:vAlign w:val="center"/>
          </w:tcPr>
          <w:p>
            <w:pPr>
              <w:spacing w:after="0"/>
            </w:pPr>
            <w:r>
              <w:rPr>
                <w:rFonts w:ascii="Arial" w:hAnsi="Arial"/>
                <w:b/>
                <w:color w:val="0E2530"/>
                <w:sz w:val="15"/>
              </w:rPr>
              <w:t>Work and field</w:t>
            </w:r>
          </w:p>
        </w:tc>
        <w:tc>
          <w:tcPr>
            <w:tcW w:type="dxa" w:w="3400"/>
            <w:tcMar>
              <w:top w:w="70" w:type="dxa"/>
              <w:start w:w="90" w:type="dxa"/>
              <w:bottom w:w="70" w:type="dxa"/>
              <w:end w:w="90" w:type="dxa"/>
            </w:tcMar>
            <w:vAlign w:val="center"/>
          </w:tcPr>
          <w:p>
            <w:pPr>
              <w:spacing w:after="0"/>
            </w:pPr>
            <w:r>
              <w:rPr>
                <w:rFonts w:ascii="Arial" w:hAnsi="Arial"/>
                <w:color w:val="1B1B1C"/>
                <w:sz w:val="15"/>
              </w:rPr>
              <w:t>Work order, inspection, image, crew, material and completion.</w:t>
            </w:r>
          </w:p>
        </w:tc>
        <w:tc>
          <w:tcPr>
            <w:tcW w:type="dxa" w:w="4200"/>
            <w:tcMar>
              <w:top w:w="70" w:type="dxa"/>
              <w:start w:w="90" w:type="dxa"/>
              <w:bottom w:w="70" w:type="dxa"/>
              <w:end w:w="90" w:type="dxa"/>
            </w:tcMar>
            <w:vAlign w:val="center"/>
          </w:tcPr>
          <w:p>
            <w:pPr>
              <w:spacing w:after="0"/>
            </w:pPr>
            <w:r>
              <w:rPr>
                <w:rFonts w:ascii="Arial" w:hAnsi="Arial"/>
                <w:color w:val="1B1B1C"/>
                <w:sz w:val="15"/>
              </w:rPr>
              <w:t>Asset link, actor, time, mobile sync, evidence and approval.</w:t>
            </w:r>
          </w:p>
        </w:tc>
      </w:tr>
      <w:tr>
        <w:trPr>
          <w:cantSplit/>
        </w:trPr>
        <w:tc>
          <w:tcPr>
            <w:tcW w:type="dxa" w:w="1700"/>
            <w:tcMar>
              <w:top w:w="70" w:type="dxa"/>
              <w:start w:w="90" w:type="dxa"/>
              <w:bottom w:w="70" w:type="dxa"/>
              <w:end w:w="90" w:type="dxa"/>
            </w:tcMar>
            <w:shd w:fill="F1EFE5"/>
            <w:vAlign w:val="center"/>
          </w:tcPr>
          <w:p>
            <w:pPr>
              <w:spacing w:after="0"/>
            </w:pPr>
            <w:r>
              <w:rPr>
                <w:rFonts w:ascii="Arial" w:hAnsi="Arial"/>
                <w:b/>
                <w:color w:val="0E2530"/>
                <w:sz w:val="15"/>
              </w:rPr>
              <w:t>Environment and climate</w:t>
            </w:r>
          </w:p>
        </w:tc>
        <w:tc>
          <w:tcPr>
            <w:tcW w:type="dxa" w:w="3400"/>
            <w:tcMar>
              <w:top w:w="70" w:type="dxa"/>
              <w:start w:w="90" w:type="dxa"/>
              <w:bottom w:w="70" w:type="dxa"/>
              <w:end w:w="90" w:type="dxa"/>
            </w:tcMar>
            <w:shd w:fill="F1EFE5"/>
            <w:vAlign w:val="center"/>
          </w:tcPr>
          <w:p>
            <w:pPr>
              <w:spacing w:after="0"/>
            </w:pPr>
            <w:r>
              <w:rPr>
                <w:rFonts w:ascii="Arial" w:hAnsi="Arial"/>
                <w:color w:val="1B1B1C"/>
                <w:sz w:val="15"/>
              </w:rPr>
              <w:t>Weather, flood, drought, discharge, catchment and emissions.</w:t>
            </w:r>
          </w:p>
        </w:tc>
        <w:tc>
          <w:tcPr>
            <w:tcW w:type="dxa" w:w="4200"/>
            <w:tcMar>
              <w:top w:w="70" w:type="dxa"/>
              <w:start w:w="90" w:type="dxa"/>
              <w:bottom w:w="70" w:type="dxa"/>
              <w:end w:w="90" w:type="dxa"/>
            </w:tcMar>
            <w:shd w:fill="F1EFE5"/>
            <w:vAlign w:val="center"/>
          </w:tcPr>
          <w:p>
            <w:pPr>
              <w:spacing w:after="0"/>
            </w:pPr>
            <w:r>
              <w:rPr>
                <w:rFonts w:ascii="Arial" w:hAnsi="Arial"/>
                <w:color w:val="1B1B1C"/>
                <w:sz w:val="15"/>
              </w:rPr>
              <w:t>Source rights, location, time, resolution, scenario, version and quality.</w:t>
            </w:r>
          </w:p>
        </w:tc>
      </w:tr>
      <w:tr>
        <w:trPr>
          <w:cantSplit/>
        </w:trPr>
        <w:tc>
          <w:tcPr>
            <w:tcW w:type="dxa" w:w="1700"/>
            <w:tcMar>
              <w:top w:w="70" w:type="dxa"/>
              <w:start w:w="90" w:type="dxa"/>
              <w:bottom w:w="70" w:type="dxa"/>
              <w:end w:w="90" w:type="dxa"/>
            </w:tcMar>
            <w:vAlign w:val="center"/>
          </w:tcPr>
          <w:p>
            <w:pPr>
              <w:spacing w:after="0"/>
            </w:pPr>
            <w:r>
              <w:rPr>
                <w:rFonts w:ascii="Arial" w:hAnsi="Arial"/>
                <w:b/>
                <w:color w:val="0E2530"/>
                <w:sz w:val="15"/>
              </w:rPr>
              <w:t>Regulatory and finance</w:t>
            </w:r>
          </w:p>
        </w:tc>
        <w:tc>
          <w:tcPr>
            <w:tcW w:type="dxa" w:w="3400"/>
            <w:tcMar>
              <w:top w:w="70" w:type="dxa"/>
              <w:start w:w="90" w:type="dxa"/>
              <w:bottom w:w="70" w:type="dxa"/>
              <w:end w:w="90" w:type="dxa"/>
            </w:tcMar>
            <w:vAlign w:val="center"/>
          </w:tcPr>
          <w:p>
            <w:pPr>
              <w:spacing w:after="0"/>
            </w:pPr>
            <w:r>
              <w:rPr>
                <w:rFonts w:ascii="Arial" w:hAnsi="Arial"/>
                <w:color w:val="1B1B1C"/>
                <w:sz w:val="15"/>
              </w:rPr>
              <w:t>Performance return, tariff, incident, capital and board reporting.</w:t>
            </w:r>
          </w:p>
        </w:tc>
        <w:tc>
          <w:tcPr>
            <w:tcW w:type="dxa" w:w="4200"/>
            <w:tcMar>
              <w:top w:w="70" w:type="dxa"/>
              <w:start w:w="90" w:type="dxa"/>
              <w:bottom w:w="70" w:type="dxa"/>
              <w:end w:w="90" w:type="dxa"/>
            </w:tcMar>
            <w:vAlign w:val="center"/>
          </w:tcPr>
          <w:p>
            <w:pPr>
              <w:spacing w:after="0"/>
            </w:pPr>
            <w:r>
              <w:rPr>
                <w:rFonts w:ascii="Arial" w:hAnsi="Arial"/>
                <w:color w:val="1B1B1C"/>
                <w:sz w:val="15"/>
              </w:rPr>
              <w:t>Authoritative source, lineage, period, reconciliation and sign-off.</w:t>
            </w:r>
          </w:p>
        </w:tc>
      </w:tr>
      <w:tr>
        <w:trPr>
          <w:cantSplit/>
        </w:trPr>
        <w:tc>
          <w:tcPr>
            <w:tcW w:type="dxa" w:w="1700"/>
            <w:tcMar>
              <w:top w:w="70" w:type="dxa"/>
              <w:start w:w="90" w:type="dxa"/>
              <w:bottom w:w="70" w:type="dxa"/>
              <w:end w:w="90" w:type="dxa"/>
            </w:tcMar>
            <w:shd w:fill="F1EFE5"/>
            <w:vAlign w:val="center"/>
          </w:tcPr>
          <w:p>
            <w:pPr>
              <w:spacing w:after="0"/>
            </w:pPr>
            <w:r>
              <w:rPr>
                <w:rFonts w:ascii="Arial" w:hAnsi="Arial"/>
                <w:b/>
                <w:color w:val="0E2530"/>
                <w:sz w:val="15"/>
              </w:rPr>
              <w:t>Analytics and AI</w:t>
            </w:r>
          </w:p>
        </w:tc>
        <w:tc>
          <w:tcPr>
            <w:tcW w:type="dxa" w:w="3400"/>
            <w:tcMar>
              <w:top w:w="70" w:type="dxa"/>
              <w:start w:w="90" w:type="dxa"/>
              <w:bottom w:w="70" w:type="dxa"/>
              <w:end w:w="90" w:type="dxa"/>
            </w:tcMar>
            <w:shd w:fill="F1EFE5"/>
            <w:vAlign w:val="center"/>
          </w:tcPr>
          <w:p>
            <w:pPr>
              <w:spacing w:after="0"/>
            </w:pPr>
            <w:r>
              <w:rPr>
                <w:rFonts w:ascii="Arial" w:hAnsi="Arial"/>
                <w:color w:val="1B1B1C"/>
                <w:sz w:val="15"/>
              </w:rPr>
              <w:t>Features, training and evaluation data, model input, output, prompt and context.</w:t>
            </w:r>
          </w:p>
        </w:tc>
        <w:tc>
          <w:tcPr>
            <w:tcW w:type="dxa" w:w="4200"/>
            <w:tcMar>
              <w:top w:w="70" w:type="dxa"/>
              <w:start w:w="90" w:type="dxa"/>
              <w:bottom w:w="70" w:type="dxa"/>
              <w:end w:w="90" w:type="dxa"/>
            </w:tcMar>
            <w:shd w:fill="F1EFE5"/>
            <w:vAlign w:val="center"/>
          </w:tcPr>
          <w:p>
            <w:pPr>
              <w:spacing w:after="0"/>
            </w:pPr>
            <w:r>
              <w:rPr>
                <w:rFonts w:ascii="Arial" w:hAnsi="Arial"/>
                <w:color w:val="1B1B1C"/>
                <w:sz w:val="15"/>
              </w:rPr>
              <w:t>Use case, source rights, version, provenance, suitability, limits and monitoring.</w:t>
            </w:r>
          </w:p>
        </w:tc>
      </w:tr>
    </w:tbl>
    <w:p>
      <w:pPr>
        <w:spacing w:after="0"/>
      </w:pPr>
    </w:p>
    <w:p>
      <w:pPr>
        <w:spacing w:before="120" w:after="0"/>
        <w:jc w:val="center"/>
      </w:pPr>
      <w:r>
        <w:drawing>
          <wp:inline xmlns:a="http://schemas.openxmlformats.org/drawingml/2006/main" xmlns:pic="http://schemas.openxmlformats.org/drawingml/2006/picture">
            <wp:extent cx="6126480" cy="3539744"/>
            <wp:docPr id="12" name="Picture 12" title="Figure 7. A decision is only as strong as its evidence chain" descr="A utility should be able to trace a material decision back through the report or model, each transformation, the authoritative source, the accountable people and the control results."/>
            <wp:cNvGraphicFramePr>
              <a:graphicFrameLocks noChangeAspect="1"/>
            </wp:cNvGraphicFramePr>
            <a:graphic>
              <a:graphicData uri="http://schemas.openxmlformats.org/drawingml/2006/picture">
                <pic:pic>
                  <pic:nvPicPr>
                    <pic:cNvPr id="0" name="07_decision_chain.png"/>
                    <pic:cNvPicPr/>
                  </pic:nvPicPr>
                  <pic:blipFill>
                    <a:blip r:embed="rId35"/>
                    <a:stretch>
                      <a:fillRect/>
                    </a:stretch>
                  </pic:blipFill>
                  <pic:spPr>
                    <a:xfrm>
                      <a:off x="0" y="0"/>
                      <a:ext cx="6126480" cy="3539744"/>
                    </a:xfrm>
                    <a:prstGeom prst="rect"/>
                  </pic:spPr>
                </pic:pic>
              </a:graphicData>
            </a:graphic>
          </wp:inline>
        </w:drawing>
      </w:r>
    </w:p>
    <w:p>
      <w:pPr>
        <w:pStyle w:val="Caption"/>
        <w:jc w:val="left"/>
      </w:pPr>
      <w:r>
        <w:t>Figure 7. A decision is only as strong as its evidence chain</w:t>
      </w:r>
    </w:p>
    <w:p>
      <w:pPr>
        <w:spacing w:after="40"/>
      </w:pPr>
      <w:r>
        <w:rPr>
          <w:b/>
          <w:color w:val="2F7F9E"/>
        </w:rPr>
        <w:t xml:space="preserve">What this shows. </w:t>
      </w:r>
      <w:r>
        <w:t>A utility should be able to trace a material decision back through the report or model, each transformation, the authoritative source, the accountable people and the control results.</w:t>
      </w:r>
    </w:p>
    <w:p>
      <w:pPr>
        <w:spacing w:after="180"/>
      </w:pPr>
      <w:r>
        <w:rPr>
          <w:rFonts w:ascii="Arial" w:hAnsi="Arial"/>
          <w:i/>
          <w:color w:val="7D766A"/>
          <w:sz w:val="15"/>
        </w:rPr>
        <w:t>Source: APAS AI evidence-chain method.</w:t>
      </w:r>
    </w:p>
    <w:p>
      <w:pPr>
        <w:pStyle w:val="Heading2"/>
      </w:pPr>
      <w:r>
        <w:t>Use a material decision as the unit of proof</w:t>
      </w:r>
    </w:p>
    <w:p>
      <w:r>
        <w:t>The fastest way to test governance is to follow one consequential output. Select a regulatory filing, an operational alert, a customer outcome, a capital recommendation or an AI-supported decision. Trace it backward through every transformation to the authoritative source. Then trace it forward to the action, outcome, issue and correction.</w:t>
      </w:r>
    </w:p>
    <w:p>
      <w:pPr>
        <w:pStyle w:val="Heading2"/>
      </w:pPr>
      <w:r>
        <w:t>Who does the work</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3273"/>
        <w:gridCol w:w="3273"/>
        <w:gridCol w:w="3273"/>
      </w:tblGrid>
      <w:tr>
        <w:trPr>
          <w:tblHeader w:val="true"/>
          <w:cantSplit/>
        </w:trPr>
        <w:tc>
          <w:tcPr>
            <w:tcW w:type="dxa" w:w="1900"/>
            <w:tcMar>
              <w:top w:w="75" w:type="dxa"/>
              <w:start w:w="90" w:type="dxa"/>
              <w:bottom w:w="75" w:type="dxa"/>
              <w:end w:w="90" w:type="dxa"/>
            </w:tcMar>
            <w:shd w:fill="1B1B1C"/>
          </w:tcPr>
          <w:p>
            <w:pPr>
              <w:spacing w:after="0"/>
            </w:pPr>
            <w:r>
              <w:rPr>
                <w:rFonts w:ascii="Arial" w:hAnsi="Arial"/>
                <w:b/>
                <w:color w:val="FFFFFF"/>
                <w:sz w:val="15"/>
              </w:rPr>
              <w:t>Seat</w:t>
            </w:r>
          </w:p>
        </w:tc>
        <w:tc>
          <w:tcPr>
            <w:tcW w:type="dxa" w:w="3900"/>
            <w:tcMar>
              <w:top w:w="75" w:type="dxa"/>
              <w:start w:w="90" w:type="dxa"/>
              <w:bottom w:w="75" w:type="dxa"/>
              <w:end w:w="90" w:type="dxa"/>
            </w:tcMar>
            <w:shd w:fill="1B1B1C"/>
          </w:tcPr>
          <w:p>
            <w:pPr>
              <w:spacing w:after="0"/>
            </w:pPr>
            <w:r>
              <w:rPr>
                <w:rFonts w:ascii="Arial" w:hAnsi="Arial"/>
                <w:b/>
                <w:color w:val="FFFFFF"/>
                <w:sz w:val="15"/>
              </w:rPr>
              <w:t>Accountability</w:t>
            </w:r>
          </w:p>
        </w:tc>
        <w:tc>
          <w:tcPr>
            <w:tcW w:type="dxa" w:w="3500"/>
            <w:tcMar>
              <w:top w:w="75" w:type="dxa"/>
              <w:start w:w="90" w:type="dxa"/>
              <w:bottom w:w="75" w:type="dxa"/>
              <w:end w:w="90" w:type="dxa"/>
            </w:tcMar>
            <w:shd w:fill="1B1B1C"/>
          </w:tcPr>
          <w:p>
            <w:pPr>
              <w:spacing w:after="0"/>
            </w:pPr>
            <w:r>
              <w:rPr>
                <w:rFonts w:ascii="Arial" w:hAnsi="Arial"/>
                <w:b/>
                <w:color w:val="FFFFFF"/>
                <w:sz w:val="15"/>
              </w:rPr>
              <w:t>Proof</w:t>
            </w:r>
          </w:p>
        </w:tc>
      </w:tr>
      <w:tr>
        <w:trPr>
          <w:cantSplit/>
        </w:trPr>
        <w:tc>
          <w:tcPr>
            <w:tcW w:type="dxa" w:w="1900"/>
            <w:tcMar>
              <w:top w:w="70" w:type="dxa"/>
              <w:start w:w="90" w:type="dxa"/>
              <w:bottom w:w="70" w:type="dxa"/>
              <w:end w:w="90" w:type="dxa"/>
            </w:tcMar>
            <w:vAlign w:val="center"/>
          </w:tcPr>
          <w:p>
            <w:pPr>
              <w:spacing w:after="0"/>
            </w:pPr>
            <w:r>
              <w:rPr>
                <w:rFonts w:ascii="Arial" w:hAnsi="Arial"/>
                <w:b/>
                <w:color w:val="0E2530"/>
                <w:sz w:val="15"/>
              </w:rPr>
              <w:t>Governing body and executive</w:t>
            </w:r>
          </w:p>
        </w:tc>
        <w:tc>
          <w:tcPr>
            <w:tcW w:type="dxa" w:w="3900"/>
            <w:tcMar>
              <w:top w:w="70" w:type="dxa"/>
              <w:start w:w="90" w:type="dxa"/>
              <w:bottom w:w="70" w:type="dxa"/>
              <w:end w:w="90" w:type="dxa"/>
            </w:tcMar>
            <w:vAlign w:val="center"/>
          </w:tcPr>
          <w:p>
            <w:pPr>
              <w:spacing w:after="0"/>
            </w:pPr>
            <w:r>
              <w:rPr>
                <w:rFonts w:ascii="Arial" w:hAnsi="Arial"/>
                <w:color w:val="1B1B1C"/>
                <w:sz w:val="15"/>
              </w:rPr>
              <w:t>Set direction, appetite, investment and material risk decisions.</w:t>
            </w:r>
          </w:p>
        </w:tc>
        <w:tc>
          <w:tcPr>
            <w:tcW w:type="dxa" w:w="3500"/>
            <w:tcMar>
              <w:top w:w="70" w:type="dxa"/>
              <w:start w:w="90" w:type="dxa"/>
              <w:bottom w:w="70" w:type="dxa"/>
              <w:end w:w="90" w:type="dxa"/>
            </w:tcMar>
            <w:vAlign w:val="center"/>
          </w:tcPr>
          <w:p>
            <w:pPr>
              <w:spacing w:after="0"/>
            </w:pPr>
            <w:r>
              <w:rPr>
                <w:rFonts w:ascii="Arial" w:hAnsi="Arial"/>
                <w:color w:val="1B1B1C"/>
                <w:sz w:val="15"/>
              </w:rPr>
              <w:t>Charter, decision log, performance and risk review.</w:t>
            </w:r>
          </w:p>
        </w:tc>
      </w:tr>
      <w:tr>
        <w:trPr>
          <w:cantSplit/>
        </w:trPr>
        <w:tc>
          <w:tcPr>
            <w:tcW w:type="dxa" w:w="1900"/>
            <w:tcMar>
              <w:top w:w="70" w:type="dxa"/>
              <w:start w:w="90" w:type="dxa"/>
              <w:bottom w:w="70" w:type="dxa"/>
              <w:end w:w="90" w:type="dxa"/>
            </w:tcMar>
            <w:shd w:fill="F1EFE5"/>
            <w:vAlign w:val="center"/>
          </w:tcPr>
          <w:p>
            <w:pPr>
              <w:spacing w:after="0"/>
            </w:pPr>
            <w:r>
              <w:rPr>
                <w:rFonts w:ascii="Arial" w:hAnsi="Arial"/>
                <w:b/>
                <w:color w:val="0E2530"/>
                <w:sz w:val="15"/>
              </w:rPr>
              <w:t>Data office</w:t>
            </w:r>
          </w:p>
        </w:tc>
        <w:tc>
          <w:tcPr>
            <w:tcW w:type="dxa" w:w="3900"/>
            <w:tcMar>
              <w:top w:w="70" w:type="dxa"/>
              <w:start w:w="90" w:type="dxa"/>
              <w:bottom w:w="70" w:type="dxa"/>
              <w:end w:w="90" w:type="dxa"/>
            </w:tcMar>
            <w:shd w:fill="F1EFE5"/>
            <w:vAlign w:val="center"/>
          </w:tcPr>
          <w:p>
            <w:pPr>
              <w:spacing w:after="0"/>
            </w:pPr>
            <w:r>
              <w:rPr>
                <w:rFonts w:ascii="Arial" w:hAnsi="Arial"/>
                <w:color w:val="1B1B1C"/>
                <w:sz w:val="15"/>
              </w:rPr>
              <w:t>Design standards, catalog, quality, lineage, stewardship and portfolio.</w:t>
            </w:r>
          </w:p>
        </w:tc>
        <w:tc>
          <w:tcPr>
            <w:tcW w:type="dxa" w:w="3500"/>
            <w:tcMar>
              <w:top w:w="70" w:type="dxa"/>
              <w:start w:w="90" w:type="dxa"/>
              <w:bottom w:w="70" w:type="dxa"/>
              <w:end w:w="90" w:type="dxa"/>
            </w:tcMar>
            <w:shd w:fill="F1EFE5"/>
            <w:vAlign w:val="center"/>
          </w:tcPr>
          <w:p>
            <w:pPr>
              <w:spacing w:after="0"/>
            </w:pPr>
            <w:r>
              <w:rPr>
                <w:rFonts w:ascii="Arial" w:hAnsi="Arial"/>
                <w:color w:val="1B1B1C"/>
                <w:sz w:val="15"/>
              </w:rPr>
              <w:t>Coverage, rules, issues, council decisions and roadmap.</w:t>
            </w:r>
          </w:p>
        </w:tc>
      </w:tr>
      <w:tr>
        <w:trPr>
          <w:cantSplit/>
        </w:trPr>
        <w:tc>
          <w:tcPr>
            <w:tcW w:type="dxa" w:w="1900"/>
            <w:tcMar>
              <w:top w:w="70" w:type="dxa"/>
              <w:start w:w="90" w:type="dxa"/>
              <w:bottom w:w="70" w:type="dxa"/>
              <w:end w:w="90" w:type="dxa"/>
            </w:tcMar>
            <w:vAlign w:val="center"/>
          </w:tcPr>
          <w:p>
            <w:pPr>
              <w:spacing w:after="0"/>
            </w:pPr>
            <w:r>
              <w:rPr>
                <w:rFonts w:ascii="Arial" w:hAnsi="Arial"/>
                <w:b/>
                <w:color w:val="0E2530"/>
                <w:sz w:val="15"/>
              </w:rPr>
              <w:t>Domain owner</w:t>
            </w:r>
          </w:p>
        </w:tc>
        <w:tc>
          <w:tcPr>
            <w:tcW w:type="dxa" w:w="3900"/>
            <w:tcMar>
              <w:top w:w="70" w:type="dxa"/>
              <w:start w:w="90" w:type="dxa"/>
              <w:bottom w:w="70" w:type="dxa"/>
              <w:end w:w="90" w:type="dxa"/>
            </w:tcMar>
            <w:vAlign w:val="center"/>
          </w:tcPr>
          <w:p>
            <w:pPr>
              <w:spacing w:after="0"/>
            </w:pPr>
            <w:r>
              <w:rPr>
                <w:rFonts w:ascii="Arial" w:hAnsi="Arial"/>
                <w:color w:val="1B1B1C"/>
                <w:sz w:val="15"/>
              </w:rPr>
              <w:t>Accept accountability for purpose, quality, access, lifecycle and value.</w:t>
            </w:r>
          </w:p>
        </w:tc>
        <w:tc>
          <w:tcPr>
            <w:tcW w:type="dxa" w:w="3500"/>
            <w:tcMar>
              <w:top w:w="70" w:type="dxa"/>
              <w:start w:w="90" w:type="dxa"/>
              <w:bottom w:w="70" w:type="dxa"/>
              <w:end w:w="90" w:type="dxa"/>
            </w:tcMar>
            <w:vAlign w:val="center"/>
          </w:tcPr>
          <w:p>
            <w:pPr>
              <w:spacing w:after="0"/>
            </w:pPr>
            <w:r>
              <w:rPr>
                <w:rFonts w:ascii="Arial" w:hAnsi="Arial"/>
                <w:color w:val="1B1B1C"/>
                <w:sz w:val="15"/>
              </w:rPr>
              <w:t>Data product approval, service level and risk acceptance.</w:t>
            </w:r>
          </w:p>
        </w:tc>
      </w:tr>
      <w:tr>
        <w:trPr>
          <w:cantSplit/>
        </w:trPr>
        <w:tc>
          <w:tcPr>
            <w:tcW w:type="dxa" w:w="1900"/>
            <w:tcMar>
              <w:top w:w="70" w:type="dxa"/>
              <w:start w:w="90" w:type="dxa"/>
              <w:bottom w:w="70" w:type="dxa"/>
              <w:end w:w="90" w:type="dxa"/>
            </w:tcMar>
            <w:shd w:fill="F1EFE5"/>
            <w:vAlign w:val="center"/>
          </w:tcPr>
          <w:p>
            <w:pPr>
              <w:spacing w:after="0"/>
            </w:pPr>
            <w:r>
              <w:rPr>
                <w:rFonts w:ascii="Arial" w:hAnsi="Arial"/>
                <w:b/>
                <w:color w:val="0E2530"/>
                <w:sz w:val="15"/>
              </w:rPr>
              <w:t>Data steward</w:t>
            </w:r>
          </w:p>
        </w:tc>
        <w:tc>
          <w:tcPr>
            <w:tcW w:type="dxa" w:w="3900"/>
            <w:tcMar>
              <w:top w:w="70" w:type="dxa"/>
              <w:start w:w="90" w:type="dxa"/>
              <w:bottom w:w="70" w:type="dxa"/>
              <w:end w:w="90" w:type="dxa"/>
            </w:tcMar>
            <w:shd w:fill="F1EFE5"/>
            <w:vAlign w:val="center"/>
          </w:tcPr>
          <w:p>
            <w:pPr>
              <w:spacing w:after="0"/>
            </w:pPr>
            <w:r>
              <w:rPr>
                <w:rFonts w:ascii="Arial" w:hAnsi="Arial"/>
                <w:color w:val="1B1B1C"/>
                <w:sz w:val="15"/>
              </w:rPr>
              <w:t>Maintain meaning, metadata, rules, issues and consumer communication.</w:t>
            </w:r>
          </w:p>
        </w:tc>
        <w:tc>
          <w:tcPr>
            <w:tcW w:type="dxa" w:w="3500"/>
            <w:tcMar>
              <w:top w:w="70" w:type="dxa"/>
              <w:start w:w="90" w:type="dxa"/>
              <w:bottom w:w="70" w:type="dxa"/>
              <w:end w:w="90" w:type="dxa"/>
            </w:tcMar>
            <w:shd w:fill="F1EFE5"/>
            <w:vAlign w:val="center"/>
          </w:tcPr>
          <w:p>
            <w:pPr>
              <w:spacing w:after="0"/>
            </w:pPr>
            <w:r>
              <w:rPr>
                <w:rFonts w:ascii="Arial" w:hAnsi="Arial"/>
                <w:color w:val="1B1B1C"/>
                <w:sz w:val="15"/>
              </w:rPr>
              <w:t>Catalog completeness, rule results and issue closure.</w:t>
            </w:r>
          </w:p>
        </w:tc>
      </w:tr>
      <w:tr>
        <w:trPr>
          <w:cantSplit/>
        </w:trPr>
        <w:tc>
          <w:tcPr>
            <w:tcW w:type="dxa" w:w="1900"/>
            <w:tcMar>
              <w:top w:w="70" w:type="dxa"/>
              <w:start w:w="90" w:type="dxa"/>
              <w:bottom w:w="70" w:type="dxa"/>
              <w:end w:w="90" w:type="dxa"/>
            </w:tcMar>
            <w:vAlign w:val="center"/>
          </w:tcPr>
          <w:p>
            <w:pPr>
              <w:spacing w:after="0"/>
            </w:pPr>
            <w:r>
              <w:rPr>
                <w:rFonts w:ascii="Arial" w:hAnsi="Arial"/>
                <w:b/>
                <w:color w:val="0E2530"/>
                <w:sz w:val="15"/>
              </w:rPr>
              <w:t>Operations and asset owner</w:t>
            </w:r>
          </w:p>
        </w:tc>
        <w:tc>
          <w:tcPr>
            <w:tcW w:type="dxa" w:w="3900"/>
            <w:tcMar>
              <w:top w:w="70" w:type="dxa"/>
              <w:start w:w="90" w:type="dxa"/>
              <w:bottom w:w="70" w:type="dxa"/>
              <w:end w:w="90" w:type="dxa"/>
            </w:tcMar>
            <w:vAlign w:val="center"/>
          </w:tcPr>
          <w:p>
            <w:pPr>
              <w:spacing w:after="0"/>
            </w:pPr>
            <w:r>
              <w:rPr>
                <w:rFonts w:ascii="Arial" w:hAnsi="Arial"/>
                <w:color w:val="1B1B1C"/>
                <w:sz w:val="15"/>
              </w:rPr>
              <w:t>Ensure operational fitness, safety, timing, configuration and recovery.</w:t>
            </w:r>
          </w:p>
        </w:tc>
        <w:tc>
          <w:tcPr>
            <w:tcW w:type="dxa" w:w="3500"/>
            <w:tcMar>
              <w:top w:w="70" w:type="dxa"/>
              <w:start w:w="90" w:type="dxa"/>
              <w:bottom w:w="70" w:type="dxa"/>
              <w:end w:w="90" w:type="dxa"/>
            </w:tcMar>
            <w:vAlign w:val="center"/>
          </w:tcPr>
          <w:p>
            <w:pPr>
              <w:spacing w:after="0"/>
            </w:pPr>
            <w:r>
              <w:rPr>
                <w:rFonts w:ascii="Arial" w:hAnsi="Arial"/>
                <w:color w:val="1B1B1C"/>
                <w:sz w:val="15"/>
              </w:rPr>
              <w:t>Calibration, reconciliation, change and exercise evidence.</w:t>
            </w:r>
          </w:p>
        </w:tc>
      </w:tr>
      <w:tr>
        <w:trPr>
          <w:cantSplit/>
        </w:trPr>
        <w:tc>
          <w:tcPr>
            <w:tcW w:type="dxa" w:w="1900"/>
            <w:tcMar>
              <w:top w:w="70" w:type="dxa"/>
              <w:start w:w="90" w:type="dxa"/>
              <w:bottom w:w="70" w:type="dxa"/>
              <w:end w:w="90" w:type="dxa"/>
            </w:tcMar>
            <w:shd w:fill="F1EFE5"/>
            <w:vAlign w:val="center"/>
          </w:tcPr>
          <w:p>
            <w:pPr>
              <w:spacing w:after="0"/>
            </w:pPr>
            <w:r>
              <w:rPr>
                <w:rFonts w:ascii="Arial" w:hAnsi="Arial"/>
                <w:b/>
                <w:color w:val="0E2530"/>
                <w:sz w:val="15"/>
              </w:rPr>
              <w:t>CIO, CISO and architecture</w:t>
            </w:r>
          </w:p>
        </w:tc>
        <w:tc>
          <w:tcPr>
            <w:tcW w:type="dxa" w:w="3900"/>
            <w:tcMar>
              <w:top w:w="70" w:type="dxa"/>
              <w:start w:w="90" w:type="dxa"/>
              <w:bottom w:w="70" w:type="dxa"/>
              <w:end w:w="90" w:type="dxa"/>
            </w:tcMar>
            <w:shd w:fill="F1EFE5"/>
            <w:vAlign w:val="center"/>
          </w:tcPr>
          <w:p>
            <w:pPr>
              <w:spacing w:after="0"/>
            </w:pPr>
            <w:r>
              <w:rPr>
                <w:rFonts w:ascii="Arial" w:hAnsi="Arial"/>
                <w:color w:val="1B1B1C"/>
                <w:sz w:val="15"/>
              </w:rPr>
              <w:t>Provide platforms, access, protection, resilience and integration.</w:t>
            </w:r>
          </w:p>
        </w:tc>
        <w:tc>
          <w:tcPr>
            <w:tcW w:type="dxa" w:w="3500"/>
            <w:tcMar>
              <w:top w:w="70" w:type="dxa"/>
              <w:start w:w="90" w:type="dxa"/>
              <w:bottom w:w="70" w:type="dxa"/>
              <w:end w:w="90" w:type="dxa"/>
            </w:tcMar>
            <w:shd w:fill="F1EFE5"/>
            <w:vAlign w:val="center"/>
          </w:tcPr>
          <w:p>
            <w:pPr>
              <w:spacing w:after="0"/>
            </w:pPr>
            <w:r>
              <w:rPr>
                <w:rFonts w:ascii="Arial" w:hAnsi="Arial"/>
                <w:color w:val="1B1B1C"/>
                <w:sz w:val="15"/>
              </w:rPr>
              <w:t>Architecture, access, logs, recovery and supplier assurance.</w:t>
            </w:r>
          </w:p>
        </w:tc>
      </w:tr>
      <w:tr>
        <w:trPr>
          <w:cantSplit/>
        </w:trPr>
        <w:tc>
          <w:tcPr>
            <w:tcW w:type="dxa" w:w="1900"/>
            <w:tcMar>
              <w:top w:w="70" w:type="dxa"/>
              <w:start w:w="90" w:type="dxa"/>
              <w:bottom w:w="70" w:type="dxa"/>
              <w:end w:w="90" w:type="dxa"/>
            </w:tcMar>
            <w:vAlign w:val="center"/>
          </w:tcPr>
          <w:p>
            <w:pPr>
              <w:spacing w:after="0"/>
            </w:pPr>
            <w:r>
              <w:rPr>
                <w:rFonts w:ascii="Arial" w:hAnsi="Arial"/>
                <w:b/>
                <w:color w:val="0E2530"/>
                <w:sz w:val="15"/>
              </w:rPr>
              <w:t>Legal, privacy and records</w:t>
            </w:r>
          </w:p>
        </w:tc>
        <w:tc>
          <w:tcPr>
            <w:tcW w:type="dxa" w:w="3900"/>
            <w:tcMar>
              <w:top w:w="70" w:type="dxa"/>
              <w:start w:w="90" w:type="dxa"/>
              <w:bottom w:w="70" w:type="dxa"/>
              <w:end w:w="90" w:type="dxa"/>
            </w:tcMar>
            <w:vAlign w:val="center"/>
          </w:tcPr>
          <w:p>
            <w:pPr>
              <w:spacing w:after="0"/>
            </w:pPr>
            <w:r>
              <w:rPr>
                <w:rFonts w:ascii="Arial" w:hAnsi="Arial"/>
                <w:color w:val="1B1B1C"/>
                <w:sz w:val="15"/>
              </w:rPr>
              <w:t>Confirm authority, rights, contracts, notice, holds, retention and transfer.</w:t>
            </w:r>
          </w:p>
        </w:tc>
        <w:tc>
          <w:tcPr>
            <w:tcW w:type="dxa" w:w="3500"/>
            <w:tcMar>
              <w:top w:w="70" w:type="dxa"/>
              <w:start w:w="90" w:type="dxa"/>
              <w:bottom w:w="70" w:type="dxa"/>
              <w:end w:w="90" w:type="dxa"/>
            </w:tcMar>
            <w:vAlign w:val="center"/>
          </w:tcPr>
          <w:p>
            <w:pPr>
              <w:spacing w:after="0"/>
            </w:pPr>
            <w:r>
              <w:rPr>
                <w:rFonts w:ascii="Arial" w:hAnsi="Arial"/>
                <w:color w:val="1B1B1C"/>
                <w:sz w:val="15"/>
              </w:rPr>
              <w:t>Assessment, clause, schedule, notice and approval.</w:t>
            </w:r>
          </w:p>
        </w:tc>
      </w:tr>
      <w:tr>
        <w:trPr>
          <w:cantSplit/>
        </w:trPr>
        <w:tc>
          <w:tcPr>
            <w:tcW w:type="dxa" w:w="1900"/>
            <w:tcMar>
              <w:top w:w="70" w:type="dxa"/>
              <w:start w:w="90" w:type="dxa"/>
              <w:bottom w:w="70" w:type="dxa"/>
              <w:end w:w="90" w:type="dxa"/>
            </w:tcMar>
            <w:shd w:fill="F1EFE5"/>
            <w:vAlign w:val="center"/>
          </w:tcPr>
          <w:p>
            <w:pPr>
              <w:spacing w:after="0"/>
            </w:pPr>
            <w:r>
              <w:rPr>
                <w:rFonts w:ascii="Arial" w:hAnsi="Arial"/>
                <w:b/>
                <w:color w:val="0E2530"/>
                <w:sz w:val="15"/>
              </w:rPr>
              <w:t>AI and analytics owner</w:t>
            </w:r>
          </w:p>
        </w:tc>
        <w:tc>
          <w:tcPr>
            <w:tcW w:type="dxa" w:w="3900"/>
            <w:tcMar>
              <w:top w:w="70" w:type="dxa"/>
              <w:start w:w="90" w:type="dxa"/>
              <w:bottom w:w="70" w:type="dxa"/>
              <w:end w:w="90" w:type="dxa"/>
            </w:tcMar>
            <w:shd w:fill="F1EFE5"/>
            <w:vAlign w:val="center"/>
          </w:tcPr>
          <w:p>
            <w:pPr>
              <w:spacing w:after="0"/>
            </w:pPr>
            <w:r>
              <w:rPr>
                <w:rFonts w:ascii="Arial" w:hAnsi="Arial"/>
                <w:color w:val="1B1B1C"/>
                <w:sz w:val="15"/>
              </w:rPr>
              <w:t>Own use-case risk, data suitability, evaluation, monitoring and retirement.</w:t>
            </w:r>
          </w:p>
        </w:tc>
        <w:tc>
          <w:tcPr>
            <w:tcW w:type="dxa" w:w="3500"/>
            <w:tcMar>
              <w:top w:w="70" w:type="dxa"/>
              <w:start w:w="90" w:type="dxa"/>
              <w:bottom w:w="70" w:type="dxa"/>
              <w:end w:w="90" w:type="dxa"/>
            </w:tcMar>
            <w:shd w:fill="F1EFE5"/>
            <w:vAlign w:val="center"/>
          </w:tcPr>
          <w:p>
            <w:pPr>
              <w:spacing w:after="0"/>
            </w:pPr>
            <w:r>
              <w:rPr>
                <w:rFonts w:ascii="Arial" w:hAnsi="Arial"/>
                <w:color w:val="1B1B1C"/>
                <w:sz w:val="15"/>
              </w:rPr>
              <w:t>Data and model records, tests, limits and monitoring.</w:t>
            </w:r>
          </w:p>
        </w:tc>
      </w:tr>
      <w:tr>
        <w:trPr>
          <w:cantSplit/>
        </w:trPr>
        <w:tc>
          <w:tcPr>
            <w:tcW w:type="dxa" w:w="1900"/>
            <w:tcMar>
              <w:top w:w="70" w:type="dxa"/>
              <w:start w:w="90" w:type="dxa"/>
              <w:bottom w:w="70" w:type="dxa"/>
              <w:end w:w="90" w:type="dxa"/>
            </w:tcMar>
            <w:vAlign w:val="center"/>
          </w:tcPr>
          <w:p>
            <w:pPr>
              <w:spacing w:after="0"/>
            </w:pPr>
            <w:r>
              <w:rPr>
                <w:rFonts w:ascii="Arial" w:hAnsi="Arial"/>
                <w:b/>
                <w:color w:val="0E2530"/>
                <w:sz w:val="15"/>
              </w:rPr>
              <w:t>Independent assurance</w:t>
            </w:r>
          </w:p>
        </w:tc>
        <w:tc>
          <w:tcPr>
            <w:tcW w:type="dxa" w:w="3900"/>
            <w:tcMar>
              <w:top w:w="70" w:type="dxa"/>
              <w:start w:w="90" w:type="dxa"/>
              <w:bottom w:w="70" w:type="dxa"/>
              <w:end w:w="90" w:type="dxa"/>
            </w:tcMar>
            <w:vAlign w:val="center"/>
          </w:tcPr>
          <w:p>
            <w:pPr>
              <w:spacing w:after="0"/>
            </w:pPr>
            <w:r>
              <w:rPr>
                <w:rFonts w:ascii="Arial" w:hAnsi="Arial"/>
                <w:color w:val="1B1B1C"/>
                <w:sz w:val="15"/>
              </w:rPr>
              <w:t>Challenge design and test operation without owning remediation.</w:t>
            </w:r>
          </w:p>
        </w:tc>
        <w:tc>
          <w:tcPr>
            <w:tcW w:type="dxa" w:w="3500"/>
            <w:tcMar>
              <w:top w:w="70" w:type="dxa"/>
              <w:start w:w="90" w:type="dxa"/>
              <w:bottom w:w="70" w:type="dxa"/>
              <w:end w:w="90" w:type="dxa"/>
            </w:tcMar>
            <w:vAlign w:val="center"/>
          </w:tcPr>
          <w:p>
            <w:pPr>
              <w:spacing w:after="0"/>
            </w:pPr>
            <w:r>
              <w:rPr>
                <w:rFonts w:ascii="Arial" w:hAnsi="Arial"/>
                <w:color w:val="1B1B1C"/>
                <w:sz w:val="15"/>
              </w:rPr>
              <w:t>Plan, sample, finding, opinion and closure validation.</w:t>
            </w:r>
          </w:p>
        </w:tc>
      </w:tr>
    </w:tbl>
    <w:p>
      <w:pPr>
        <w:spacing w:after="0"/>
      </w:pPr>
    </w:p>
    <w:p>
      <w:pPr>
        <w:spacing w:before="120" w:after="0"/>
        <w:jc w:val="center"/>
      </w:pPr>
      <w:r>
        <w:drawing>
          <wp:inline xmlns:a="http://schemas.openxmlformats.org/drawingml/2006/main" xmlns:pic="http://schemas.openxmlformats.org/drawingml/2006/picture">
            <wp:extent cx="6126480" cy="4152392"/>
            <wp:docPr id="13" name="Picture 13" title="Figure 8. Governance becomes real at the handoff" descr="This swimlane places the work with the people who already run the utility. It shows where ownership, validation, approval, security, legal review and assurance enter the same data flow."/>
            <wp:cNvGraphicFramePr>
              <a:graphicFrameLocks noChangeAspect="1"/>
            </wp:cNvGraphicFramePr>
            <a:graphic>
              <a:graphicData uri="http://schemas.openxmlformats.org/drawingml/2006/picture">
                <pic:pic>
                  <pic:nvPicPr>
                    <pic:cNvPr id="0" name="08_swimlane.png"/>
                    <pic:cNvPicPr/>
                  </pic:nvPicPr>
                  <pic:blipFill>
                    <a:blip r:embed="rId36"/>
                    <a:stretch>
                      <a:fillRect/>
                    </a:stretch>
                  </pic:blipFill>
                  <pic:spPr>
                    <a:xfrm>
                      <a:off x="0" y="0"/>
                      <a:ext cx="6126480" cy="4152392"/>
                    </a:xfrm>
                    <a:prstGeom prst="rect"/>
                  </pic:spPr>
                </pic:pic>
              </a:graphicData>
            </a:graphic>
          </wp:inline>
        </w:drawing>
      </w:r>
    </w:p>
    <w:p>
      <w:pPr>
        <w:pStyle w:val="Caption"/>
        <w:jc w:val="left"/>
      </w:pPr>
      <w:r>
        <w:t>Figure 8. Governance becomes real at the handoff</w:t>
      </w:r>
    </w:p>
    <w:p>
      <w:pPr>
        <w:spacing w:after="40"/>
      </w:pPr>
      <w:r>
        <w:rPr>
          <w:b/>
          <w:color w:val="2F7F9E"/>
        </w:rPr>
        <w:t xml:space="preserve">What this shows. </w:t>
      </w:r>
      <w:r>
        <w:t>This swimlane places the work with the people who already run the utility. It shows where ownership, validation, approval, security, legal review and assurance enter the same data flow.</w:t>
      </w:r>
    </w:p>
    <w:p>
      <w:pPr>
        <w:spacing w:after="180"/>
      </w:pPr>
      <w:r>
        <w:rPr>
          <w:rFonts w:ascii="Arial" w:hAnsi="Arial"/>
          <w:i/>
          <w:color w:val="7D766A"/>
          <w:sz w:val="15"/>
        </w:rPr>
        <w:t>Source: APAS AI utility governance swimlane.</w:t>
      </w:r>
    </w:p>
    <w:tbl>
      <w:tblPr>
        <w:tblW w:type="auto" w:w="0"/>
        <w:jc w:val="center"/>
        <w:tblLayout w:type="fixed"/>
        <w:tblLook w:firstColumn="1" w:firstRow="1" w:lastColumn="0" w:lastRow="0" w:noHBand="0" w:noVBand="1" w:val="04A0"/>
        <w:tblBorders>
          <w:top w:val="single" w:sz="10" w:space="0" w:color="2F7F9E"/>
          <w:left w:val="single" w:sz="10" w:space="0" w:color="2F7F9E"/>
          <w:bottom w:val="single" w:sz="10" w:space="0" w:color="2F7F9E"/>
          <w:right w:val="single" w:sz="10" w:space="0" w:color="2F7F9E"/>
          <w:insideH w:val="single" w:sz="10" w:space="0" w:color="2F7F9E"/>
          <w:insideV w:val="single" w:sz="10" w:space="0" w:color="2F7F9E"/>
        </w:tblBorders>
      </w:tblPr>
      <w:tblGrid>
        <w:gridCol w:w="9820"/>
      </w:tblGrid>
      <w:tr>
        <w:trPr>
          <w:cantSplit/>
        </w:trPr>
        <w:tc>
          <w:tcPr>
            <w:tcW w:type="dxa" w:w="9820"/>
            <w:shd w:fill="EAF6FB"/>
            <w:tcMar>
              <w:top w:w="140" w:type="dxa"/>
              <w:start w:w="170" w:type="dxa"/>
              <w:bottom w:w="140" w:type="dxa"/>
              <w:end w:w="170" w:type="dxa"/>
            </w:tcMar>
          </w:tcPr>
          <w:p>
            <w:pPr>
              <w:spacing w:after="80"/>
            </w:pPr>
            <w:r>
              <w:rPr>
                <w:rFonts w:ascii="Arial" w:hAnsi="Arial"/>
                <w:b/>
                <w:color w:val="2F7F9E"/>
                <w:sz w:val="20"/>
              </w:rPr>
              <w:t>The handoff rule</w:t>
            </w:r>
          </w:p>
          <w:p>
            <w:pPr>
              <w:spacing w:after="0"/>
            </w:pPr>
            <w:r>
              <w:rPr>
                <w:rFonts w:ascii="Arial" w:hAnsi="Arial"/>
                <w:color w:val="1B1B1C"/>
                <w:sz w:val="20"/>
              </w:rPr>
              <w:t>A handoff is governed when the next person or system receives the data, its meaning, its quality state, its approved purpose and the evidence needed to challenge it.</w:t>
            </w:r>
          </w:p>
        </w:tc>
      </w:tr>
    </w:tbl>
    <w:p>
      <w:pPr>
        <w:pageBreakBefore/>
        <w:spacing w:after="100"/>
      </w:pPr>
      <w:r>
        <w:rPr>
          <w:rFonts w:ascii="Arial" w:hAnsi="Arial"/>
          <w:b/>
          <w:color w:val="2F7F9E"/>
          <w:sz w:val="17"/>
        </w:rPr>
        <w:t>APPLICATION PAPER</w:t>
      </w:r>
    </w:p>
    <w:p>
      <w:pPr>
        <w:pStyle w:val="Heading1"/>
      </w:pPr>
      <w:r>
        <w:t>5. The assessment framework</w:t>
      </w:r>
    </w:p>
    <w:p>
      <w:pPr>
        <w:pStyle w:val="Subtitle"/>
        <w:spacing w:after="280"/>
      </w:pPr>
      <w:r>
        <w:rPr>
          <w:color w:val="3C3B36"/>
          <w:sz w:val="25"/>
        </w:rPr>
        <w:t>Measure what is operating, what is proven and what matters most.</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820"/>
      </w:tblGrid>
      <w:tr>
        <w:tc>
          <w:tcPr>
            <w:tcW w:type="dxa" w:w="1500"/>
            <w:shd w:fill="E0A64A"/>
            <w:tcMar>
              <w:top w:w="0" w:type="dxa"/>
              <w:start w:w="0" w:type="dxa"/>
              <w:bottom w:w="0" w:type="dxa"/>
              <w:end w:w="0" w:type="dxa"/>
            </w:tcMar>
          </w:tcPr>
          <w:p>
            <w:pPr>
              <w:spacing w:after="0"/>
            </w:pPr>
            <w:r>
              <w:rPr>
                <w:sz w:val="4"/>
              </w:rPr>
              <w:t xml:space="preserve"> </w:t>
            </w:r>
          </w:p>
        </w:tc>
      </w:tr>
    </w:tbl>
    <w:p>
      <w:pPr>
        <w:spacing w:before="120" w:after="0"/>
        <w:jc w:val="center"/>
      </w:pPr>
      <w:r>
        <w:drawing>
          <wp:inline xmlns:a="http://schemas.openxmlformats.org/drawingml/2006/main" xmlns:pic="http://schemas.openxmlformats.org/drawingml/2006/picture">
            <wp:extent cx="6126480" cy="4152392"/>
            <wp:docPr id="14" name="Picture 14" title="Figure 9. The twelve-domain utility assessment" descr="The assessment covers governance, data work, utility operations, AI, security, rights and assurance as one system. It prevents a strong score in documentation from hiding weak operational evidence."/>
            <wp:cNvGraphicFramePr>
              <a:graphicFrameLocks noChangeAspect="1"/>
            </wp:cNvGraphicFramePr>
            <a:graphic>
              <a:graphicData uri="http://schemas.openxmlformats.org/drawingml/2006/picture">
                <pic:pic>
                  <pic:nvPicPr>
                    <pic:cNvPr id="0" name="09_domains.png"/>
                    <pic:cNvPicPr/>
                  </pic:nvPicPr>
                  <pic:blipFill>
                    <a:blip r:embed="rId37"/>
                    <a:stretch>
                      <a:fillRect/>
                    </a:stretch>
                  </pic:blipFill>
                  <pic:spPr>
                    <a:xfrm>
                      <a:off x="0" y="0"/>
                      <a:ext cx="6126480" cy="4152392"/>
                    </a:xfrm>
                    <a:prstGeom prst="rect"/>
                  </pic:spPr>
                </pic:pic>
              </a:graphicData>
            </a:graphic>
          </wp:inline>
        </w:drawing>
      </w:r>
    </w:p>
    <w:p>
      <w:pPr>
        <w:pStyle w:val="Caption"/>
        <w:jc w:val="left"/>
      </w:pPr>
      <w:r>
        <w:t>Figure 9. The twelve-domain utility assessment</w:t>
      </w:r>
    </w:p>
    <w:p>
      <w:pPr>
        <w:spacing w:after="40"/>
      </w:pPr>
      <w:r>
        <w:rPr>
          <w:b/>
          <w:color w:val="2F7F9E"/>
        </w:rPr>
        <w:t xml:space="preserve">What this shows. </w:t>
      </w:r>
      <w:r>
        <w:t>The assessment covers governance, data work, utility operations, AI, security, rights and assurance as one system. It prevents a strong score in documentation from hiding weak operational evidence.</w:t>
      </w:r>
    </w:p>
    <w:p>
      <w:pPr>
        <w:spacing w:after="180"/>
      </w:pPr>
      <w:r>
        <w:rPr>
          <w:rFonts w:ascii="Arial" w:hAnsi="Arial"/>
          <w:i/>
          <w:color w:val="7D766A"/>
          <w:sz w:val="15"/>
        </w:rPr>
        <w:t>Source: APAS AI assessment model based on 60 evidence-backed criteria.</w:t>
      </w:r>
    </w:p>
    <w:p>
      <w:pPr>
        <w:pStyle w:val="Heading2"/>
      </w:pPr>
      <w:r>
        <w:t>The twelve domains</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2455"/>
        <w:gridCol w:w="2455"/>
        <w:gridCol w:w="2455"/>
        <w:gridCol w:w="2455"/>
      </w:tblGrid>
      <w:tr>
        <w:trPr>
          <w:tblHeader w:val="true"/>
          <w:cantSplit/>
        </w:trPr>
        <w:tc>
          <w:tcPr>
            <w:tcW w:type="dxa" w:w="600"/>
            <w:tcMar>
              <w:top w:w="75" w:type="dxa"/>
              <w:start w:w="90" w:type="dxa"/>
              <w:bottom w:w="75" w:type="dxa"/>
              <w:end w:w="90" w:type="dxa"/>
            </w:tcMar>
            <w:shd w:fill="1B1B1C"/>
          </w:tcPr>
          <w:p>
            <w:pPr>
              <w:spacing w:after="0"/>
            </w:pPr>
            <w:r>
              <w:rPr>
                <w:rFonts w:ascii="Arial" w:hAnsi="Arial"/>
                <w:b/>
                <w:color w:val="FFFFFF"/>
                <w:sz w:val="14"/>
              </w:rPr>
              <w:t>ID</w:t>
            </w:r>
          </w:p>
        </w:tc>
        <w:tc>
          <w:tcPr>
            <w:tcW w:type="dxa" w:w="2100"/>
            <w:tcMar>
              <w:top w:w="75" w:type="dxa"/>
              <w:start w:w="90" w:type="dxa"/>
              <w:bottom w:w="75" w:type="dxa"/>
              <w:end w:w="90" w:type="dxa"/>
            </w:tcMar>
            <w:shd w:fill="1B1B1C"/>
          </w:tcPr>
          <w:p>
            <w:pPr>
              <w:spacing w:after="0"/>
            </w:pPr>
            <w:r>
              <w:rPr>
                <w:rFonts w:ascii="Arial" w:hAnsi="Arial"/>
                <w:b/>
                <w:color w:val="FFFFFF"/>
                <w:sz w:val="14"/>
              </w:rPr>
              <w:t>Domain</w:t>
            </w:r>
          </w:p>
        </w:tc>
        <w:tc>
          <w:tcPr>
            <w:tcW w:type="dxa" w:w="5000"/>
            <w:tcMar>
              <w:top w:w="75" w:type="dxa"/>
              <w:start w:w="90" w:type="dxa"/>
              <w:bottom w:w="75" w:type="dxa"/>
              <w:end w:w="90" w:type="dxa"/>
            </w:tcMar>
            <w:shd w:fill="1B1B1C"/>
          </w:tcPr>
          <w:p>
            <w:pPr>
              <w:spacing w:after="0"/>
            </w:pPr>
            <w:r>
              <w:rPr>
                <w:rFonts w:ascii="Arial" w:hAnsi="Arial"/>
                <w:b/>
                <w:color w:val="FFFFFF"/>
                <w:sz w:val="14"/>
              </w:rPr>
              <w:t>What it tests</w:t>
            </w:r>
          </w:p>
        </w:tc>
        <w:tc>
          <w:tcPr>
            <w:tcW w:type="dxa" w:w="1700"/>
            <w:tcMar>
              <w:top w:w="75" w:type="dxa"/>
              <w:start w:w="90" w:type="dxa"/>
              <w:bottom w:w="75" w:type="dxa"/>
              <w:end w:w="90" w:type="dxa"/>
            </w:tcMar>
            <w:shd w:fill="1B1B1C"/>
          </w:tcPr>
          <w:p>
            <w:pPr>
              <w:spacing w:after="0"/>
            </w:pPr>
            <w:r>
              <w:rPr>
                <w:rFonts w:ascii="Arial" w:hAnsi="Arial"/>
                <w:b/>
                <w:color w:val="FFFFFF"/>
                <w:sz w:val="14"/>
              </w:rPr>
              <w:t>Primary anchors</w:t>
            </w:r>
          </w:p>
        </w:tc>
      </w:tr>
      <w:tr>
        <w:trPr>
          <w:cantSplit/>
        </w:trPr>
        <w:tc>
          <w:tcPr>
            <w:tcW w:type="dxa" w:w="600"/>
            <w:tcMar>
              <w:top w:w="70" w:type="dxa"/>
              <w:start w:w="90" w:type="dxa"/>
              <w:bottom w:w="70" w:type="dxa"/>
              <w:end w:w="90" w:type="dxa"/>
            </w:tcMar>
            <w:vAlign w:val="center"/>
          </w:tcPr>
          <w:p>
            <w:pPr>
              <w:spacing w:after="0"/>
            </w:pPr>
            <w:r>
              <w:rPr>
                <w:rFonts w:ascii="Arial" w:hAnsi="Arial"/>
                <w:b/>
                <w:color w:val="0E2530"/>
                <w:sz w:val="14"/>
              </w:rPr>
              <w:t>D01</w:t>
            </w:r>
          </w:p>
        </w:tc>
        <w:tc>
          <w:tcPr>
            <w:tcW w:type="dxa" w:w="2100"/>
            <w:tcMar>
              <w:top w:w="70" w:type="dxa"/>
              <w:start w:w="90" w:type="dxa"/>
              <w:bottom w:w="70" w:type="dxa"/>
              <w:end w:w="90" w:type="dxa"/>
            </w:tcMar>
            <w:vAlign w:val="center"/>
          </w:tcPr>
          <w:p>
            <w:pPr>
              <w:spacing w:after="0"/>
            </w:pPr>
            <w:r>
              <w:rPr>
                <w:rFonts w:ascii="Arial" w:hAnsi="Arial"/>
                <w:color w:val="1B1B1C"/>
                <w:sz w:val="14"/>
              </w:rPr>
              <w:t>Strategy, value and decision rights</w:t>
            </w:r>
          </w:p>
        </w:tc>
        <w:tc>
          <w:tcPr>
            <w:tcW w:type="dxa" w:w="5000"/>
            <w:tcMar>
              <w:top w:w="70" w:type="dxa"/>
              <w:start w:w="90" w:type="dxa"/>
              <w:bottom w:w="70" w:type="dxa"/>
              <w:end w:w="90" w:type="dxa"/>
            </w:tcMar>
            <w:vAlign w:val="center"/>
          </w:tcPr>
          <w:p>
            <w:pPr>
              <w:spacing w:after="0"/>
            </w:pPr>
            <w:r>
              <w:rPr>
                <w:rFonts w:ascii="Arial" w:hAnsi="Arial"/>
                <w:color w:val="1B1B1C"/>
                <w:sz w:val="14"/>
              </w:rPr>
              <w:t>Governance scope, value outcomes, risk appetite, funding and decision escalation</w:t>
            </w:r>
          </w:p>
        </w:tc>
        <w:tc>
          <w:tcPr>
            <w:tcW w:type="dxa" w:w="1700"/>
            <w:tcMar>
              <w:top w:w="70" w:type="dxa"/>
              <w:start w:w="90" w:type="dxa"/>
              <w:bottom w:w="70" w:type="dxa"/>
              <w:end w:w="90" w:type="dxa"/>
            </w:tcMar>
            <w:vAlign w:val="center"/>
          </w:tcPr>
          <w:p>
            <w:pPr>
              <w:spacing w:after="0"/>
            </w:pPr>
            <w:r>
              <w:rPr>
                <w:rFonts w:ascii="Arial" w:hAnsi="Arial"/>
                <w:color w:val="1B1B1C"/>
                <w:sz w:val="14"/>
              </w:rPr>
              <w:t>I01,I08,F02,F04,US06</w:t>
            </w:r>
          </w:p>
        </w:tc>
      </w:tr>
      <w:tr>
        <w:trPr>
          <w:cantSplit/>
        </w:trPr>
        <w:tc>
          <w:tcPr>
            <w:tcW w:type="dxa" w:w="600"/>
            <w:tcMar>
              <w:top w:w="70" w:type="dxa"/>
              <w:start w:w="90" w:type="dxa"/>
              <w:bottom w:w="70" w:type="dxa"/>
              <w:end w:w="90" w:type="dxa"/>
            </w:tcMar>
            <w:shd w:fill="F1EFE5"/>
            <w:vAlign w:val="center"/>
          </w:tcPr>
          <w:p>
            <w:pPr>
              <w:spacing w:after="0"/>
            </w:pPr>
            <w:r>
              <w:rPr>
                <w:rFonts w:ascii="Arial" w:hAnsi="Arial"/>
                <w:b/>
                <w:color w:val="0E2530"/>
                <w:sz w:val="14"/>
              </w:rPr>
              <w:t>D02</w:t>
            </w:r>
          </w:p>
        </w:tc>
        <w:tc>
          <w:tcPr>
            <w:tcW w:type="dxa" w:w="2100"/>
            <w:tcMar>
              <w:top w:w="70" w:type="dxa"/>
              <w:start w:w="90" w:type="dxa"/>
              <w:bottom w:w="70" w:type="dxa"/>
              <w:end w:w="90" w:type="dxa"/>
            </w:tcMar>
            <w:shd w:fill="F1EFE5"/>
            <w:vAlign w:val="center"/>
          </w:tcPr>
          <w:p>
            <w:pPr>
              <w:spacing w:after="0"/>
            </w:pPr>
            <w:r>
              <w:rPr>
                <w:rFonts w:ascii="Arial" w:hAnsi="Arial"/>
                <w:color w:val="1B1B1C"/>
                <w:sz w:val="14"/>
              </w:rPr>
              <w:t>Accountability and stewardship</w:t>
            </w:r>
          </w:p>
        </w:tc>
        <w:tc>
          <w:tcPr>
            <w:tcW w:type="dxa" w:w="5000"/>
            <w:tcMar>
              <w:top w:w="70" w:type="dxa"/>
              <w:start w:w="90" w:type="dxa"/>
              <w:bottom w:w="70" w:type="dxa"/>
              <w:end w:w="90" w:type="dxa"/>
            </w:tcMar>
            <w:shd w:fill="F1EFE5"/>
            <w:vAlign w:val="center"/>
          </w:tcPr>
          <w:p>
            <w:pPr>
              <w:spacing w:after="0"/>
            </w:pPr>
            <w:r>
              <w:rPr>
                <w:rFonts w:ascii="Arial" w:hAnsi="Arial"/>
                <w:color w:val="1B1B1C"/>
                <w:sz w:val="14"/>
              </w:rPr>
              <w:t>Named owners/stewards/custodians, councils, segregation of duties and competence</w:t>
            </w:r>
          </w:p>
        </w:tc>
        <w:tc>
          <w:tcPr>
            <w:tcW w:type="dxa" w:w="1700"/>
            <w:tcMar>
              <w:top w:w="70" w:type="dxa"/>
              <w:start w:w="90" w:type="dxa"/>
              <w:bottom w:w="70" w:type="dxa"/>
              <w:end w:w="90" w:type="dxa"/>
            </w:tcMar>
            <w:shd w:fill="F1EFE5"/>
            <w:vAlign w:val="center"/>
          </w:tcPr>
          <w:p>
            <w:pPr>
              <w:spacing w:after="0"/>
            </w:pPr>
            <w:r>
              <w:rPr>
                <w:rFonts w:ascii="Arial" w:hAnsi="Arial"/>
                <w:color w:val="1B1B1C"/>
                <w:sz w:val="14"/>
              </w:rPr>
              <w:t>I01,I02,F01,N04</w:t>
            </w:r>
          </w:p>
        </w:tc>
      </w:tr>
      <w:tr>
        <w:trPr>
          <w:cantSplit/>
        </w:trPr>
        <w:tc>
          <w:tcPr>
            <w:tcW w:type="dxa" w:w="600"/>
            <w:tcMar>
              <w:top w:w="70" w:type="dxa"/>
              <w:start w:w="90" w:type="dxa"/>
              <w:bottom w:w="70" w:type="dxa"/>
              <w:end w:w="90" w:type="dxa"/>
            </w:tcMar>
            <w:vAlign w:val="center"/>
          </w:tcPr>
          <w:p>
            <w:pPr>
              <w:spacing w:after="0"/>
            </w:pPr>
            <w:r>
              <w:rPr>
                <w:rFonts w:ascii="Arial" w:hAnsi="Arial"/>
                <w:b/>
                <w:color w:val="0E2530"/>
                <w:sz w:val="14"/>
              </w:rPr>
              <w:t>D03</w:t>
            </w:r>
          </w:p>
        </w:tc>
        <w:tc>
          <w:tcPr>
            <w:tcW w:type="dxa" w:w="2100"/>
            <w:tcMar>
              <w:top w:w="70" w:type="dxa"/>
              <w:start w:w="90" w:type="dxa"/>
              <w:bottom w:w="70" w:type="dxa"/>
              <w:end w:w="90" w:type="dxa"/>
            </w:tcMar>
            <w:vAlign w:val="center"/>
          </w:tcPr>
          <w:p>
            <w:pPr>
              <w:spacing w:after="0"/>
            </w:pPr>
            <w:r>
              <w:rPr>
                <w:rFonts w:ascii="Arial" w:hAnsi="Arial"/>
                <w:color w:val="1B1B1C"/>
                <w:sz w:val="14"/>
              </w:rPr>
              <w:t>Metadata, catalog and semantics</w:t>
            </w:r>
          </w:p>
        </w:tc>
        <w:tc>
          <w:tcPr>
            <w:tcW w:type="dxa" w:w="5000"/>
            <w:tcMar>
              <w:top w:w="70" w:type="dxa"/>
              <w:start w:w="90" w:type="dxa"/>
              <w:bottom w:w="70" w:type="dxa"/>
              <w:end w:w="90" w:type="dxa"/>
            </w:tcMar>
            <w:vAlign w:val="center"/>
          </w:tcPr>
          <w:p>
            <w:pPr>
              <w:spacing w:after="0"/>
            </w:pPr>
            <w:r>
              <w:rPr>
                <w:rFonts w:ascii="Arial" w:hAnsi="Arial"/>
                <w:color w:val="1B1B1C"/>
                <w:sz w:val="14"/>
              </w:rPr>
              <w:t>Inventory, authoritative identifiers, business/technical metadata, terminology and interoperability</w:t>
            </w:r>
          </w:p>
        </w:tc>
        <w:tc>
          <w:tcPr>
            <w:tcW w:type="dxa" w:w="1700"/>
            <w:tcMar>
              <w:top w:w="70" w:type="dxa"/>
              <w:start w:w="90" w:type="dxa"/>
              <w:bottom w:w="70" w:type="dxa"/>
              <w:end w:w="90" w:type="dxa"/>
            </w:tcMar>
            <w:vAlign w:val="center"/>
          </w:tcPr>
          <w:p>
            <w:pPr>
              <w:spacing w:after="0"/>
            </w:pPr>
            <w:r>
              <w:rPr>
                <w:rFonts w:ascii="Arial" w:hAnsi="Arial"/>
                <w:color w:val="1B1B1C"/>
                <w:sz w:val="14"/>
              </w:rPr>
              <w:t>I14,I15,I16,W03,W10,W11,U01</w:t>
            </w:r>
          </w:p>
        </w:tc>
      </w:tr>
      <w:tr>
        <w:trPr>
          <w:cantSplit/>
        </w:trPr>
        <w:tc>
          <w:tcPr>
            <w:tcW w:type="dxa" w:w="600"/>
            <w:tcMar>
              <w:top w:w="70" w:type="dxa"/>
              <w:start w:w="90" w:type="dxa"/>
              <w:bottom w:w="70" w:type="dxa"/>
              <w:end w:w="90" w:type="dxa"/>
            </w:tcMar>
            <w:shd w:fill="F1EFE5"/>
            <w:vAlign w:val="center"/>
          </w:tcPr>
          <w:p>
            <w:pPr>
              <w:spacing w:after="0"/>
            </w:pPr>
            <w:r>
              <w:rPr>
                <w:rFonts w:ascii="Arial" w:hAnsi="Arial"/>
                <w:b/>
                <w:color w:val="0E2530"/>
                <w:sz w:val="14"/>
              </w:rPr>
              <w:t>D04</w:t>
            </w:r>
          </w:p>
        </w:tc>
        <w:tc>
          <w:tcPr>
            <w:tcW w:type="dxa" w:w="2100"/>
            <w:tcMar>
              <w:top w:w="70" w:type="dxa"/>
              <w:start w:w="90" w:type="dxa"/>
              <w:bottom w:w="70" w:type="dxa"/>
              <w:end w:w="90" w:type="dxa"/>
            </w:tcMar>
            <w:shd w:fill="F1EFE5"/>
            <w:vAlign w:val="center"/>
          </w:tcPr>
          <w:p>
            <w:pPr>
              <w:spacing w:after="0"/>
            </w:pPr>
            <w:r>
              <w:rPr>
                <w:rFonts w:ascii="Arial" w:hAnsi="Arial"/>
                <w:color w:val="1B1B1C"/>
                <w:sz w:val="14"/>
              </w:rPr>
              <w:t>Lineage, provenance and traceability</w:t>
            </w:r>
          </w:p>
        </w:tc>
        <w:tc>
          <w:tcPr>
            <w:tcW w:type="dxa" w:w="5000"/>
            <w:tcMar>
              <w:top w:w="70" w:type="dxa"/>
              <w:start w:w="90" w:type="dxa"/>
              <w:bottom w:w="70" w:type="dxa"/>
              <w:end w:w="90" w:type="dxa"/>
            </w:tcMar>
            <w:shd w:fill="F1EFE5"/>
            <w:vAlign w:val="center"/>
          </w:tcPr>
          <w:p>
            <w:pPr>
              <w:spacing w:after="0"/>
            </w:pPr>
            <w:r>
              <w:rPr>
                <w:rFonts w:ascii="Arial" w:hAnsi="Arial"/>
                <w:color w:val="1B1B1C"/>
                <w:sz w:val="14"/>
              </w:rPr>
              <w:t>Source-to-use paths, transformations, actors, versions, run events and reproducibility</w:t>
            </w:r>
          </w:p>
        </w:tc>
        <w:tc>
          <w:tcPr>
            <w:tcW w:type="dxa" w:w="1700"/>
            <w:tcMar>
              <w:top w:w="70" w:type="dxa"/>
              <w:start w:w="90" w:type="dxa"/>
              <w:bottom w:w="70" w:type="dxa"/>
              <w:end w:w="90" w:type="dxa"/>
            </w:tcMar>
            <w:shd w:fill="F1EFE5"/>
            <w:vAlign w:val="center"/>
          </w:tcPr>
          <w:p>
            <w:pPr>
              <w:spacing w:after="0"/>
            </w:pPr>
            <w:r>
              <w:rPr>
                <w:rFonts w:ascii="Arial" w:hAnsi="Arial"/>
                <w:color w:val="1B1B1C"/>
                <w:sz w:val="14"/>
              </w:rPr>
              <w:t>W01,W02,U06,N02,N03,I16</w:t>
            </w:r>
          </w:p>
        </w:tc>
      </w:tr>
      <w:tr>
        <w:trPr>
          <w:cantSplit/>
        </w:trPr>
        <w:tc>
          <w:tcPr>
            <w:tcW w:type="dxa" w:w="600"/>
            <w:tcMar>
              <w:top w:w="70" w:type="dxa"/>
              <w:start w:w="90" w:type="dxa"/>
              <w:bottom w:w="70" w:type="dxa"/>
              <w:end w:w="90" w:type="dxa"/>
            </w:tcMar>
            <w:vAlign w:val="center"/>
          </w:tcPr>
          <w:p>
            <w:pPr>
              <w:spacing w:after="0"/>
            </w:pPr>
            <w:r>
              <w:rPr>
                <w:rFonts w:ascii="Arial" w:hAnsi="Arial"/>
                <w:b/>
                <w:color w:val="0E2530"/>
                <w:sz w:val="14"/>
              </w:rPr>
              <w:t>D05</w:t>
            </w:r>
          </w:p>
        </w:tc>
        <w:tc>
          <w:tcPr>
            <w:tcW w:type="dxa" w:w="2100"/>
            <w:tcMar>
              <w:top w:w="70" w:type="dxa"/>
              <w:start w:w="90" w:type="dxa"/>
              <w:bottom w:w="70" w:type="dxa"/>
              <w:end w:w="90" w:type="dxa"/>
            </w:tcMar>
            <w:vAlign w:val="center"/>
          </w:tcPr>
          <w:p>
            <w:pPr>
              <w:spacing w:after="0"/>
            </w:pPr>
            <w:r>
              <w:rPr>
                <w:rFonts w:ascii="Arial" w:hAnsi="Arial"/>
                <w:color w:val="1B1B1C"/>
                <w:sz w:val="14"/>
              </w:rPr>
              <w:t>Data quality and observability</w:t>
            </w:r>
          </w:p>
        </w:tc>
        <w:tc>
          <w:tcPr>
            <w:tcW w:type="dxa" w:w="5000"/>
            <w:tcMar>
              <w:top w:w="70" w:type="dxa"/>
              <w:start w:w="90" w:type="dxa"/>
              <w:bottom w:w="70" w:type="dxa"/>
              <w:end w:w="90" w:type="dxa"/>
            </w:tcMar>
            <w:vAlign w:val="center"/>
          </w:tcPr>
          <w:p>
            <w:pPr>
              <w:spacing w:after="0"/>
            </w:pPr>
            <w:r>
              <w:rPr>
                <w:rFonts w:ascii="Arial" w:hAnsi="Arial"/>
                <w:color w:val="1B1B1C"/>
                <w:sz w:val="14"/>
              </w:rPr>
              <w:t>Fitness-for-purpose requirements, controls, measurement, issue handling and monitoring</w:t>
            </w:r>
          </w:p>
        </w:tc>
        <w:tc>
          <w:tcPr>
            <w:tcW w:type="dxa" w:w="1700"/>
            <w:tcMar>
              <w:top w:w="70" w:type="dxa"/>
              <w:start w:w="90" w:type="dxa"/>
              <w:bottom w:w="70" w:type="dxa"/>
              <w:end w:w="90" w:type="dxa"/>
            </w:tcMar>
            <w:vAlign w:val="center"/>
          </w:tcPr>
          <w:p>
            <w:pPr>
              <w:spacing w:after="0"/>
            </w:pPr>
            <w:r>
              <w:rPr>
                <w:rFonts w:ascii="Arial" w:hAnsi="Arial"/>
                <w:color w:val="1B1B1C"/>
                <w:sz w:val="14"/>
              </w:rPr>
              <w:t>I04,I05,I06,I07,I10,I11,I12,W04</w:t>
            </w:r>
          </w:p>
        </w:tc>
      </w:tr>
      <w:tr>
        <w:trPr>
          <w:cantSplit/>
        </w:trPr>
        <w:tc>
          <w:tcPr>
            <w:tcW w:type="dxa" w:w="600"/>
            <w:tcMar>
              <w:top w:w="70" w:type="dxa"/>
              <w:start w:w="90" w:type="dxa"/>
              <w:bottom w:w="70" w:type="dxa"/>
              <w:end w:w="90" w:type="dxa"/>
            </w:tcMar>
            <w:shd w:fill="F1EFE5"/>
            <w:vAlign w:val="center"/>
          </w:tcPr>
          <w:p>
            <w:pPr>
              <w:spacing w:after="0"/>
            </w:pPr>
            <w:r>
              <w:rPr>
                <w:rFonts w:ascii="Arial" w:hAnsi="Arial"/>
                <w:b/>
                <w:color w:val="0E2530"/>
                <w:sz w:val="14"/>
              </w:rPr>
              <w:t>D06</w:t>
            </w:r>
          </w:p>
        </w:tc>
        <w:tc>
          <w:tcPr>
            <w:tcW w:type="dxa" w:w="2100"/>
            <w:tcMar>
              <w:top w:w="70" w:type="dxa"/>
              <w:start w:w="90" w:type="dxa"/>
              <w:bottom w:w="70" w:type="dxa"/>
              <w:end w:w="90" w:type="dxa"/>
            </w:tcMar>
            <w:shd w:fill="F1EFE5"/>
            <w:vAlign w:val="center"/>
          </w:tcPr>
          <w:p>
            <w:pPr>
              <w:spacing w:after="0"/>
            </w:pPr>
            <w:r>
              <w:rPr>
                <w:rFonts w:ascii="Arial" w:hAnsi="Arial"/>
                <w:color w:val="1B1B1C"/>
                <w:sz w:val="14"/>
              </w:rPr>
              <w:t>Integrity, security and resilience</w:t>
            </w:r>
          </w:p>
        </w:tc>
        <w:tc>
          <w:tcPr>
            <w:tcW w:type="dxa" w:w="5000"/>
            <w:tcMar>
              <w:top w:w="70" w:type="dxa"/>
              <w:start w:w="90" w:type="dxa"/>
              <w:bottom w:w="70" w:type="dxa"/>
              <w:end w:w="90" w:type="dxa"/>
            </w:tcMar>
            <w:shd w:fill="F1EFE5"/>
            <w:vAlign w:val="center"/>
          </w:tcPr>
          <w:p>
            <w:pPr>
              <w:spacing w:after="0"/>
            </w:pPr>
            <w:r>
              <w:rPr>
                <w:rFonts w:ascii="Arial" w:hAnsi="Arial"/>
                <w:color w:val="1B1B1C"/>
                <w:sz w:val="14"/>
              </w:rPr>
              <w:t>Access, change control, logging, cryptographic proof, recovery, OT separation and incident response</w:t>
            </w:r>
          </w:p>
        </w:tc>
        <w:tc>
          <w:tcPr>
            <w:tcW w:type="dxa" w:w="1700"/>
            <w:tcMar>
              <w:top w:w="70" w:type="dxa"/>
              <w:start w:w="90" w:type="dxa"/>
              <w:bottom w:w="70" w:type="dxa"/>
              <w:end w:w="90" w:type="dxa"/>
            </w:tcMar>
            <w:shd w:fill="F1EFE5"/>
            <w:vAlign w:val="center"/>
          </w:tcPr>
          <w:p>
            <w:pPr>
              <w:spacing w:after="0"/>
            </w:pPr>
            <w:r>
              <w:rPr>
                <w:rFonts w:ascii="Arial" w:hAnsi="Arial"/>
                <w:color w:val="1B1B1C"/>
                <w:sz w:val="14"/>
              </w:rPr>
              <w:t>I20,N04,N05,N06,U04,U07,U08</w:t>
            </w:r>
          </w:p>
        </w:tc>
      </w:tr>
      <w:tr>
        <w:trPr>
          <w:cantSplit/>
        </w:trPr>
        <w:tc>
          <w:tcPr>
            <w:tcW w:type="dxa" w:w="600"/>
            <w:tcMar>
              <w:top w:w="70" w:type="dxa"/>
              <w:start w:w="90" w:type="dxa"/>
              <w:bottom w:w="70" w:type="dxa"/>
              <w:end w:w="90" w:type="dxa"/>
            </w:tcMar>
            <w:vAlign w:val="center"/>
          </w:tcPr>
          <w:p>
            <w:pPr>
              <w:spacing w:after="0"/>
            </w:pPr>
            <w:r>
              <w:rPr>
                <w:rFonts w:ascii="Arial" w:hAnsi="Arial"/>
                <w:b/>
                <w:color w:val="0E2530"/>
                <w:sz w:val="14"/>
              </w:rPr>
              <w:t>D07</w:t>
            </w:r>
          </w:p>
        </w:tc>
        <w:tc>
          <w:tcPr>
            <w:tcW w:type="dxa" w:w="2100"/>
            <w:tcMar>
              <w:top w:w="70" w:type="dxa"/>
              <w:start w:w="90" w:type="dxa"/>
              <w:bottom w:w="70" w:type="dxa"/>
              <w:end w:w="90" w:type="dxa"/>
            </w:tcMar>
            <w:vAlign w:val="center"/>
          </w:tcPr>
          <w:p>
            <w:pPr>
              <w:spacing w:after="0"/>
            </w:pPr>
            <w:r>
              <w:rPr>
                <w:rFonts w:ascii="Arial" w:hAnsi="Arial"/>
                <w:color w:val="1B1B1C"/>
                <w:sz w:val="14"/>
              </w:rPr>
              <w:t>Privacy, rights, ethics and transparency</w:t>
            </w:r>
          </w:p>
        </w:tc>
        <w:tc>
          <w:tcPr>
            <w:tcW w:type="dxa" w:w="5000"/>
            <w:tcMar>
              <w:top w:w="70" w:type="dxa"/>
              <w:start w:w="90" w:type="dxa"/>
              <w:bottom w:w="70" w:type="dxa"/>
              <w:end w:w="90" w:type="dxa"/>
            </w:tcMar>
            <w:vAlign w:val="center"/>
          </w:tcPr>
          <w:p>
            <w:pPr>
              <w:spacing w:after="0"/>
            </w:pPr>
            <w:r>
              <w:rPr>
                <w:rFonts w:ascii="Arial" w:hAnsi="Arial"/>
                <w:color w:val="1B1B1C"/>
                <w:sz w:val="14"/>
              </w:rPr>
              <w:t>Purpose, minimization, rights, impact assessment, fairness, explainability and redress</w:t>
            </w:r>
          </w:p>
        </w:tc>
        <w:tc>
          <w:tcPr>
            <w:tcW w:type="dxa" w:w="1700"/>
            <w:tcMar>
              <w:top w:w="70" w:type="dxa"/>
              <w:start w:w="90" w:type="dxa"/>
              <w:bottom w:w="70" w:type="dxa"/>
              <w:end w:w="90" w:type="dxa"/>
            </w:tcMar>
            <w:vAlign w:val="center"/>
          </w:tcPr>
          <w:p>
            <w:pPr>
              <w:spacing w:after="0"/>
            </w:pPr>
            <w:r>
              <w:rPr>
                <w:rFonts w:ascii="Arial" w:hAnsi="Arial"/>
                <w:color w:val="1B1B1C"/>
                <w:sz w:val="14"/>
              </w:rPr>
              <w:t>I21,N07,F06,F07,EU01,EU04</w:t>
            </w:r>
          </w:p>
        </w:tc>
      </w:tr>
      <w:tr>
        <w:trPr>
          <w:cantSplit/>
        </w:trPr>
        <w:tc>
          <w:tcPr>
            <w:tcW w:type="dxa" w:w="600"/>
            <w:tcMar>
              <w:top w:w="70" w:type="dxa"/>
              <w:start w:w="90" w:type="dxa"/>
              <w:bottom w:w="70" w:type="dxa"/>
              <w:end w:w="90" w:type="dxa"/>
            </w:tcMar>
            <w:shd w:fill="F1EFE5"/>
            <w:vAlign w:val="center"/>
          </w:tcPr>
          <w:p>
            <w:pPr>
              <w:spacing w:after="0"/>
            </w:pPr>
            <w:r>
              <w:rPr>
                <w:rFonts w:ascii="Arial" w:hAnsi="Arial"/>
                <w:b/>
                <w:color w:val="0E2530"/>
                <w:sz w:val="14"/>
              </w:rPr>
              <w:t>D08</w:t>
            </w:r>
          </w:p>
        </w:tc>
        <w:tc>
          <w:tcPr>
            <w:tcW w:type="dxa" w:w="2100"/>
            <w:tcMar>
              <w:top w:w="70" w:type="dxa"/>
              <w:start w:w="90" w:type="dxa"/>
              <w:bottom w:w="70" w:type="dxa"/>
              <w:end w:w="90" w:type="dxa"/>
            </w:tcMar>
            <w:shd w:fill="F1EFE5"/>
            <w:vAlign w:val="center"/>
          </w:tcPr>
          <w:p>
            <w:pPr>
              <w:spacing w:after="0"/>
            </w:pPr>
            <w:r>
              <w:rPr>
                <w:rFonts w:ascii="Arial" w:hAnsi="Arial"/>
                <w:color w:val="1B1B1C"/>
                <w:sz w:val="14"/>
              </w:rPr>
              <w:t>Lifecycle, retention and records</w:t>
            </w:r>
          </w:p>
        </w:tc>
        <w:tc>
          <w:tcPr>
            <w:tcW w:type="dxa" w:w="5000"/>
            <w:tcMar>
              <w:top w:w="70" w:type="dxa"/>
              <w:start w:w="90" w:type="dxa"/>
              <w:bottom w:w="70" w:type="dxa"/>
              <w:end w:w="90" w:type="dxa"/>
            </w:tcMar>
            <w:shd w:fill="F1EFE5"/>
            <w:vAlign w:val="center"/>
          </w:tcPr>
          <w:p>
            <w:pPr>
              <w:spacing w:after="0"/>
            </w:pPr>
            <w:r>
              <w:rPr>
                <w:rFonts w:ascii="Arial" w:hAnsi="Arial"/>
                <w:color w:val="1B1B1C"/>
                <w:sz w:val="14"/>
              </w:rPr>
              <w:t>Creation, version, legal hold, archival, retention, deletion and authentic records</w:t>
            </w:r>
          </w:p>
        </w:tc>
        <w:tc>
          <w:tcPr>
            <w:tcW w:type="dxa" w:w="1700"/>
            <w:tcMar>
              <w:top w:w="70" w:type="dxa"/>
              <w:start w:w="90" w:type="dxa"/>
              <w:bottom w:w="70" w:type="dxa"/>
              <w:end w:w="90" w:type="dxa"/>
            </w:tcMar>
            <w:shd w:fill="F1EFE5"/>
            <w:vAlign w:val="center"/>
          </w:tcPr>
          <w:p>
            <w:pPr>
              <w:spacing w:after="0"/>
            </w:pPr>
            <w:r>
              <w:rPr>
                <w:rFonts w:ascii="Arial" w:hAnsi="Arial"/>
                <w:color w:val="1B1B1C"/>
                <w:sz w:val="14"/>
              </w:rPr>
              <w:t>I22,N04,US09,EU03</w:t>
            </w:r>
          </w:p>
        </w:tc>
      </w:tr>
      <w:tr>
        <w:trPr>
          <w:cantSplit/>
        </w:trPr>
        <w:tc>
          <w:tcPr>
            <w:tcW w:type="dxa" w:w="600"/>
            <w:tcMar>
              <w:top w:w="70" w:type="dxa"/>
              <w:start w:w="90" w:type="dxa"/>
              <w:bottom w:w="70" w:type="dxa"/>
              <w:end w:w="90" w:type="dxa"/>
            </w:tcMar>
            <w:vAlign w:val="center"/>
          </w:tcPr>
          <w:p>
            <w:pPr>
              <w:spacing w:after="0"/>
            </w:pPr>
            <w:r>
              <w:rPr>
                <w:rFonts w:ascii="Arial" w:hAnsi="Arial"/>
                <w:b/>
                <w:color w:val="0E2530"/>
                <w:sz w:val="14"/>
              </w:rPr>
              <w:t>D09</w:t>
            </w:r>
          </w:p>
        </w:tc>
        <w:tc>
          <w:tcPr>
            <w:tcW w:type="dxa" w:w="2100"/>
            <w:tcMar>
              <w:top w:w="70" w:type="dxa"/>
              <w:start w:w="90" w:type="dxa"/>
              <w:bottom w:w="70" w:type="dxa"/>
              <w:end w:w="90" w:type="dxa"/>
            </w:tcMar>
            <w:vAlign w:val="center"/>
          </w:tcPr>
          <w:p>
            <w:pPr>
              <w:spacing w:after="0"/>
            </w:pPr>
            <w:r>
              <w:rPr>
                <w:rFonts w:ascii="Arial" w:hAnsi="Arial"/>
                <w:color w:val="1B1B1C"/>
                <w:sz w:val="14"/>
              </w:rPr>
              <w:t>Sharing, openness, third parties and sovereignty</w:t>
            </w:r>
          </w:p>
        </w:tc>
        <w:tc>
          <w:tcPr>
            <w:tcW w:type="dxa" w:w="5000"/>
            <w:tcMar>
              <w:top w:w="70" w:type="dxa"/>
              <w:start w:w="90" w:type="dxa"/>
              <w:bottom w:w="70" w:type="dxa"/>
              <w:end w:w="90" w:type="dxa"/>
            </w:tcMar>
            <w:vAlign w:val="center"/>
          </w:tcPr>
          <w:p>
            <w:pPr>
              <w:spacing w:after="0"/>
            </w:pPr>
            <w:r>
              <w:rPr>
                <w:rFonts w:ascii="Arial" w:hAnsi="Arial"/>
                <w:color w:val="1B1B1C"/>
                <w:sz w:val="14"/>
              </w:rPr>
              <w:t>Data-use rights, contracts, classification, open/shared/closed decisions and cross-border controls</w:t>
            </w:r>
          </w:p>
        </w:tc>
        <w:tc>
          <w:tcPr>
            <w:tcW w:type="dxa" w:w="1700"/>
            <w:tcMar>
              <w:top w:w="70" w:type="dxa"/>
              <w:start w:w="90" w:type="dxa"/>
              <w:bottom w:w="70" w:type="dxa"/>
              <w:end w:w="90" w:type="dxa"/>
            </w:tcMar>
            <w:vAlign w:val="center"/>
          </w:tcPr>
          <w:p>
            <w:pPr>
              <w:spacing w:after="0"/>
            </w:pPr>
            <w:r>
              <w:rPr>
                <w:rFonts w:ascii="Arial" w:hAnsi="Arial"/>
                <w:color w:val="1B1B1C"/>
                <w:sz w:val="14"/>
              </w:rPr>
              <w:t>W03,W05,W07,N09,EU02,EU03,G14</w:t>
            </w:r>
          </w:p>
        </w:tc>
      </w:tr>
      <w:tr>
        <w:trPr>
          <w:cantSplit/>
        </w:trPr>
        <w:tc>
          <w:tcPr>
            <w:tcW w:type="dxa" w:w="600"/>
            <w:tcMar>
              <w:top w:w="70" w:type="dxa"/>
              <w:start w:w="90" w:type="dxa"/>
              <w:bottom w:w="70" w:type="dxa"/>
              <w:end w:w="90" w:type="dxa"/>
            </w:tcMar>
            <w:shd w:fill="F1EFE5"/>
            <w:vAlign w:val="center"/>
          </w:tcPr>
          <w:p>
            <w:pPr>
              <w:spacing w:after="0"/>
            </w:pPr>
            <w:r>
              <w:rPr>
                <w:rFonts w:ascii="Arial" w:hAnsi="Arial"/>
                <w:b/>
                <w:color w:val="0E2530"/>
                <w:sz w:val="14"/>
              </w:rPr>
              <w:t>D10</w:t>
            </w:r>
          </w:p>
        </w:tc>
        <w:tc>
          <w:tcPr>
            <w:tcW w:type="dxa" w:w="2100"/>
            <w:tcMar>
              <w:top w:w="70" w:type="dxa"/>
              <w:start w:w="90" w:type="dxa"/>
              <w:bottom w:w="70" w:type="dxa"/>
              <w:end w:w="90" w:type="dxa"/>
            </w:tcMar>
            <w:shd w:fill="F1EFE5"/>
            <w:vAlign w:val="center"/>
          </w:tcPr>
          <w:p>
            <w:pPr>
              <w:spacing w:after="0"/>
            </w:pPr>
            <w:r>
              <w:rPr>
                <w:rFonts w:ascii="Arial" w:hAnsi="Arial"/>
                <w:color w:val="1B1B1C"/>
                <w:sz w:val="14"/>
              </w:rPr>
              <w:t>Utility OT, asset and digital-twin governance</w:t>
            </w:r>
          </w:p>
        </w:tc>
        <w:tc>
          <w:tcPr>
            <w:tcW w:type="dxa" w:w="5000"/>
            <w:tcMar>
              <w:top w:w="70" w:type="dxa"/>
              <w:start w:w="90" w:type="dxa"/>
              <w:bottom w:w="70" w:type="dxa"/>
              <w:end w:w="90" w:type="dxa"/>
            </w:tcMar>
            <w:shd w:fill="F1EFE5"/>
            <w:vAlign w:val="center"/>
          </w:tcPr>
          <w:p>
            <w:pPr>
              <w:spacing w:after="0"/>
            </w:pPr>
            <w:r>
              <w:rPr>
                <w:rFonts w:ascii="Arial" w:hAnsi="Arial"/>
                <w:color w:val="1B1B1C"/>
                <w:sz w:val="14"/>
              </w:rPr>
              <w:t>SCADA/AMI/GIS/EAM/LIMS integration, critical assets, network models and operational safety</w:t>
            </w:r>
          </w:p>
        </w:tc>
        <w:tc>
          <w:tcPr>
            <w:tcW w:type="dxa" w:w="1700"/>
            <w:tcMar>
              <w:top w:w="70" w:type="dxa"/>
              <w:start w:w="90" w:type="dxa"/>
              <w:bottom w:w="70" w:type="dxa"/>
              <w:end w:w="90" w:type="dxa"/>
            </w:tcMar>
            <w:shd w:fill="F1EFE5"/>
            <w:vAlign w:val="center"/>
          </w:tcPr>
          <w:p>
            <w:pPr>
              <w:spacing w:after="0"/>
            </w:pPr>
            <w:r>
              <w:rPr>
                <w:rFonts w:ascii="Arial" w:hAnsi="Arial"/>
                <w:color w:val="1B1B1C"/>
                <w:sz w:val="14"/>
              </w:rPr>
              <w:t>I23,I24,I25,I26,U01,U03,U04,U08,U11</w:t>
            </w:r>
          </w:p>
        </w:tc>
      </w:tr>
      <w:tr>
        <w:trPr>
          <w:cantSplit/>
        </w:trPr>
        <w:tc>
          <w:tcPr>
            <w:tcW w:type="dxa" w:w="600"/>
            <w:tcMar>
              <w:top w:w="70" w:type="dxa"/>
              <w:start w:w="90" w:type="dxa"/>
              <w:bottom w:w="70" w:type="dxa"/>
              <w:end w:w="90" w:type="dxa"/>
            </w:tcMar>
            <w:vAlign w:val="center"/>
          </w:tcPr>
          <w:p>
            <w:pPr>
              <w:spacing w:after="0"/>
            </w:pPr>
            <w:r>
              <w:rPr>
                <w:rFonts w:ascii="Arial" w:hAnsi="Arial"/>
                <w:b/>
                <w:color w:val="0E2530"/>
                <w:sz w:val="14"/>
              </w:rPr>
              <w:t>D11</w:t>
            </w:r>
          </w:p>
        </w:tc>
        <w:tc>
          <w:tcPr>
            <w:tcW w:type="dxa" w:w="2100"/>
            <w:tcMar>
              <w:top w:w="70" w:type="dxa"/>
              <w:start w:w="90" w:type="dxa"/>
              <w:bottom w:w="70" w:type="dxa"/>
              <w:end w:w="90" w:type="dxa"/>
            </w:tcMar>
            <w:vAlign w:val="center"/>
          </w:tcPr>
          <w:p>
            <w:pPr>
              <w:spacing w:after="0"/>
            </w:pPr>
            <w:r>
              <w:rPr>
                <w:rFonts w:ascii="Arial" w:hAnsi="Arial"/>
                <w:color w:val="1B1B1C"/>
                <w:sz w:val="14"/>
              </w:rPr>
              <w:t>AI and analytics data governance</w:t>
            </w:r>
          </w:p>
        </w:tc>
        <w:tc>
          <w:tcPr>
            <w:tcW w:type="dxa" w:w="5000"/>
            <w:tcMar>
              <w:top w:w="70" w:type="dxa"/>
              <w:start w:w="90" w:type="dxa"/>
              <w:bottom w:w="70" w:type="dxa"/>
              <w:end w:w="90" w:type="dxa"/>
            </w:tcMar>
            <w:vAlign w:val="center"/>
          </w:tcPr>
          <w:p>
            <w:pPr>
              <w:spacing w:after="0"/>
            </w:pPr>
            <w:r>
              <w:rPr>
                <w:rFonts w:ascii="Arial" w:hAnsi="Arial"/>
                <w:color w:val="1B1B1C"/>
                <w:sz w:val="14"/>
              </w:rPr>
              <w:t>Use-case inventory, training/evaluation data, representativeness, traceability, monitoring and retirement</w:t>
            </w:r>
          </w:p>
        </w:tc>
        <w:tc>
          <w:tcPr>
            <w:tcW w:type="dxa" w:w="1700"/>
            <w:tcMar>
              <w:top w:w="70" w:type="dxa"/>
              <w:start w:w="90" w:type="dxa"/>
              <w:bottom w:w="70" w:type="dxa"/>
              <w:end w:w="90" w:type="dxa"/>
            </w:tcMar>
            <w:vAlign w:val="center"/>
          </w:tcPr>
          <w:p>
            <w:pPr>
              <w:spacing w:after="0"/>
            </w:pPr>
            <w:r>
              <w:rPr>
                <w:rFonts w:ascii="Arial" w:hAnsi="Arial"/>
                <w:color w:val="1B1B1C"/>
                <w:sz w:val="14"/>
              </w:rPr>
              <w:t>I04,I05,I08,I17,I18,I19,N01,US03,EU01</w:t>
            </w:r>
          </w:p>
        </w:tc>
      </w:tr>
      <w:tr>
        <w:trPr>
          <w:cantSplit/>
        </w:trPr>
        <w:tc>
          <w:tcPr>
            <w:tcW w:type="dxa" w:w="600"/>
            <w:tcMar>
              <w:top w:w="70" w:type="dxa"/>
              <w:start w:w="90" w:type="dxa"/>
              <w:bottom w:w="70" w:type="dxa"/>
              <w:end w:w="90" w:type="dxa"/>
            </w:tcMar>
            <w:shd w:fill="F1EFE5"/>
            <w:vAlign w:val="center"/>
          </w:tcPr>
          <w:p>
            <w:pPr>
              <w:spacing w:after="0"/>
            </w:pPr>
            <w:r>
              <w:rPr>
                <w:rFonts w:ascii="Arial" w:hAnsi="Arial"/>
                <w:b/>
                <w:color w:val="0E2530"/>
                <w:sz w:val="14"/>
              </w:rPr>
              <w:t>D12</w:t>
            </w:r>
          </w:p>
        </w:tc>
        <w:tc>
          <w:tcPr>
            <w:tcW w:type="dxa" w:w="2100"/>
            <w:tcMar>
              <w:top w:w="70" w:type="dxa"/>
              <w:start w:w="90" w:type="dxa"/>
              <w:bottom w:w="70" w:type="dxa"/>
              <w:end w:w="90" w:type="dxa"/>
            </w:tcMar>
            <w:shd w:fill="F1EFE5"/>
            <w:vAlign w:val="center"/>
          </w:tcPr>
          <w:p>
            <w:pPr>
              <w:spacing w:after="0"/>
            </w:pPr>
            <w:r>
              <w:rPr>
                <w:rFonts w:ascii="Arial" w:hAnsi="Arial"/>
                <w:color w:val="1B1B1C"/>
                <w:sz w:val="14"/>
              </w:rPr>
              <w:t>Evidence, assurance and continuous improvement</w:t>
            </w:r>
          </w:p>
        </w:tc>
        <w:tc>
          <w:tcPr>
            <w:tcW w:type="dxa" w:w="5000"/>
            <w:tcMar>
              <w:top w:w="70" w:type="dxa"/>
              <w:start w:w="90" w:type="dxa"/>
              <w:bottom w:w="70" w:type="dxa"/>
              <w:end w:w="90" w:type="dxa"/>
            </w:tcMar>
            <w:shd w:fill="F1EFE5"/>
            <w:vAlign w:val="center"/>
          </w:tcPr>
          <w:p>
            <w:pPr>
              <w:spacing w:after="0"/>
            </w:pPr>
            <w:r>
              <w:rPr>
                <w:rFonts w:ascii="Arial" w:hAnsi="Arial"/>
                <w:color w:val="1B1B1C"/>
                <w:sz w:val="14"/>
              </w:rPr>
              <w:t>Control tests, independent challenge, metrics, exceptions, source updates and remediation verification</w:t>
            </w:r>
          </w:p>
        </w:tc>
        <w:tc>
          <w:tcPr>
            <w:tcW w:type="dxa" w:w="1700"/>
            <w:tcMar>
              <w:top w:w="70" w:type="dxa"/>
              <w:start w:w="90" w:type="dxa"/>
              <w:bottom w:w="70" w:type="dxa"/>
              <w:end w:w="90" w:type="dxa"/>
            </w:tcMar>
            <w:shd w:fill="F1EFE5"/>
            <w:vAlign w:val="center"/>
          </w:tcPr>
          <w:p>
            <w:pPr>
              <w:spacing w:after="0"/>
            </w:pPr>
            <w:r>
              <w:rPr>
                <w:rFonts w:ascii="Arial" w:hAnsi="Arial"/>
                <w:color w:val="1B1B1C"/>
                <w:sz w:val="14"/>
              </w:rPr>
              <w:t>N05,I13,I17,F03,N10</w:t>
            </w:r>
          </w:p>
        </w:tc>
      </w:tr>
    </w:tbl>
    <w:p>
      <w:pPr>
        <w:spacing w:after="0"/>
      </w:pPr>
    </w:p>
    <w:p>
      <w:pPr>
        <w:pStyle w:val="Heading2"/>
      </w:pPr>
      <w:r>
        <w:t>Maturity and evidence are separate</w:t>
      </w:r>
    </w:p>
    <w:p>
      <w:pPr>
        <w:spacing w:before="120" w:after="0"/>
        <w:jc w:val="center"/>
      </w:pPr>
      <w:r>
        <w:drawing>
          <wp:inline xmlns:a="http://schemas.openxmlformats.org/drawingml/2006/main" xmlns:pic="http://schemas.openxmlformats.org/drawingml/2006/picture">
            <wp:extent cx="6126480" cy="3539744"/>
            <wp:docPr id="15" name="Picture 15" title="Figure 10. Maturity must be supported by proof" descr="A policy can establish intent, but it cannot prove operation. Scores rise only when the utility can show repeatable practice, measured results and independent assurance."/>
            <wp:cNvGraphicFramePr>
              <a:graphicFrameLocks noChangeAspect="1"/>
            </wp:cNvGraphicFramePr>
            <a:graphic>
              <a:graphicData uri="http://schemas.openxmlformats.org/drawingml/2006/picture">
                <pic:pic>
                  <pic:nvPicPr>
                    <pic:cNvPr id="0" name="10_maturity.png"/>
                    <pic:cNvPicPr/>
                  </pic:nvPicPr>
                  <pic:blipFill>
                    <a:blip r:embed="rId38"/>
                    <a:stretch>
                      <a:fillRect/>
                    </a:stretch>
                  </pic:blipFill>
                  <pic:spPr>
                    <a:xfrm>
                      <a:off x="0" y="0"/>
                      <a:ext cx="6126480" cy="3539744"/>
                    </a:xfrm>
                    <a:prstGeom prst="rect"/>
                  </pic:spPr>
                </pic:pic>
              </a:graphicData>
            </a:graphic>
          </wp:inline>
        </w:drawing>
      </w:r>
    </w:p>
    <w:p>
      <w:pPr>
        <w:pStyle w:val="Caption"/>
        <w:jc w:val="left"/>
      </w:pPr>
      <w:r>
        <w:t>Figure 10. Maturity must be supported by proof</w:t>
      </w:r>
    </w:p>
    <w:p>
      <w:pPr>
        <w:spacing w:after="40"/>
      </w:pPr>
      <w:r>
        <w:rPr>
          <w:b/>
          <w:color w:val="2F7F9E"/>
        </w:rPr>
        <w:t xml:space="preserve">What this shows. </w:t>
      </w:r>
      <w:r>
        <w:t>A policy can establish intent, but it cannot prove operation. Scores rise only when the utility can show repeatable practice, measured results and independent assurance.</w:t>
      </w:r>
    </w:p>
    <w:p>
      <w:pPr>
        <w:spacing w:after="180"/>
      </w:pPr>
      <w:r>
        <w:rPr>
          <w:rFonts w:ascii="Arial" w:hAnsi="Arial"/>
          <w:i/>
          <w:color w:val="7D766A"/>
          <w:sz w:val="15"/>
        </w:rPr>
        <w:t>Source: APAS AI maturity and evidence-confidence model.</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2455"/>
        <w:gridCol w:w="2455"/>
        <w:gridCol w:w="2455"/>
        <w:gridCol w:w="2455"/>
      </w:tblGrid>
      <w:tr>
        <w:trPr>
          <w:tblHeader w:val="true"/>
          <w:cantSplit/>
        </w:trPr>
        <w:tc>
          <w:tcPr>
            <w:tcW w:type="dxa" w:w="700"/>
            <w:tcMar>
              <w:top w:w="75" w:type="dxa"/>
              <w:start w:w="90" w:type="dxa"/>
              <w:bottom w:w="75" w:type="dxa"/>
              <w:end w:w="90" w:type="dxa"/>
            </w:tcMar>
            <w:shd w:fill="1B1B1C"/>
          </w:tcPr>
          <w:p>
            <w:pPr>
              <w:spacing w:after="0"/>
            </w:pPr>
            <w:r>
              <w:rPr>
                <w:rFonts w:ascii="Arial" w:hAnsi="Arial"/>
                <w:b/>
                <w:color w:val="FFFFFF"/>
                <w:sz w:val="15"/>
              </w:rPr>
              <w:t>Level</w:t>
            </w:r>
          </w:p>
        </w:tc>
        <w:tc>
          <w:tcPr>
            <w:tcW w:type="dxa" w:w="1400"/>
            <w:tcMar>
              <w:top w:w="75" w:type="dxa"/>
              <w:start w:w="90" w:type="dxa"/>
              <w:bottom w:w="75" w:type="dxa"/>
              <w:end w:w="90" w:type="dxa"/>
            </w:tcMar>
            <w:shd w:fill="1B1B1C"/>
          </w:tcPr>
          <w:p>
            <w:pPr>
              <w:spacing w:after="0"/>
            </w:pPr>
            <w:r>
              <w:rPr>
                <w:rFonts w:ascii="Arial" w:hAnsi="Arial"/>
                <w:b/>
                <w:color w:val="FFFFFF"/>
                <w:sz w:val="15"/>
              </w:rPr>
              <w:t>Name</w:t>
            </w:r>
          </w:p>
        </w:tc>
        <w:tc>
          <w:tcPr>
            <w:tcW w:type="dxa" w:w="4300"/>
            <w:tcMar>
              <w:top w:w="75" w:type="dxa"/>
              <w:start w:w="90" w:type="dxa"/>
              <w:bottom w:w="75" w:type="dxa"/>
              <w:end w:w="90" w:type="dxa"/>
            </w:tcMar>
            <w:shd w:fill="1B1B1C"/>
          </w:tcPr>
          <w:p>
            <w:pPr>
              <w:spacing w:after="0"/>
            </w:pPr>
            <w:r>
              <w:rPr>
                <w:rFonts w:ascii="Arial" w:hAnsi="Arial"/>
                <w:b/>
                <w:color w:val="FFFFFF"/>
                <w:sz w:val="15"/>
              </w:rPr>
              <w:t>Meaning</w:t>
            </w:r>
          </w:p>
        </w:tc>
        <w:tc>
          <w:tcPr>
            <w:tcW w:type="dxa" w:w="2900"/>
            <w:tcMar>
              <w:top w:w="75" w:type="dxa"/>
              <w:start w:w="90" w:type="dxa"/>
              <w:bottom w:w="75" w:type="dxa"/>
              <w:end w:w="90" w:type="dxa"/>
            </w:tcMar>
            <w:shd w:fill="1B1B1C"/>
          </w:tcPr>
          <w:p>
            <w:pPr>
              <w:spacing w:after="0"/>
            </w:pPr>
            <w:r>
              <w:rPr>
                <w:rFonts w:ascii="Arial" w:hAnsi="Arial"/>
                <w:b/>
                <w:color w:val="FFFFFF"/>
                <w:sz w:val="15"/>
              </w:rPr>
              <w:t>Minimum proof</w:t>
            </w:r>
          </w:p>
        </w:tc>
      </w:tr>
      <w:tr>
        <w:trPr>
          <w:cantSplit/>
        </w:trPr>
        <w:tc>
          <w:tcPr>
            <w:tcW w:type="dxa" w:w="700"/>
            <w:tcMar>
              <w:top w:w="70" w:type="dxa"/>
              <w:start w:w="90" w:type="dxa"/>
              <w:bottom w:w="70" w:type="dxa"/>
              <w:end w:w="90" w:type="dxa"/>
            </w:tcMar>
            <w:vAlign w:val="center"/>
          </w:tcPr>
          <w:p>
            <w:pPr>
              <w:spacing w:after="0"/>
            </w:pPr>
            <w:r>
              <w:rPr>
                <w:rFonts w:ascii="Arial" w:hAnsi="Arial"/>
                <w:b/>
                <w:color w:val="0E2530"/>
                <w:sz w:val="15"/>
              </w:rPr>
              <w:t>0</w:t>
            </w:r>
          </w:p>
        </w:tc>
        <w:tc>
          <w:tcPr>
            <w:tcW w:type="dxa" w:w="1400"/>
            <w:tcMar>
              <w:top w:w="70" w:type="dxa"/>
              <w:start w:w="90" w:type="dxa"/>
              <w:bottom w:w="70" w:type="dxa"/>
              <w:end w:w="90" w:type="dxa"/>
            </w:tcMar>
            <w:vAlign w:val="center"/>
          </w:tcPr>
          <w:p>
            <w:pPr>
              <w:spacing w:after="0"/>
            </w:pPr>
            <w:r>
              <w:rPr>
                <w:rFonts w:ascii="Arial" w:hAnsi="Arial"/>
                <w:color w:val="1B1B1C"/>
                <w:sz w:val="15"/>
              </w:rPr>
              <w:t>Uncontrolled</w:t>
            </w:r>
          </w:p>
        </w:tc>
        <w:tc>
          <w:tcPr>
            <w:tcW w:type="dxa" w:w="4300"/>
            <w:tcMar>
              <w:top w:w="70" w:type="dxa"/>
              <w:start w:w="90" w:type="dxa"/>
              <w:bottom w:w="70" w:type="dxa"/>
              <w:end w:w="90" w:type="dxa"/>
            </w:tcMar>
            <w:vAlign w:val="center"/>
          </w:tcPr>
          <w:p>
            <w:pPr>
              <w:spacing w:after="0"/>
            </w:pPr>
            <w:r>
              <w:rPr>
                <w:rFonts w:ascii="Arial" w:hAnsi="Arial"/>
                <w:color w:val="1B1B1C"/>
                <w:sz w:val="15"/>
              </w:rPr>
              <w:t>The practice is absent, unknown or unreliable.</w:t>
            </w:r>
          </w:p>
        </w:tc>
        <w:tc>
          <w:tcPr>
            <w:tcW w:type="dxa" w:w="2900"/>
            <w:tcMar>
              <w:top w:w="70" w:type="dxa"/>
              <w:start w:w="90" w:type="dxa"/>
              <w:bottom w:w="70" w:type="dxa"/>
              <w:end w:w="90" w:type="dxa"/>
            </w:tcMar>
            <w:vAlign w:val="center"/>
          </w:tcPr>
          <w:p>
            <w:pPr>
              <w:spacing w:after="0"/>
            </w:pPr>
            <w:r>
              <w:rPr>
                <w:rFonts w:ascii="Arial" w:hAnsi="Arial"/>
                <w:color w:val="1B1B1C"/>
                <w:sz w:val="15"/>
              </w:rPr>
              <w:t>No dependable proof.</w:t>
            </w:r>
          </w:p>
        </w:tc>
      </w:tr>
      <w:tr>
        <w:trPr>
          <w:cantSplit/>
        </w:trPr>
        <w:tc>
          <w:tcPr>
            <w:tcW w:type="dxa" w:w="700"/>
            <w:tcMar>
              <w:top w:w="70" w:type="dxa"/>
              <w:start w:w="90" w:type="dxa"/>
              <w:bottom w:w="70" w:type="dxa"/>
              <w:end w:w="90" w:type="dxa"/>
            </w:tcMar>
            <w:shd w:fill="F1EFE5"/>
            <w:vAlign w:val="center"/>
          </w:tcPr>
          <w:p>
            <w:pPr>
              <w:spacing w:after="0"/>
            </w:pPr>
            <w:r>
              <w:rPr>
                <w:rFonts w:ascii="Arial" w:hAnsi="Arial"/>
                <w:b/>
                <w:color w:val="0E2530"/>
                <w:sz w:val="15"/>
              </w:rPr>
              <w:t>1</w:t>
            </w:r>
          </w:p>
        </w:tc>
        <w:tc>
          <w:tcPr>
            <w:tcW w:type="dxa" w:w="1400"/>
            <w:tcMar>
              <w:top w:w="70" w:type="dxa"/>
              <w:start w:w="90" w:type="dxa"/>
              <w:bottom w:w="70" w:type="dxa"/>
              <w:end w:w="90" w:type="dxa"/>
            </w:tcMar>
            <w:shd w:fill="F1EFE5"/>
            <w:vAlign w:val="center"/>
          </w:tcPr>
          <w:p>
            <w:pPr>
              <w:spacing w:after="0"/>
            </w:pPr>
            <w:r>
              <w:rPr>
                <w:rFonts w:ascii="Arial" w:hAnsi="Arial"/>
                <w:color w:val="1B1B1C"/>
                <w:sz w:val="15"/>
              </w:rPr>
              <w:t>Aware</w:t>
            </w:r>
          </w:p>
        </w:tc>
        <w:tc>
          <w:tcPr>
            <w:tcW w:type="dxa" w:w="4300"/>
            <w:tcMar>
              <w:top w:w="70" w:type="dxa"/>
              <w:start w:w="90" w:type="dxa"/>
              <w:bottom w:w="70" w:type="dxa"/>
              <w:end w:w="90" w:type="dxa"/>
            </w:tcMar>
            <w:shd w:fill="F1EFE5"/>
            <w:vAlign w:val="center"/>
          </w:tcPr>
          <w:p>
            <w:pPr>
              <w:spacing w:after="0"/>
            </w:pPr>
            <w:r>
              <w:rPr>
                <w:rFonts w:ascii="Arial" w:hAnsi="Arial"/>
                <w:color w:val="1B1B1C"/>
                <w:sz w:val="15"/>
              </w:rPr>
              <w:t>People recognize the need, but work is local or reactive.</w:t>
            </w:r>
          </w:p>
        </w:tc>
        <w:tc>
          <w:tcPr>
            <w:tcW w:type="dxa" w:w="2900"/>
            <w:tcMar>
              <w:top w:w="70" w:type="dxa"/>
              <w:start w:w="90" w:type="dxa"/>
              <w:bottom w:w="70" w:type="dxa"/>
              <w:end w:w="90" w:type="dxa"/>
            </w:tcMar>
            <w:shd w:fill="F1EFE5"/>
            <w:vAlign w:val="center"/>
          </w:tcPr>
          <w:p>
            <w:pPr>
              <w:spacing w:after="0"/>
            </w:pPr>
            <w:r>
              <w:rPr>
                <w:rFonts w:ascii="Arial" w:hAnsi="Arial"/>
                <w:color w:val="1B1B1C"/>
                <w:sz w:val="15"/>
              </w:rPr>
              <w:t>Examples or statements, not a controlled method.</w:t>
            </w:r>
          </w:p>
        </w:tc>
      </w:tr>
      <w:tr>
        <w:trPr>
          <w:cantSplit/>
        </w:trPr>
        <w:tc>
          <w:tcPr>
            <w:tcW w:type="dxa" w:w="700"/>
            <w:tcMar>
              <w:top w:w="70" w:type="dxa"/>
              <w:start w:w="90" w:type="dxa"/>
              <w:bottom w:w="70" w:type="dxa"/>
              <w:end w:w="90" w:type="dxa"/>
            </w:tcMar>
            <w:vAlign w:val="center"/>
          </w:tcPr>
          <w:p>
            <w:pPr>
              <w:spacing w:after="0"/>
            </w:pPr>
            <w:r>
              <w:rPr>
                <w:rFonts w:ascii="Arial" w:hAnsi="Arial"/>
                <w:b/>
                <w:color w:val="0E2530"/>
                <w:sz w:val="15"/>
              </w:rPr>
              <w:t>2</w:t>
            </w:r>
          </w:p>
        </w:tc>
        <w:tc>
          <w:tcPr>
            <w:tcW w:type="dxa" w:w="1400"/>
            <w:tcMar>
              <w:top w:w="70" w:type="dxa"/>
              <w:start w:w="90" w:type="dxa"/>
              <w:bottom w:w="70" w:type="dxa"/>
              <w:end w:w="90" w:type="dxa"/>
            </w:tcMar>
            <w:vAlign w:val="center"/>
          </w:tcPr>
          <w:p>
            <w:pPr>
              <w:spacing w:after="0"/>
            </w:pPr>
            <w:r>
              <w:rPr>
                <w:rFonts w:ascii="Arial" w:hAnsi="Arial"/>
                <w:color w:val="1B1B1C"/>
                <w:sz w:val="15"/>
              </w:rPr>
              <w:t>Defined</w:t>
            </w:r>
          </w:p>
        </w:tc>
        <w:tc>
          <w:tcPr>
            <w:tcW w:type="dxa" w:w="4300"/>
            <w:tcMar>
              <w:top w:w="70" w:type="dxa"/>
              <w:start w:w="90" w:type="dxa"/>
              <w:bottom w:w="70" w:type="dxa"/>
              <w:end w:w="90" w:type="dxa"/>
            </w:tcMar>
            <w:vAlign w:val="center"/>
          </w:tcPr>
          <w:p>
            <w:pPr>
              <w:spacing w:after="0"/>
            </w:pPr>
            <w:r>
              <w:rPr>
                <w:rFonts w:ascii="Arial" w:hAnsi="Arial"/>
                <w:color w:val="1B1B1C"/>
                <w:sz w:val="15"/>
              </w:rPr>
              <w:t>A policy, role or method is approved.</w:t>
            </w:r>
          </w:p>
        </w:tc>
        <w:tc>
          <w:tcPr>
            <w:tcW w:type="dxa" w:w="2900"/>
            <w:tcMar>
              <w:top w:w="70" w:type="dxa"/>
              <w:start w:w="90" w:type="dxa"/>
              <w:bottom w:w="70" w:type="dxa"/>
              <w:end w:w="90" w:type="dxa"/>
            </w:tcMar>
            <w:vAlign w:val="center"/>
          </w:tcPr>
          <w:p>
            <w:pPr>
              <w:spacing w:after="0"/>
            </w:pPr>
            <w:r>
              <w:rPr>
                <w:rFonts w:ascii="Arial" w:hAnsi="Arial"/>
                <w:color w:val="1B1B1C"/>
                <w:sz w:val="15"/>
              </w:rPr>
              <w:t>Current document, owner and planned process.</w:t>
            </w:r>
          </w:p>
        </w:tc>
      </w:tr>
      <w:tr>
        <w:trPr>
          <w:cantSplit/>
        </w:trPr>
        <w:tc>
          <w:tcPr>
            <w:tcW w:type="dxa" w:w="700"/>
            <w:tcMar>
              <w:top w:w="70" w:type="dxa"/>
              <w:start w:w="90" w:type="dxa"/>
              <w:bottom w:w="70" w:type="dxa"/>
              <w:end w:w="90" w:type="dxa"/>
            </w:tcMar>
            <w:shd w:fill="F1EFE5"/>
            <w:vAlign w:val="center"/>
          </w:tcPr>
          <w:p>
            <w:pPr>
              <w:spacing w:after="0"/>
            </w:pPr>
            <w:r>
              <w:rPr>
                <w:rFonts w:ascii="Arial" w:hAnsi="Arial"/>
                <w:b/>
                <w:color w:val="0E2530"/>
                <w:sz w:val="15"/>
              </w:rPr>
              <w:t>3</w:t>
            </w:r>
          </w:p>
        </w:tc>
        <w:tc>
          <w:tcPr>
            <w:tcW w:type="dxa" w:w="1400"/>
            <w:tcMar>
              <w:top w:w="70" w:type="dxa"/>
              <w:start w:w="90" w:type="dxa"/>
              <w:bottom w:w="70" w:type="dxa"/>
              <w:end w:w="90" w:type="dxa"/>
            </w:tcMar>
            <w:shd w:fill="F1EFE5"/>
            <w:vAlign w:val="center"/>
          </w:tcPr>
          <w:p>
            <w:pPr>
              <w:spacing w:after="0"/>
            </w:pPr>
            <w:r>
              <w:rPr>
                <w:rFonts w:ascii="Arial" w:hAnsi="Arial"/>
                <w:color w:val="1B1B1C"/>
                <w:sz w:val="15"/>
              </w:rPr>
              <w:t>Operating</w:t>
            </w:r>
          </w:p>
        </w:tc>
        <w:tc>
          <w:tcPr>
            <w:tcW w:type="dxa" w:w="4300"/>
            <w:tcMar>
              <w:top w:w="70" w:type="dxa"/>
              <w:start w:w="90" w:type="dxa"/>
              <w:bottom w:w="70" w:type="dxa"/>
              <w:end w:w="90" w:type="dxa"/>
            </w:tcMar>
            <w:shd w:fill="F1EFE5"/>
            <w:vAlign w:val="center"/>
          </w:tcPr>
          <w:p>
            <w:pPr>
              <w:spacing w:after="0"/>
            </w:pPr>
            <w:r>
              <w:rPr>
                <w:rFonts w:ascii="Arial" w:hAnsi="Arial"/>
                <w:color w:val="1B1B1C"/>
                <w:sz w:val="15"/>
              </w:rPr>
              <w:t>The practice is repeated in scope and exceptions are managed.</w:t>
            </w:r>
          </w:p>
        </w:tc>
        <w:tc>
          <w:tcPr>
            <w:tcW w:type="dxa" w:w="2900"/>
            <w:tcMar>
              <w:top w:w="70" w:type="dxa"/>
              <w:start w:w="90" w:type="dxa"/>
              <w:bottom w:w="70" w:type="dxa"/>
              <w:end w:w="90" w:type="dxa"/>
            </w:tcMar>
            <w:shd w:fill="F1EFE5"/>
            <w:vAlign w:val="center"/>
          </w:tcPr>
          <w:p>
            <w:pPr>
              <w:spacing w:after="0"/>
            </w:pPr>
            <w:r>
              <w:rPr>
                <w:rFonts w:ascii="Arial" w:hAnsi="Arial"/>
                <w:color w:val="1B1B1C"/>
                <w:sz w:val="15"/>
              </w:rPr>
              <w:t>Operating samples over time.</w:t>
            </w:r>
          </w:p>
        </w:tc>
      </w:tr>
      <w:tr>
        <w:trPr>
          <w:cantSplit/>
        </w:trPr>
        <w:tc>
          <w:tcPr>
            <w:tcW w:type="dxa" w:w="700"/>
            <w:tcMar>
              <w:top w:w="70" w:type="dxa"/>
              <w:start w:w="90" w:type="dxa"/>
              <w:bottom w:w="70" w:type="dxa"/>
              <w:end w:w="90" w:type="dxa"/>
            </w:tcMar>
            <w:vAlign w:val="center"/>
          </w:tcPr>
          <w:p>
            <w:pPr>
              <w:spacing w:after="0"/>
            </w:pPr>
            <w:r>
              <w:rPr>
                <w:rFonts w:ascii="Arial" w:hAnsi="Arial"/>
                <w:b/>
                <w:color w:val="0E2530"/>
                <w:sz w:val="15"/>
              </w:rPr>
              <w:t>4</w:t>
            </w:r>
          </w:p>
        </w:tc>
        <w:tc>
          <w:tcPr>
            <w:tcW w:type="dxa" w:w="1400"/>
            <w:tcMar>
              <w:top w:w="70" w:type="dxa"/>
              <w:start w:w="90" w:type="dxa"/>
              <w:bottom w:w="70" w:type="dxa"/>
              <w:end w:w="90" w:type="dxa"/>
            </w:tcMar>
            <w:vAlign w:val="center"/>
          </w:tcPr>
          <w:p>
            <w:pPr>
              <w:spacing w:after="0"/>
            </w:pPr>
            <w:r>
              <w:rPr>
                <w:rFonts w:ascii="Arial" w:hAnsi="Arial"/>
                <w:color w:val="1B1B1C"/>
                <w:sz w:val="15"/>
              </w:rPr>
              <w:t>Measured</w:t>
            </w:r>
          </w:p>
        </w:tc>
        <w:tc>
          <w:tcPr>
            <w:tcW w:type="dxa" w:w="4300"/>
            <w:tcMar>
              <w:top w:w="70" w:type="dxa"/>
              <w:start w:w="90" w:type="dxa"/>
              <w:bottom w:w="70" w:type="dxa"/>
              <w:end w:w="90" w:type="dxa"/>
            </w:tcMar>
            <w:vAlign w:val="center"/>
          </w:tcPr>
          <w:p>
            <w:pPr>
              <w:spacing w:after="0"/>
            </w:pPr>
            <w:r>
              <w:rPr>
                <w:rFonts w:ascii="Arial" w:hAnsi="Arial"/>
                <w:color w:val="1B1B1C"/>
                <w:sz w:val="15"/>
              </w:rPr>
              <w:t>Performance, coverage and control results are managed.</w:t>
            </w:r>
          </w:p>
        </w:tc>
        <w:tc>
          <w:tcPr>
            <w:tcW w:type="dxa" w:w="2900"/>
            <w:tcMar>
              <w:top w:w="70" w:type="dxa"/>
              <w:start w:w="90" w:type="dxa"/>
              <w:bottom w:w="70" w:type="dxa"/>
              <w:end w:w="90" w:type="dxa"/>
            </w:tcMar>
            <w:vAlign w:val="center"/>
          </w:tcPr>
          <w:p>
            <w:pPr>
              <w:spacing w:after="0"/>
            </w:pPr>
            <w:r>
              <w:rPr>
                <w:rFonts w:ascii="Arial" w:hAnsi="Arial"/>
                <w:color w:val="1B1B1C"/>
                <w:sz w:val="15"/>
              </w:rPr>
              <w:t>Metrics, trends, thresholds and corrective action.</w:t>
            </w:r>
          </w:p>
        </w:tc>
      </w:tr>
      <w:tr>
        <w:trPr>
          <w:cantSplit/>
        </w:trPr>
        <w:tc>
          <w:tcPr>
            <w:tcW w:type="dxa" w:w="700"/>
            <w:tcMar>
              <w:top w:w="70" w:type="dxa"/>
              <w:start w:w="90" w:type="dxa"/>
              <w:bottom w:w="70" w:type="dxa"/>
              <w:end w:w="90" w:type="dxa"/>
            </w:tcMar>
            <w:shd w:fill="F1EFE5"/>
            <w:vAlign w:val="center"/>
          </w:tcPr>
          <w:p>
            <w:pPr>
              <w:spacing w:after="0"/>
            </w:pPr>
            <w:r>
              <w:rPr>
                <w:rFonts w:ascii="Arial" w:hAnsi="Arial"/>
                <w:b/>
                <w:color w:val="0E2530"/>
                <w:sz w:val="15"/>
              </w:rPr>
              <w:t>5</w:t>
            </w:r>
          </w:p>
        </w:tc>
        <w:tc>
          <w:tcPr>
            <w:tcW w:type="dxa" w:w="1400"/>
            <w:tcMar>
              <w:top w:w="70" w:type="dxa"/>
              <w:start w:w="90" w:type="dxa"/>
              <w:bottom w:w="70" w:type="dxa"/>
              <w:end w:w="90" w:type="dxa"/>
            </w:tcMar>
            <w:shd w:fill="F1EFE5"/>
            <w:vAlign w:val="center"/>
          </w:tcPr>
          <w:p>
            <w:pPr>
              <w:spacing w:after="0"/>
            </w:pPr>
            <w:r>
              <w:rPr>
                <w:rFonts w:ascii="Arial" w:hAnsi="Arial"/>
                <w:color w:val="1B1B1C"/>
                <w:sz w:val="15"/>
              </w:rPr>
              <w:t>Assured</w:t>
            </w:r>
          </w:p>
        </w:tc>
        <w:tc>
          <w:tcPr>
            <w:tcW w:type="dxa" w:w="4300"/>
            <w:tcMar>
              <w:top w:w="70" w:type="dxa"/>
              <w:start w:w="90" w:type="dxa"/>
              <w:bottom w:w="70" w:type="dxa"/>
              <w:end w:w="90" w:type="dxa"/>
            </w:tcMar>
            <w:shd w:fill="F1EFE5"/>
            <w:vAlign w:val="center"/>
          </w:tcPr>
          <w:p>
            <w:pPr>
              <w:spacing w:after="0"/>
            </w:pPr>
            <w:r>
              <w:rPr>
                <w:rFonts w:ascii="Arial" w:hAnsi="Arial"/>
                <w:color w:val="1B1B1C"/>
                <w:sz w:val="15"/>
              </w:rPr>
              <w:t>Independent testing and learning sustain the practice.</w:t>
            </w:r>
          </w:p>
        </w:tc>
        <w:tc>
          <w:tcPr>
            <w:tcW w:type="dxa" w:w="2900"/>
            <w:tcMar>
              <w:top w:w="70" w:type="dxa"/>
              <w:start w:w="90" w:type="dxa"/>
              <w:bottom w:w="70" w:type="dxa"/>
              <w:end w:w="90" w:type="dxa"/>
            </w:tcMar>
            <w:shd w:fill="F1EFE5"/>
            <w:vAlign w:val="center"/>
          </w:tcPr>
          <w:p>
            <w:pPr>
              <w:spacing w:after="0"/>
            </w:pPr>
            <w:r>
              <w:rPr>
                <w:rFonts w:ascii="Arial" w:hAnsi="Arial"/>
                <w:color w:val="1B1B1C"/>
                <w:sz w:val="15"/>
              </w:rPr>
              <w:t>Independent evidence, verified closure and adaptation.</w:t>
            </w:r>
          </w:p>
        </w:tc>
      </w:tr>
    </w:tbl>
    <w:p>
      <w:pPr>
        <w:spacing w:after="0"/>
      </w:pPr>
    </w:p>
    <w:p>
      <w:pPr>
        <w:pStyle w:val="Heading2"/>
      </w:pPr>
      <w:r>
        <w:t>From data chaos to data wisdom and the twin path</w:t>
      </w:r>
    </w:p>
    <w:p>
      <w:r>
        <w:t>Data does not become wisdom simply because it is collected, integrated or analyzed. The value journey begins in data chaos, where records are fragmented and their meaning is uncertain, then moves through governed data, information, knowledge and decision intelligence. Data wisdom is the accountable use of that evidence, combined with operational context, human judgment, consequences and learning; it is an organizational capability, not a database state.</w:t>
      </w:r>
    </w:p>
    <w:p>
      <w:pPr>
        <w:spacing w:before="120" w:after="0"/>
        <w:jc w:val="center"/>
      </w:pPr>
      <w:r>
        <w:drawing>
          <wp:inline xmlns:a="http://schemas.openxmlformats.org/drawingml/2006/main" xmlns:pic="http://schemas.openxmlformats.org/drawingml/2006/picture">
            <wp:extent cx="6126480" cy="4492752"/>
            <wp:docPr id="16" name="Picture 16" title="Figure 15. From data chaos to data wisdom and Decision Twin™" descr="The value journey turns fragmented records into governed data, usable information, contextual knowledge, decision intelligence and accountable data wisdom. The capability journey begins with discovery and governed connection, supports dependable digital twins, and reaches Decision Twin™ only when rules, evidence, human authority and outcome learning operate together."/>
            <wp:cNvGraphicFramePr>
              <a:graphicFrameLocks noChangeAspect="1"/>
            </wp:cNvGraphicFramePr>
            <a:graphic>
              <a:graphicData uri="http://schemas.openxmlformats.org/drawingml/2006/picture">
                <pic:pic>
                  <pic:nvPicPr>
                    <pic:cNvPr id="0" name="15_twin_maturity.png"/>
                    <pic:cNvPicPr/>
                  </pic:nvPicPr>
                  <pic:blipFill>
                    <a:blip r:embed="rId39"/>
                    <a:stretch>
                      <a:fillRect/>
                    </a:stretch>
                  </pic:blipFill>
                  <pic:spPr>
                    <a:xfrm>
                      <a:off x="0" y="0"/>
                      <a:ext cx="6126480" cy="4492752"/>
                    </a:xfrm>
                    <a:prstGeom prst="rect"/>
                  </pic:spPr>
                </pic:pic>
              </a:graphicData>
            </a:graphic>
          </wp:inline>
        </w:drawing>
      </w:r>
    </w:p>
    <w:p>
      <w:pPr>
        <w:pStyle w:val="Caption"/>
        <w:jc w:val="left"/>
      </w:pPr>
      <w:r>
        <w:t>Figure 15. From data chaos to data wisdom and Decision Twin™</w:t>
      </w:r>
    </w:p>
    <w:p>
      <w:pPr>
        <w:spacing w:after="40"/>
      </w:pPr>
      <w:r>
        <w:rPr>
          <w:b/>
          <w:color w:val="2F7F9E"/>
        </w:rPr>
        <w:t xml:space="preserve">What this shows. </w:t>
      </w:r>
      <w:r>
        <w:t>The value journey turns fragmented records into governed data, usable information, contextual knowledge, decision intelligence and accountable data wisdom. The capability journey begins with discovery and governed connection, supports dependable digital twins, and reaches Decision Twin™ only when rules, evidence, human authority and outcome learning operate together.</w:t>
      </w:r>
    </w:p>
    <w:p>
      <w:pPr>
        <w:spacing w:after="180"/>
      </w:pPr>
      <w:r>
        <w:rPr>
          <w:rFonts w:ascii="Arial" w:hAnsi="Arial"/>
          <w:i/>
          <w:color w:val="7D766A"/>
          <w:sz w:val="15"/>
        </w:rPr>
        <w:t>Source: APAS AI data-value and maturity model. Decision Twin™ is an APAS trademark.</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3273"/>
        <w:gridCol w:w="3273"/>
        <w:gridCol w:w="3273"/>
      </w:tblGrid>
      <w:tr>
        <w:trPr>
          <w:tblHeader w:val="true"/>
          <w:cantSplit/>
        </w:trPr>
        <w:tc>
          <w:tcPr>
            <w:tcW w:type="dxa" w:w="1700"/>
            <w:tcMar>
              <w:top w:w="75" w:type="dxa"/>
              <w:start w:w="90" w:type="dxa"/>
              <w:bottom w:w="75" w:type="dxa"/>
              <w:end w:w="90" w:type="dxa"/>
            </w:tcMar>
            <w:shd w:fill="1B1B1C"/>
          </w:tcPr>
          <w:p>
            <w:pPr>
              <w:spacing w:after="0"/>
            </w:pPr>
            <w:r>
              <w:rPr>
                <w:rFonts w:ascii="Arial" w:hAnsi="Arial"/>
                <w:b/>
                <w:color w:val="FFFFFF"/>
                <w:sz w:val="15"/>
              </w:rPr>
              <w:t>Phase</w:t>
            </w:r>
          </w:p>
        </w:tc>
        <w:tc>
          <w:tcPr>
            <w:tcW w:type="dxa" w:w="4200"/>
            <w:tcMar>
              <w:top w:w="75" w:type="dxa"/>
              <w:start w:w="90" w:type="dxa"/>
              <w:bottom w:w="75" w:type="dxa"/>
              <w:end w:w="90" w:type="dxa"/>
            </w:tcMar>
            <w:shd w:fill="1B1B1C"/>
          </w:tcPr>
          <w:p>
            <w:pPr>
              <w:spacing w:after="0"/>
            </w:pPr>
            <w:r>
              <w:rPr>
                <w:rFonts w:ascii="Arial" w:hAnsi="Arial"/>
                <w:b/>
                <w:color w:val="FFFFFF"/>
                <w:sz w:val="15"/>
              </w:rPr>
              <w:t>What the data can prove</w:t>
            </w:r>
          </w:p>
        </w:tc>
        <w:tc>
          <w:tcPr>
            <w:tcW w:type="dxa" w:w="3400"/>
            <w:tcMar>
              <w:top w:w="75" w:type="dxa"/>
              <w:start w:w="90" w:type="dxa"/>
              <w:bottom w:w="75" w:type="dxa"/>
              <w:end w:w="90" w:type="dxa"/>
            </w:tcMar>
            <w:shd w:fill="1B1B1C"/>
          </w:tcPr>
          <w:p>
            <w:pPr>
              <w:spacing w:after="0"/>
            </w:pPr>
            <w:r>
              <w:rPr>
                <w:rFonts w:ascii="Arial" w:hAnsi="Arial"/>
                <w:b/>
                <w:color w:val="FFFFFF"/>
                <w:sz w:val="15"/>
              </w:rPr>
              <w:t>Decision value</w:t>
            </w:r>
          </w:p>
        </w:tc>
      </w:tr>
      <w:tr>
        <w:trPr>
          <w:cantSplit/>
        </w:trPr>
        <w:tc>
          <w:tcPr>
            <w:tcW w:type="dxa" w:w="1700"/>
            <w:tcMar>
              <w:top w:w="70" w:type="dxa"/>
              <w:start w:w="90" w:type="dxa"/>
              <w:bottom w:w="70" w:type="dxa"/>
              <w:end w:w="90" w:type="dxa"/>
            </w:tcMar>
            <w:vAlign w:val="center"/>
          </w:tcPr>
          <w:p>
            <w:pPr>
              <w:spacing w:after="0"/>
            </w:pPr>
            <w:r>
              <w:rPr>
                <w:rFonts w:ascii="Arial" w:hAnsi="Arial"/>
                <w:b/>
                <w:color w:val="0E2530"/>
                <w:sz w:val="15"/>
              </w:rPr>
              <w:t>0. Discover</w:t>
            </w:r>
          </w:p>
        </w:tc>
        <w:tc>
          <w:tcPr>
            <w:tcW w:type="dxa" w:w="4200"/>
            <w:tcMar>
              <w:top w:w="70" w:type="dxa"/>
              <w:start w:w="90" w:type="dxa"/>
              <w:bottom w:w="70" w:type="dxa"/>
              <w:end w:w="90" w:type="dxa"/>
            </w:tcMar>
            <w:vAlign w:val="center"/>
          </w:tcPr>
          <w:p>
            <w:pPr>
              <w:spacing w:after="0"/>
            </w:pPr>
            <w:r>
              <w:rPr>
                <w:rFonts w:ascii="Arial" w:hAnsi="Arial"/>
                <w:color w:val="1B1B1C"/>
                <w:sz w:val="15"/>
              </w:rPr>
              <w:t>Material decisions, source systems, owners and critical gaps are known.</w:t>
            </w:r>
          </w:p>
        </w:tc>
        <w:tc>
          <w:tcPr>
            <w:tcW w:type="dxa" w:w="3400"/>
            <w:tcMar>
              <w:top w:w="70" w:type="dxa"/>
              <w:start w:w="90" w:type="dxa"/>
              <w:bottom w:w="70" w:type="dxa"/>
              <w:end w:w="90" w:type="dxa"/>
            </w:tcMar>
            <w:vAlign w:val="center"/>
          </w:tcPr>
          <w:p>
            <w:pPr>
              <w:spacing w:after="0"/>
            </w:pPr>
            <w:r>
              <w:rPr>
                <w:rFonts w:ascii="Arial" w:hAnsi="Arial"/>
                <w:color w:val="1B1B1C"/>
                <w:sz w:val="15"/>
              </w:rPr>
              <w:t>The utility knows where uncertainty and dependency live.</w:t>
            </w:r>
          </w:p>
        </w:tc>
      </w:tr>
      <w:tr>
        <w:trPr>
          <w:cantSplit/>
        </w:trPr>
        <w:tc>
          <w:tcPr>
            <w:tcW w:type="dxa" w:w="1700"/>
            <w:tcMar>
              <w:top w:w="70" w:type="dxa"/>
              <w:start w:w="90" w:type="dxa"/>
              <w:bottom w:w="70" w:type="dxa"/>
              <w:end w:w="90" w:type="dxa"/>
            </w:tcMar>
            <w:shd w:fill="F1EFE5"/>
            <w:vAlign w:val="center"/>
          </w:tcPr>
          <w:p>
            <w:pPr>
              <w:spacing w:after="0"/>
            </w:pPr>
            <w:r>
              <w:rPr>
                <w:rFonts w:ascii="Arial" w:hAnsi="Arial"/>
                <w:b/>
                <w:color w:val="0E2530"/>
                <w:sz w:val="15"/>
              </w:rPr>
              <w:t>1. Connect</w:t>
            </w:r>
          </w:p>
        </w:tc>
        <w:tc>
          <w:tcPr>
            <w:tcW w:type="dxa" w:w="4200"/>
            <w:tcMar>
              <w:top w:w="70" w:type="dxa"/>
              <w:start w:w="90" w:type="dxa"/>
              <w:bottom w:w="70" w:type="dxa"/>
              <w:end w:w="90" w:type="dxa"/>
            </w:tcMar>
            <w:shd w:fill="F1EFE5"/>
            <w:vAlign w:val="center"/>
          </w:tcPr>
          <w:p>
            <w:pPr>
              <w:spacing w:after="0"/>
            </w:pPr>
            <w:r>
              <w:rPr>
                <w:rFonts w:ascii="Arial" w:hAnsi="Arial"/>
                <w:color w:val="1B1B1C"/>
                <w:sz w:val="15"/>
              </w:rPr>
              <w:t>Stable identifiers and controlled interfaces connect selected systems and records.</w:t>
            </w:r>
          </w:p>
        </w:tc>
        <w:tc>
          <w:tcPr>
            <w:tcW w:type="dxa" w:w="3400"/>
            <w:tcMar>
              <w:top w:w="70" w:type="dxa"/>
              <w:start w:w="90" w:type="dxa"/>
              <w:bottom w:w="70" w:type="dxa"/>
              <w:end w:w="90" w:type="dxa"/>
            </w:tcMar>
            <w:shd w:fill="F1EFE5"/>
            <w:vAlign w:val="center"/>
          </w:tcPr>
          <w:p>
            <w:pPr>
              <w:spacing w:after="0"/>
            </w:pPr>
            <w:r>
              <w:rPr>
                <w:rFonts w:ascii="Arial" w:hAnsi="Arial"/>
                <w:color w:val="1B1B1C"/>
                <w:sz w:val="15"/>
              </w:rPr>
              <w:t>People can find the same asset, event, customer, sample or rule across systems.</w:t>
            </w:r>
          </w:p>
        </w:tc>
      </w:tr>
      <w:tr>
        <w:trPr>
          <w:cantSplit/>
        </w:trPr>
        <w:tc>
          <w:tcPr>
            <w:tcW w:type="dxa" w:w="1700"/>
            <w:tcMar>
              <w:top w:w="70" w:type="dxa"/>
              <w:start w:w="90" w:type="dxa"/>
              <w:bottom w:w="70" w:type="dxa"/>
              <w:end w:w="90" w:type="dxa"/>
            </w:tcMar>
            <w:vAlign w:val="center"/>
          </w:tcPr>
          <w:p>
            <w:pPr>
              <w:spacing w:after="0"/>
            </w:pPr>
            <w:r>
              <w:rPr>
                <w:rFonts w:ascii="Arial" w:hAnsi="Arial"/>
                <w:b/>
                <w:color w:val="0E2530"/>
                <w:sz w:val="15"/>
              </w:rPr>
              <w:t>2. Govern</w:t>
            </w:r>
          </w:p>
        </w:tc>
        <w:tc>
          <w:tcPr>
            <w:tcW w:type="dxa" w:w="4200"/>
            <w:tcMar>
              <w:top w:w="70" w:type="dxa"/>
              <w:start w:w="90" w:type="dxa"/>
              <w:bottom w:w="70" w:type="dxa"/>
              <w:end w:w="90" w:type="dxa"/>
            </w:tcMar>
            <w:vAlign w:val="center"/>
          </w:tcPr>
          <w:p>
            <w:pPr>
              <w:spacing w:after="0"/>
            </w:pPr>
            <w:r>
              <w:rPr>
                <w:rFonts w:ascii="Arial" w:hAnsi="Arial"/>
                <w:color w:val="1B1B1C"/>
                <w:sz w:val="15"/>
              </w:rPr>
              <w:t>Meaning, quality, ownership, lineage, rights, retention and exceptions operate.</w:t>
            </w:r>
          </w:p>
        </w:tc>
        <w:tc>
          <w:tcPr>
            <w:tcW w:type="dxa" w:w="3400"/>
            <w:tcMar>
              <w:top w:w="70" w:type="dxa"/>
              <w:start w:w="90" w:type="dxa"/>
              <w:bottom w:w="70" w:type="dxa"/>
              <w:end w:w="90" w:type="dxa"/>
            </w:tcMar>
            <w:vAlign w:val="center"/>
          </w:tcPr>
          <w:p>
            <w:pPr>
              <w:spacing w:after="0"/>
            </w:pPr>
            <w:r>
              <w:rPr>
                <w:rFonts w:ascii="Arial" w:hAnsi="Arial"/>
                <w:color w:val="1B1B1C"/>
                <w:sz w:val="15"/>
              </w:rPr>
              <w:t>The utility can explain why data is fit for a stated decision.</w:t>
            </w:r>
          </w:p>
        </w:tc>
      </w:tr>
      <w:tr>
        <w:trPr>
          <w:cantSplit/>
        </w:trPr>
        <w:tc>
          <w:tcPr>
            <w:tcW w:type="dxa" w:w="1700"/>
            <w:tcMar>
              <w:top w:w="70" w:type="dxa"/>
              <w:start w:w="90" w:type="dxa"/>
              <w:bottom w:w="70" w:type="dxa"/>
              <w:end w:w="90" w:type="dxa"/>
            </w:tcMar>
            <w:shd w:fill="F1EFE5"/>
            <w:vAlign w:val="center"/>
          </w:tcPr>
          <w:p>
            <w:pPr>
              <w:spacing w:after="0"/>
            </w:pPr>
            <w:r>
              <w:rPr>
                <w:rFonts w:ascii="Arial" w:hAnsi="Arial"/>
                <w:b/>
                <w:color w:val="0E2530"/>
                <w:sz w:val="15"/>
              </w:rPr>
              <w:t>3. Operational Twin</w:t>
            </w:r>
          </w:p>
        </w:tc>
        <w:tc>
          <w:tcPr>
            <w:tcW w:type="dxa" w:w="4200"/>
            <w:tcMar>
              <w:top w:w="70" w:type="dxa"/>
              <w:start w:w="90" w:type="dxa"/>
              <w:bottom w:w="70" w:type="dxa"/>
              <w:end w:w="90" w:type="dxa"/>
            </w:tcMar>
            <w:shd w:fill="F1EFE5"/>
            <w:vAlign w:val="center"/>
          </w:tcPr>
          <w:p>
            <w:pPr>
              <w:spacing w:after="0"/>
            </w:pPr>
            <w:r>
              <w:rPr>
                <w:rFonts w:ascii="Arial" w:hAnsi="Arial"/>
                <w:color w:val="1B1B1C"/>
                <w:sz w:val="15"/>
              </w:rPr>
              <w:t>Current physical state is joined to asset, work, environmental and operator context.</w:t>
            </w:r>
          </w:p>
        </w:tc>
        <w:tc>
          <w:tcPr>
            <w:tcW w:type="dxa" w:w="3400"/>
            <w:tcMar>
              <w:top w:w="70" w:type="dxa"/>
              <w:start w:w="90" w:type="dxa"/>
              <w:bottom w:w="70" w:type="dxa"/>
              <w:end w:w="90" w:type="dxa"/>
            </w:tcMar>
            <w:shd w:fill="F1EFE5"/>
            <w:vAlign w:val="center"/>
          </w:tcPr>
          <w:p>
            <w:pPr>
              <w:spacing w:after="0"/>
            </w:pPr>
            <w:r>
              <w:rPr>
                <w:rFonts w:ascii="Arial" w:hAnsi="Arial"/>
                <w:color w:val="1B1B1C"/>
                <w:sz w:val="15"/>
              </w:rPr>
              <w:t>Teams see the operating condition and act with shared context.</w:t>
            </w:r>
          </w:p>
        </w:tc>
      </w:tr>
      <w:tr>
        <w:trPr>
          <w:cantSplit/>
        </w:trPr>
        <w:tc>
          <w:tcPr>
            <w:tcW w:type="dxa" w:w="1700"/>
            <w:tcMar>
              <w:top w:w="70" w:type="dxa"/>
              <w:start w:w="90" w:type="dxa"/>
              <w:bottom w:w="70" w:type="dxa"/>
              <w:end w:w="90" w:type="dxa"/>
            </w:tcMar>
            <w:vAlign w:val="center"/>
          </w:tcPr>
          <w:p>
            <w:pPr>
              <w:spacing w:after="0"/>
            </w:pPr>
            <w:r>
              <w:rPr>
                <w:rFonts w:ascii="Arial" w:hAnsi="Arial"/>
                <w:b/>
                <w:color w:val="0E2530"/>
                <w:sz w:val="15"/>
              </w:rPr>
              <w:t>4. Digital Twin</w:t>
            </w:r>
          </w:p>
        </w:tc>
        <w:tc>
          <w:tcPr>
            <w:tcW w:type="dxa" w:w="4200"/>
            <w:tcMar>
              <w:top w:w="70" w:type="dxa"/>
              <w:start w:w="90" w:type="dxa"/>
              <w:bottom w:w="70" w:type="dxa"/>
              <w:end w:w="90" w:type="dxa"/>
            </w:tcMar>
            <w:vAlign w:val="center"/>
          </w:tcPr>
          <w:p>
            <w:pPr>
              <w:spacing w:after="0"/>
            </w:pPr>
            <w:r>
              <w:rPr>
                <w:rFonts w:ascii="Arial" w:hAnsi="Arial"/>
                <w:color w:val="1B1B1C"/>
                <w:sz w:val="15"/>
              </w:rPr>
              <w:t>The representation can reproduce behavior, test scenarios and compare observed with expected state.</w:t>
            </w:r>
          </w:p>
        </w:tc>
        <w:tc>
          <w:tcPr>
            <w:tcW w:type="dxa" w:w="3400"/>
            <w:tcMar>
              <w:top w:w="70" w:type="dxa"/>
              <w:start w:w="90" w:type="dxa"/>
              <w:bottom w:w="70" w:type="dxa"/>
              <w:end w:w="90" w:type="dxa"/>
            </w:tcMar>
            <w:vAlign w:val="center"/>
          </w:tcPr>
          <w:p>
            <w:pPr>
              <w:spacing w:after="0"/>
            </w:pPr>
            <w:r>
              <w:rPr>
                <w:rFonts w:ascii="Arial" w:hAnsi="Arial"/>
                <w:color w:val="1B1B1C"/>
                <w:sz w:val="15"/>
              </w:rPr>
              <w:t>Engineers and operators can simulate consequences before acting.</w:t>
            </w:r>
          </w:p>
        </w:tc>
      </w:tr>
      <w:tr>
        <w:trPr>
          <w:cantSplit/>
        </w:trPr>
        <w:tc>
          <w:tcPr>
            <w:tcW w:type="dxa" w:w="1700"/>
            <w:tcMar>
              <w:top w:w="70" w:type="dxa"/>
              <w:start w:w="90" w:type="dxa"/>
              <w:bottom w:w="70" w:type="dxa"/>
              <w:end w:w="90" w:type="dxa"/>
            </w:tcMar>
            <w:shd w:fill="F1EFE5"/>
            <w:vAlign w:val="center"/>
          </w:tcPr>
          <w:p>
            <w:pPr>
              <w:spacing w:after="0"/>
            </w:pPr>
            <w:r>
              <w:rPr>
                <w:rFonts w:ascii="Arial" w:hAnsi="Arial"/>
                <w:b/>
                <w:color w:val="0E2530"/>
                <w:sz w:val="15"/>
              </w:rPr>
              <w:t>5. Decision Twin™</w:t>
            </w:r>
          </w:p>
        </w:tc>
        <w:tc>
          <w:tcPr>
            <w:tcW w:type="dxa" w:w="4200"/>
            <w:tcMar>
              <w:top w:w="70" w:type="dxa"/>
              <w:start w:w="90" w:type="dxa"/>
              <w:bottom w:w="70" w:type="dxa"/>
              <w:end w:w="90" w:type="dxa"/>
            </w:tcMar>
            <w:shd w:fill="F1EFE5"/>
            <w:vAlign w:val="center"/>
          </w:tcPr>
          <w:p>
            <w:pPr>
              <w:spacing w:after="0"/>
            </w:pPr>
            <w:r>
              <w:rPr>
                <w:rFonts w:ascii="Arial" w:hAnsi="Arial"/>
                <w:color w:val="1B1B1C"/>
                <w:sz w:val="15"/>
              </w:rPr>
              <w:t>The twin connects the model to rules, evidence, accountable authority, alternatives, action and outcome learning.</w:t>
            </w:r>
          </w:p>
        </w:tc>
        <w:tc>
          <w:tcPr>
            <w:tcW w:type="dxa" w:w="3400"/>
            <w:tcMar>
              <w:top w:w="70" w:type="dxa"/>
              <w:start w:w="90" w:type="dxa"/>
              <w:bottom w:w="70" w:type="dxa"/>
              <w:end w:w="90" w:type="dxa"/>
            </w:tcMar>
            <w:shd w:fill="F1EFE5"/>
            <w:vAlign w:val="center"/>
          </w:tcPr>
          <w:p>
            <w:pPr>
              <w:spacing w:after="0"/>
            </w:pPr>
            <w:r>
              <w:rPr>
                <w:rFonts w:ascii="Arial" w:hAnsi="Arial"/>
                <w:color w:val="1B1B1C"/>
                <w:sz w:val="15"/>
              </w:rPr>
              <w:t>The utility can explain not only what may happen, but why a decision is permitted, supported and improvable.</w:t>
            </w:r>
          </w:p>
        </w:tc>
      </w:tr>
    </w:tbl>
    <w:p>
      <w:pPr>
        <w:spacing w:after="0"/>
      </w:pPr>
    </w:p>
    <w:tbl>
      <w:tblPr>
        <w:tblW w:type="auto" w:w="0"/>
        <w:jc w:val="center"/>
        <w:tblLayout w:type="fixed"/>
        <w:tblLook w:firstColumn="1" w:firstRow="1" w:lastColumn="0" w:lastRow="0" w:noHBand="0" w:noVBand="1" w:val="04A0"/>
        <w:tblBorders>
          <w:top w:val="single" w:sz="10" w:space="0" w:color="E0A64A"/>
          <w:left w:val="single" w:sz="10" w:space="0" w:color="E0A64A"/>
          <w:bottom w:val="single" w:sz="10" w:space="0" w:color="E0A64A"/>
          <w:right w:val="single" w:sz="10" w:space="0" w:color="E0A64A"/>
          <w:insideH w:val="single" w:sz="10" w:space="0" w:color="E0A64A"/>
          <w:insideV w:val="single" w:sz="10" w:space="0" w:color="E0A64A"/>
        </w:tblBorders>
      </w:tblPr>
      <w:tblGrid>
        <w:gridCol w:w="9820"/>
      </w:tblGrid>
      <w:tr>
        <w:trPr>
          <w:cantSplit/>
        </w:trPr>
        <w:tc>
          <w:tcPr>
            <w:tcW w:type="dxa" w:w="9820"/>
            <w:shd w:fill="1B1B1C"/>
            <w:tcMar>
              <w:top w:w="140" w:type="dxa"/>
              <w:start w:w="170" w:type="dxa"/>
              <w:bottom w:w="140" w:type="dxa"/>
              <w:end w:w="170" w:type="dxa"/>
            </w:tcMar>
          </w:tcPr>
          <w:p>
            <w:pPr>
              <w:spacing w:after="80"/>
            </w:pPr>
            <w:r>
              <w:rPr>
                <w:rFonts w:ascii="Arial" w:hAnsi="Arial"/>
                <w:b/>
                <w:color w:val="E0A64A"/>
                <w:sz w:val="20"/>
              </w:rPr>
              <w:t>Trademark note</w:t>
            </w:r>
          </w:p>
          <w:p>
            <w:pPr>
              <w:spacing w:after="0"/>
            </w:pPr>
            <w:r>
              <w:rPr>
                <w:rFonts w:ascii="Arial" w:hAnsi="Arial"/>
                <w:color w:val="FFFFFF"/>
                <w:sz w:val="20"/>
              </w:rPr>
              <w:t>Decision Twin™ is an APAS trademark. The term describes a governed decision model that connects operational state, analytical models, rules, evidence, human authority and outcome learning.</w:t>
            </w:r>
          </w:p>
        </w:tc>
      </w:tr>
    </w:tbl>
    <w:p>
      <w:pPr>
        <w:spacing w:after="0"/>
      </w:pPr>
    </w:p>
    <w:p>
      <w:pPr>
        <w:spacing w:before="120" w:after="0"/>
        <w:jc w:val="center"/>
      </w:pPr>
      <w:r>
        <w:drawing>
          <wp:inline xmlns:a="http://schemas.openxmlformats.org/drawingml/2006/main" xmlns:pic="http://schemas.openxmlformats.org/drawingml/2006/picture">
            <wp:extent cx="6126480" cy="3539744"/>
            <wp:docPr id="17" name="Picture 17" title="Figure 11. The score separates practice from evidence" descr="The method records maturity, confidence in the evidence, consequence and urgency separately. That makes the result useful for management instead of turning it into one unexplained number."/>
            <wp:cNvGraphicFramePr>
              <a:graphicFrameLocks noChangeAspect="1"/>
            </wp:cNvGraphicFramePr>
            <a:graphic>
              <a:graphicData uri="http://schemas.openxmlformats.org/drawingml/2006/picture">
                <pic:pic>
                  <pic:nvPicPr>
                    <pic:cNvPr id="0" name="11_score.png"/>
                    <pic:cNvPicPr/>
                  </pic:nvPicPr>
                  <pic:blipFill>
                    <a:blip r:embed="rId40"/>
                    <a:stretch>
                      <a:fillRect/>
                    </a:stretch>
                  </pic:blipFill>
                  <pic:spPr>
                    <a:xfrm>
                      <a:off x="0" y="0"/>
                      <a:ext cx="6126480" cy="3539744"/>
                    </a:xfrm>
                    <a:prstGeom prst="rect"/>
                  </pic:spPr>
                </pic:pic>
              </a:graphicData>
            </a:graphic>
          </wp:inline>
        </w:drawing>
      </w:r>
    </w:p>
    <w:p>
      <w:pPr>
        <w:pStyle w:val="Caption"/>
        <w:jc w:val="left"/>
      </w:pPr>
      <w:r>
        <w:t>Figure 11. The score separates practice from evidence</w:t>
      </w:r>
    </w:p>
    <w:p>
      <w:pPr>
        <w:spacing w:after="40"/>
      </w:pPr>
      <w:r>
        <w:rPr>
          <w:b/>
          <w:color w:val="2F7F9E"/>
        </w:rPr>
        <w:t xml:space="preserve">What this shows. </w:t>
      </w:r>
      <w:r>
        <w:t>The method records maturity, confidence in the evidence, consequence and urgency separately. That makes the result useful for management instead of turning it into one unexplained number.</w:t>
      </w:r>
    </w:p>
    <w:p>
      <w:pPr>
        <w:spacing w:after="180"/>
      </w:pPr>
      <w:r>
        <w:rPr>
          <w:rFonts w:ascii="Arial" w:hAnsi="Arial"/>
          <w:i/>
          <w:color w:val="7D766A"/>
          <w:sz w:val="15"/>
        </w:rPr>
        <w:t>Source: APAS AI assessment scoring method.</w:t>
      </w:r>
    </w:p>
    <w:p>
      <w:pPr>
        <w:pStyle w:val="Heading2"/>
      </w:pPr>
      <w:r>
        <w:t>The scoring method</w:t>
      </w:r>
    </w:p>
    <w:p>
      <w:r>
        <w:t>A key performance indicator (KPI) shows whether a service, control or product is producing the intended result. The assessment keeps those outcome measures separate from the maturity score so activity is not mistaken for value.</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3273"/>
        <w:gridCol w:w="3273"/>
        <w:gridCol w:w="3273"/>
      </w:tblGrid>
      <w:tr>
        <w:trPr>
          <w:tblHeader w:val="true"/>
          <w:cantSplit/>
        </w:trPr>
        <w:tc>
          <w:tcPr>
            <w:tcW w:type="dxa" w:w="1900"/>
            <w:tcMar>
              <w:top w:w="75" w:type="dxa"/>
              <w:start w:w="90" w:type="dxa"/>
              <w:bottom w:w="75" w:type="dxa"/>
              <w:end w:w="90" w:type="dxa"/>
            </w:tcMar>
            <w:shd w:fill="1B1B1C"/>
          </w:tcPr>
          <w:p>
            <w:pPr>
              <w:spacing w:after="0"/>
            </w:pPr>
            <w:r>
              <w:rPr>
                <w:rFonts w:ascii="Arial" w:hAnsi="Arial"/>
                <w:b/>
                <w:color w:val="FFFFFF"/>
                <w:sz w:val="16"/>
              </w:rPr>
              <w:t>Measure</w:t>
            </w:r>
          </w:p>
        </w:tc>
        <w:tc>
          <w:tcPr>
            <w:tcW w:type="dxa" w:w="1300"/>
            <w:tcMar>
              <w:top w:w="75" w:type="dxa"/>
              <w:start w:w="90" w:type="dxa"/>
              <w:bottom w:w="75" w:type="dxa"/>
              <w:end w:w="90" w:type="dxa"/>
            </w:tcMar>
            <w:shd w:fill="1B1B1C"/>
          </w:tcPr>
          <w:p>
            <w:pPr>
              <w:spacing w:after="0"/>
            </w:pPr>
            <w:r>
              <w:rPr>
                <w:rFonts w:ascii="Arial" w:hAnsi="Arial"/>
                <w:b/>
                <w:color w:val="FFFFFF"/>
                <w:sz w:val="16"/>
              </w:rPr>
              <w:t>Scale</w:t>
            </w:r>
          </w:p>
        </w:tc>
        <w:tc>
          <w:tcPr>
            <w:tcW w:type="dxa" w:w="6100"/>
            <w:tcMar>
              <w:top w:w="75" w:type="dxa"/>
              <w:start w:w="90" w:type="dxa"/>
              <w:bottom w:w="75" w:type="dxa"/>
              <w:end w:w="90" w:type="dxa"/>
            </w:tcMar>
            <w:shd w:fill="1B1B1C"/>
          </w:tcPr>
          <w:p>
            <w:pPr>
              <w:spacing w:after="0"/>
            </w:pPr>
            <w:r>
              <w:rPr>
                <w:rFonts w:ascii="Arial" w:hAnsi="Arial"/>
                <w:b/>
                <w:color w:val="FFFFFF"/>
                <w:sz w:val="16"/>
              </w:rPr>
              <w:t>Rule</w:t>
            </w:r>
          </w:p>
        </w:tc>
      </w:tr>
      <w:tr>
        <w:trPr>
          <w:cantSplit/>
        </w:trPr>
        <w:tc>
          <w:tcPr>
            <w:tcW w:type="dxa" w:w="1900"/>
            <w:tcMar>
              <w:top w:w="70" w:type="dxa"/>
              <w:start w:w="90" w:type="dxa"/>
              <w:bottom w:w="70" w:type="dxa"/>
              <w:end w:w="90" w:type="dxa"/>
            </w:tcMar>
            <w:vAlign w:val="center"/>
          </w:tcPr>
          <w:p>
            <w:pPr>
              <w:spacing w:after="0"/>
            </w:pPr>
            <w:r>
              <w:rPr>
                <w:rFonts w:ascii="Arial" w:hAnsi="Arial"/>
                <w:b/>
                <w:color w:val="0E2530"/>
                <w:sz w:val="16"/>
              </w:rPr>
              <w:t>Maturity</w:t>
            </w:r>
          </w:p>
        </w:tc>
        <w:tc>
          <w:tcPr>
            <w:tcW w:type="dxa" w:w="1300"/>
            <w:tcMar>
              <w:top w:w="70" w:type="dxa"/>
              <w:start w:w="90" w:type="dxa"/>
              <w:bottom w:w="70" w:type="dxa"/>
              <w:end w:w="90" w:type="dxa"/>
            </w:tcMar>
            <w:vAlign w:val="center"/>
          </w:tcPr>
          <w:p>
            <w:pPr>
              <w:spacing w:after="0"/>
            </w:pPr>
            <w:r>
              <w:rPr>
                <w:rFonts w:ascii="Arial" w:hAnsi="Arial"/>
                <w:color w:val="1B1B1C"/>
                <w:sz w:val="16"/>
              </w:rPr>
              <w:t>0 to 5</w:t>
            </w:r>
          </w:p>
        </w:tc>
        <w:tc>
          <w:tcPr>
            <w:tcW w:type="dxa" w:w="6100"/>
            <w:tcMar>
              <w:top w:w="70" w:type="dxa"/>
              <w:start w:w="90" w:type="dxa"/>
              <w:bottom w:w="70" w:type="dxa"/>
              <w:end w:w="90" w:type="dxa"/>
            </w:tcMar>
            <w:vAlign w:val="center"/>
          </w:tcPr>
          <w:p>
            <w:pPr>
              <w:spacing w:after="0"/>
            </w:pPr>
            <w:r>
              <w:rPr>
                <w:rFonts w:ascii="Arial" w:hAnsi="Arial"/>
                <w:color w:val="1B1B1C"/>
                <w:sz w:val="16"/>
              </w:rPr>
              <w:t>Record the level of repeatable operating practice.</w:t>
            </w:r>
          </w:p>
        </w:tc>
      </w:tr>
      <w:tr>
        <w:trPr>
          <w:cantSplit/>
        </w:trPr>
        <w:tc>
          <w:tcPr>
            <w:tcW w:type="dxa" w:w="1900"/>
            <w:tcMar>
              <w:top w:w="70" w:type="dxa"/>
              <w:start w:w="90" w:type="dxa"/>
              <w:bottom w:w="70" w:type="dxa"/>
              <w:end w:w="90" w:type="dxa"/>
            </w:tcMar>
            <w:shd w:fill="F1EFE5"/>
            <w:vAlign w:val="center"/>
          </w:tcPr>
          <w:p>
            <w:pPr>
              <w:spacing w:after="0"/>
            </w:pPr>
            <w:r>
              <w:rPr>
                <w:rFonts w:ascii="Arial" w:hAnsi="Arial"/>
                <w:b/>
                <w:color w:val="0E2530"/>
                <w:sz w:val="16"/>
              </w:rPr>
              <w:t>Evidence confidence</w:t>
            </w:r>
          </w:p>
        </w:tc>
        <w:tc>
          <w:tcPr>
            <w:tcW w:type="dxa" w:w="1300"/>
            <w:tcMar>
              <w:top w:w="70" w:type="dxa"/>
              <w:start w:w="90" w:type="dxa"/>
              <w:bottom w:w="70" w:type="dxa"/>
              <w:end w:w="90" w:type="dxa"/>
            </w:tcMar>
            <w:shd w:fill="F1EFE5"/>
            <w:vAlign w:val="center"/>
          </w:tcPr>
          <w:p>
            <w:pPr>
              <w:spacing w:after="0"/>
            </w:pPr>
            <w:r>
              <w:rPr>
                <w:rFonts w:ascii="Arial" w:hAnsi="Arial"/>
                <w:color w:val="1B1B1C"/>
                <w:sz w:val="16"/>
              </w:rPr>
              <w:t>0 to 4</w:t>
            </w:r>
          </w:p>
        </w:tc>
        <w:tc>
          <w:tcPr>
            <w:tcW w:type="dxa" w:w="6100"/>
            <w:tcMar>
              <w:top w:w="70" w:type="dxa"/>
              <w:start w:w="90" w:type="dxa"/>
              <w:bottom w:w="70" w:type="dxa"/>
              <w:end w:w="90" w:type="dxa"/>
            </w:tcMar>
            <w:shd w:fill="F1EFE5"/>
            <w:vAlign w:val="center"/>
          </w:tcPr>
          <w:p>
            <w:pPr>
              <w:spacing w:after="0"/>
            </w:pPr>
            <w:r>
              <w:rPr>
                <w:rFonts w:ascii="Arial" w:hAnsi="Arial"/>
                <w:color w:val="1B1B1C"/>
                <w:sz w:val="16"/>
              </w:rPr>
              <w:t>0 absent, 1 asserted, 2 documented, 3 operating sample, 4 independently verified.</w:t>
            </w:r>
          </w:p>
        </w:tc>
      </w:tr>
      <w:tr>
        <w:trPr>
          <w:cantSplit/>
        </w:trPr>
        <w:tc>
          <w:tcPr>
            <w:tcW w:type="dxa" w:w="1900"/>
            <w:tcMar>
              <w:top w:w="70" w:type="dxa"/>
              <w:start w:w="90" w:type="dxa"/>
              <w:bottom w:w="70" w:type="dxa"/>
              <w:end w:w="90" w:type="dxa"/>
            </w:tcMar>
            <w:vAlign w:val="center"/>
          </w:tcPr>
          <w:p>
            <w:pPr>
              <w:spacing w:after="0"/>
            </w:pPr>
            <w:r>
              <w:rPr>
                <w:rFonts w:ascii="Arial" w:hAnsi="Arial"/>
                <w:b/>
                <w:color w:val="0E2530"/>
                <w:sz w:val="16"/>
              </w:rPr>
              <w:t>Adjusted score</w:t>
            </w:r>
          </w:p>
        </w:tc>
        <w:tc>
          <w:tcPr>
            <w:tcW w:type="dxa" w:w="1300"/>
            <w:tcMar>
              <w:top w:w="70" w:type="dxa"/>
              <w:start w:w="90" w:type="dxa"/>
              <w:bottom w:w="70" w:type="dxa"/>
              <w:end w:w="90" w:type="dxa"/>
            </w:tcMar>
            <w:vAlign w:val="center"/>
          </w:tcPr>
          <w:p>
            <w:pPr>
              <w:spacing w:after="0"/>
            </w:pPr>
            <w:r>
              <w:rPr>
                <w:rFonts w:ascii="Arial" w:hAnsi="Arial"/>
                <w:color w:val="1B1B1C"/>
                <w:sz w:val="16"/>
              </w:rPr>
              <w:t>0 to 5</w:t>
            </w:r>
          </w:p>
        </w:tc>
        <w:tc>
          <w:tcPr>
            <w:tcW w:type="dxa" w:w="6100"/>
            <w:tcMar>
              <w:top w:w="70" w:type="dxa"/>
              <w:start w:w="90" w:type="dxa"/>
              <w:bottom w:w="70" w:type="dxa"/>
              <w:end w:w="90" w:type="dxa"/>
            </w:tcMar>
            <w:vAlign w:val="center"/>
          </w:tcPr>
          <w:p>
            <w:pPr>
              <w:spacing w:after="0"/>
            </w:pPr>
            <w:r>
              <w:rPr>
                <w:rFonts w:ascii="Arial" w:hAnsi="Arial"/>
                <w:color w:val="1B1B1C"/>
                <w:sz w:val="16"/>
              </w:rPr>
              <w:t>Maturity multiplied by evidence confidence divided by 4. Exclude not-applicable criteria.</w:t>
            </w:r>
          </w:p>
        </w:tc>
      </w:tr>
      <w:tr>
        <w:trPr>
          <w:cantSplit/>
        </w:trPr>
        <w:tc>
          <w:tcPr>
            <w:tcW w:type="dxa" w:w="1900"/>
            <w:tcMar>
              <w:top w:w="70" w:type="dxa"/>
              <w:start w:w="90" w:type="dxa"/>
              <w:bottom w:w="70" w:type="dxa"/>
              <w:end w:w="90" w:type="dxa"/>
            </w:tcMar>
            <w:shd w:fill="F1EFE5"/>
            <w:vAlign w:val="center"/>
          </w:tcPr>
          <w:p>
            <w:pPr>
              <w:spacing w:after="0"/>
            </w:pPr>
            <w:r>
              <w:rPr>
                <w:rFonts w:ascii="Arial" w:hAnsi="Arial"/>
                <w:b/>
                <w:color w:val="0E2530"/>
                <w:sz w:val="16"/>
              </w:rPr>
              <w:t>Consequence</w:t>
            </w:r>
          </w:p>
        </w:tc>
        <w:tc>
          <w:tcPr>
            <w:tcW w:type="dxa" w:w="1300"/>
            <w:tcMar>
              <w:top w:w="70" w:type="dxa"/>
              <w:start w:w="90" w:type="dxa"/>
              <w:bottom w:w="70" w:type="dxa"/>
              <w:end w:w="90" w:type="dxa"/>
            </w:tcMar>
            <w:shd w:fill="F1EFE5"/>
            <w:vAlign w:val="center"/>
          </w:tcPr>
          <w:p>
            <w:pPr>
              <w:spacing w:after="0"/>
            </w:pPr>
            <w:r>
              <w:rPr>
                <w:rFonts w:ascii="Arial" w:hAnsi="Arial"/>
                <w:color w:val="1B1B1C"/>
                <w:sz w:val="16"/>
              </w:rPr>
              <w:t>1 to 5</w:t>
            </w:r>
          </w:p>
        </w:tc>
        <w:tc>
          <w:tcPr>
            <w:tcW w:type="dxa" w:w="6100"/>
            <w:tcMar>
              <w:top w:w="70" w:type="dxa"/>
              <w:start w:w="90" w:type="dxa"/>
              <w:bottom w:w="70" w:type="dxa"/>
              <w:end w:w="90" w:type="dxa"/>
            </w:tcMar>
            <w:shd w:fill="F1EFE5"/>
            <w:vAlign w:val="center"/>
          </w:tcPr>
          <w:p>
            <w:pPr>
              <w:spacing w:after="0"/>
            </w:pPr>
            <w:r>
              <w:rPr>
                <w:rFonts w:ascii="Arial" w:hAnsi="Arial"/>
                <w:color w:val="1B1B1C"/>
                <w:sz w:val="16"/>
              </w:rPr>
              <w:t>Rate service, safety, customer, regulatory, financial and trust impact.</w:t>
            </w:r>
          </w:p>
        </w:tc>
      </w:tr>
      <w:tr>
        <w:trPr>
          <w:cantSplit/>
        </w:trPr>
        <w:tc>
          <w:tcPr>
            <w:tcW w:type="dxa" w:w="1900"/>
            <w:tcMar>
              <w:top w:w="70" w:type="dxa"/>
              <w:start w:w="90" w:type="dxa"/>
              <w:bottom w:w="70" w:type="dxa"/>
              <w:end w:w="90" w:type="dxa"/>
            </w:tcMar>
            <w:vAlign w:val="center"/>
          </w:tcPr>
          <w:p>
            <w:pPr>
              <w:spacing w:after="0"/>
            </w:pPr>
            <w:r>
              <w:rPr>
                <w:rFonts w:ascii="Arial" w:hAnsi="Arial"/>
                <w:b/>
                <w:color w:val="0E2530"/>
                <w:sz w:val="16"/>
              </w:rPr>
              <w:t>Urgency</w:t>
            </w:r>
          </w:p>
        </w:tc>
        <w:tc>
          <w:tcPr>
            <w:tcW w:type="dxa" w:w="1300"/>
            <w:tcMar>
              <w:top w:w="70" w:type="dxa"/>
              <w:start w:w="90" w:type="dxa"/>
              <w:bottom w:w="70" w:type="dxa"/>
              <w:end w:w="90" w:type="dxa"/>
            </w:tcMar>
            <w:vAlign w:val="center"/>
          </w:tcPr>
          <w:p>
            <w:pPr>
              <w:spacing w:after="0"/>
            </w:pPr>
            <w:r>
              <w:rPr>
                <w:rFonts w:ascii="Arial" w:hAnsi="Arial"/>
                <w:color w:val="1B1B1C"/>
                <w:sz w:val="16"/>
              </w:rPr>
              <w:t>1 to 5</w:t>
            </w:r>
          </w:p>
        </w:tc>
        <w:tc>
          <w:tcPr>
            <w:tcW w:type="dxa" w:w="6100"/>
            <w:tcMar>
              <w:top w:w="70" w:type="dxa"/>
              <w:start w:w="90" w:type="dxa"/>
              <w:bottom w:w="70" w:type="dxa"/>
              <w:end w:w="90" w:type="dxa"/>
            </w:tcMar>
            <w:vAlign w:val="center"/>
          </w:tcPr>
          <w:p>
            <w:pPr>
              <w:spacing w:after="0"/>
            </w:pPr>
            <w:r>
              <w:rPr>
                <w:rFonts w:ascii="Arial" w:hAnsi="Arial"/>
                <w:color w:val="1B1B1C"/>
                <w:sz w:val="16"/>
              </w:rPr>
              <w:t>Rate deadline, incident, audit, project and dependency pressure.</w:t>
            </w:r>
          </w:p>
        </w:tc>
      </w:tr>
      <w:tr>
        <w:trPr>
          <w:cantSplit/>
        </w:trPr>
        <w:tc>
          <w:tcPr>
            <w:tcW w:type="dxa" w:w="1900"/>
            <w:tcMar>
              <w:top w:w="70" w:type="dxa"/>
              <w:start w:w="90" w:type="dxa"/>
              <w:bottom w:w="70" w:type="dxa"/>
              <w:end w:w="90" w:type="dxa"/>
            </w:tcMar>
            <w:shd w:fill="F1EFE5"/>
            <w:vAlign w:val="center"/>
          </w:tcPr>
          <w:p>
            <w:pPr>
              <w:spacing w:after="0"/>
            </w:pPr>
            <w:r>
              <w:rPr>
                <w:rFonts w:ascii="Arial" w:hAnsi="Arial"/>
                <w:b/>
                <w:color w:val="0E2530"/>
                <w:sz w:val="16"/>
              </w:rPr>
              <w:t>Priority</w:t>
            </w:r>
          </w:p>
        </w:tc>
        <w:tc>
          <w:tcPr>
            <w:tcW w:type="dxa" w:w="1300"/>
            <w:tcMar>
              <w:top w:w="70" w:type="dxa"/>
              <w:start w:w="90" w:type="dxa"/>
              <w:bottom w:w="70" w:type="dxa"/>
              <w:end w:w="90" w:type="dxa"/>
            </w:tcMar>
            <w:shd w:fill="F1EFE5"/>
            <w:vAlign w:val="center"/>
          </w:tcPr>
          <w:p>
            <w:pPr>
              <w:spacing w:after="0"/>
            </w:pPr>
            <w:r>
              <w:rPr>
                <w:rFonts w:ascii="Arial" w:hAnsi="Arial"/>
                <w:color w:val="1B1B1C"/>
                <w:sz w:val="16"/>
              </w:rPr>
              <w:t>Relative</w:t>
            </w:r>
          </w:p>
        </w:tc>
        <w:tc>
          <w:tcPr>
            <w:tcW w:type="dxa" w:w="6100"/>
            <w:tcMar>
              <w:top w:w="70" w:type="dxa"/>
              <w:start w:w="90" w:type="dxa"/>
              <w:bottom w:w="70" w:type="dxa"/>
              <w:end w:w="90" w:type="dxa"/>
            </w:tcMar>
            <w:shd w:fill="F1EFE5"/>
            <w:vAlign w:val="center"/>
          </w:tcPr>
          <w:p>
            <w:pPr>
              <w:spacing w:after="0"/>
            </w:pPr>
            <w:r>
              <w:rPr>
                <w:rFonts w:ascii="Arial" w:hAnsi="Arial"/>
                <w:color w:val="1B1B1C"/>
                <w:sz w:val="16"/>
              </w:rPr>
              <w:t>Combine the target gap, consequence, exposure and urgency. Keep the factors visible.</w:t>
            </w:r>
          </w:p>
        </w:tc>
      </w:tr>
    </w:tbl>
    <w:p>
      <w:pPr>
        <w:spacing w:after="0"/>
      </w:pPr>
    </w:p>
    <w:tbl>
      <w:tblPr>
        <w:tblW w:type="auto" w:w="0"/>
        <w:jc w:val="center"/>
        <w:tblLayout w:type="fixed"/>
        <w:tblLook w:firstColumn="1" w:firstRow="1" w:lastColumn="0" w:lastRow="0" w:noHBand="0" w:noVBand="1" w:val="04A0"/>
        <w:tblBorders>
          <w:top w:val="single" w:sz="10" w:space="0" w:color="C75C5C"/>
          <w:left w:val="single" w:sz="10" w:space="0" w:color="C75C5C"/>
          <w:bottom w:val="single" w:sz="10" w:space="0" w:color="C75C5C"/>
          <w:right w:val="single" w:sz="10" w:space="0" w:color="C75C5C"/>
          <w:insideH w:val="single" w:sz="10" w:space="0" w:color="C75C5C"/>
          <w:insideV w:val="single" w:sz="10" w:space="0" w:color="C75C5C"/>
        </w:tblBorders>
      </w:tblPr>
      <w:tblGrid>
        <w:gridCol w:w="9820"/>
      </w:tblGrid>
      <w:tr>
        <w:trPr>
          <w:cantSplit/>
        </w:trPr>
        <w:tc>
          <w:tcPr>
            <w:tcW w:type="dxa" w:w="9820"/>
            <w:shd w:fill="FDEEEE"/>
            <w:tcMar>
              <w:top w:w="140" w:type="dxa"/>
              <w:start w:w="170" w:type="dxa"/>
              <w:bottom w:w="140" w:type="dxa"/>
              <w:end w:w="170" w:type="dxa"/>
            </w:tcMar>
          </w:tcPr>
          <w:p>
            <w:pPr>
              <w:spacing w:after="80"/>
            </w:pPr>
            <w:r>
              <w:rPr>
                <w:rFonts w:ascii="Arial" w:hAnsi="Arial"/>
                <w:b/>
                <w:color w:val="C75C5C"/>
                <w:sz w:val="20"/>
              </w:rPr>
              <w:t>Score protection</w:t>
            </w:r>
          </w:p>
          <w:p>
            <w:pPr>
              <w:spacing w:after="0"/>
            </w:pPr>
            <w:r>
              <w:rPr>
                <w:rFonts w:ascii="Arial" w:hAnsi="Arial"/>
                <w:color w:val="1B1B1C"/>
                <w:sz w:val="20"/>
              </w:rPr>
              <w:t>A criterion cannot score above Level 2 without recurring operating evidence. Independent assurance raises confidence in the proof. It does not raise maturity when the underlying practice is weak.</w:t>
            </w:r>
          </w:p>
        </w:tc>
      </w:tr>
    </w:tbl>
    <w:p>
      <w:pPr>
        <w:spacing w:after="0"/>
      </w:pPr>
    </w:p>
    <w:p>
      <w:pPr>
        <w:pStyle w:val="Heading2"/>
      </w:pPr>
      <w:r>
        <w:t>Assessment evidence starter set</w:t>
      </w:r>
    </w:p>
    <w:p>
      <w:pPr>
        <w:pStyle w:val="ListBullet"/>
      </w:pPr>
      <w:r>
        <w:t>Governance charter, policy hierarchy, delegations and recent decisions.</w:t>
      </w:r>
    </w:p>
    <w:p>
      <w:pPr>
        <w:pStyle w:val="ListBullet"/>
      </w:pPr>
      <w:r>
        <w:t>System, data and interface inventory with ownership, criticality and jurisdiction.</w:t>
      </w:r>
    </w:p>
    <w:p>
      <w:pPr>
        <w:pStyle w:val="ListBullet"/>
      </w:pPr>
      <w:r>
        <w:t>Architecture and flows for SCADA, AMI, GIS, EAM, LIMS, customer, cloud and AI.</w:t>
      </w:r>
    </w:p>
    <w:p>
      <w:pPr>
        <w:pStyle w:val="ListBullet"/>
      </w:pPr>
      <w:r>
        <w:t>Lineage and provenance for sampled reports, decisions, customer outputs and AI use cases.</w:t>
      </w:r>
    </w:p>
    <w:p>
      <w:pPr>
        <w:pStyle w:val="ListBullet"/>
      </w:pPr>
      <w:r>
        <w:t>Quality rules, results, exceptions, reconciliations, issues and root-cause records.</w:t>
      </w:r>
    </w:p>
    <w:p>
      <w:pPr>
        <w:pStyle w:val="ListBullet"/>
      </w:pPr>
      <w:r>
        <w:t>Access, change and audit logs, recovery tests, incidents and supplier assurance.</w:t>
      </w:r>
    </w:p>
    <w:p>
      <w:pPr>
        <w:pStyle w:val="ListBullet"/>
      </w:pPr>
      <w:r>
        <w:t>Privacy, AI and transfer assessments, use-case inventories, retention and sharing agreements.</w:t>
      </w:r>
    </w:p>
    <w:p>
      <w:pPr>
        <w:pStyle w:val="ListBullet"/>
      </w:pPr>
      <w:r>
        <w:t>Performance reports, internal audit, certification scope, regulatory findings and closure evidence.</w:t>
      </w:r>
    </w:p>
    <w:p>
      <w:pPr>
        <w:pStyle w:val="Heading2"/>
      </w:pPr>
      <w:r>
        <w:t>Minimum decision samples</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4910"/>
        <w:gridCol w:w="4910"/>
      </w:tblGrid>
      <w:tr>
        <w:trPr>
          <w:tblHeader w:val="true"/>
          <w:cantSplit/>
        </w:trPr>
        <w:tc>
          <w:tcPr>
            <w:tcW w:type="dxa" w:w="3000"/>
            <w:tcMar>
              <w:top w:w="75" w:type="dxa"/>
              <w:start w:w="90" w:type="dxa"/>
              <w:bottom w:w="75" w:type="dxa"/>
              <w:end w:w="90" w:type="dxa"/>
            </w:tcMar>
            <w:shd w:fill="1B1B1C"/>
          </w:tcPr>
          <w:p>
            <w:pPr>
              <w:spacing w:after="0"/>
            </w:pPr>
            <w:r>
              <w:rPr>
                <w:rFonts w:ascii="Arial" w:hAnsi="Arial"/>
                <w:b/>
                <w:color w:val="FFFFFF"/>
                <w:sz w:val="16"/>
              </w:rPr>
              <w:t>Sample</w:t>
            </w:r>
          </w:p>
        </w:tc>
        <w:tc>
          <w:tcPr>
            <w:tcW w:type="dxa" w:w="6300"/>
            <w:tcMar>
              <w:top w:w="75" w:type="dxa"/>
              <w:start w:w="90" w:type="dxa"/>
              <w:bottom w:w="75" w:type="dxa"/>
              <w:end w:w="90" w:type="dxa"/>
            </w:tcMar>
            <w:shd w:fill="1B1B1C"/>
          </w:tcPr>
          <w:p>
            <w:pPr>
              <w:spacing w:after="0"/>
            </w:pPr>
            <w:r>
              <w:rPr>
                <w:rFonts w:ascii="Arial" w:hAnsi="Arial"/>
                <w:b/>
                <w:color w:val="FFFFFF"/>
                <w:sz w:val="16"/>
              </w:rPr>
              <w:t>Why it matters</w:t>
            </w:r>
          </w:p>
        </w:tc>
      </w:tr>
      <w:tr>
        <w:trPr>
          <w:cantSplit/>
        </w:trPr>
        <w:tc>
          <w:tcPr>
            <w:tcW w:type="dxa" w:w="3000"/>
            <w:tcMar>
              <w:top w:w="70" w:type="dxa"/>
              <w:start w:w="90" w:type="dxa"/>
              <w:bottom w:w="70" w:type="dxa"/>
              <w:end w:w="90" w:type="dxa"/>
            </w:tcMar>
            <w:vAlign w:val="center"/>
          </w:tcPr>
          <w:p>
            <w:pPr>
              <w:spacing w:after="0"/>
            </w:pPr>
            <w:r>
              <w:rPr>
                <w:rFonts w:ascii="Arial" w:hAnsi="Arial"/>
                <w:b/>
                <w:color w:val="0E2530"/>
                <w:sz w:val="16"/>
              </w:rPr>
              <w:t>Operational safety or reliability decision</w:t>
            </w:r>
          </w:p>
        </w:tc>
        <w:tc>
          <w:tcPr>
            <w:tcW w:type="dxa" w:w="6300"/>
            <w:tcMar>
              <w:top w:w="70" w:type="dxa"/>
              <w:start w:w="90" w:type="dxa"/>
              <w:bottom w:w="70" w:type="dxa"/>
              <w:end w:w="90" w:type="dxa"/>
            </w:tcMar>
            <w:vAlign w:val="center"/>
          </w:tcPr>
          <w:p>
            <w:pPr>
              <w:spacing w:after="0"/>
            </w:pPr>
            <w:r>
              <w:rPr>
                <w:rFonts w:ascii="Arial" w:hAnsi="Arial"/>
                <w:color w:val="1B1B1C"/>
                <w:sz w:val="16"/>
              </w:rPr>
              <w:t>Tests OT identity, time, quality, configuration and operator context.</w:t>
            </w:r>
          </w:p>
        </w:tc>
      </w:tr>
      <w:tr>
        <w:trPr>
          <w:cantSplit/>
        </w:trPr>
        <w:tc>
          <w:tcPr>
            <w:tcW w:type="dxa" w:w="3000"/>
            <w:tcMar>
              <w:top w:w="70" w:type="dxa"/>
              <w:start w:w="90" w:type="dxa"/>
              <w:bottom w:w="70" w:type="dxa"/>
              <w:end w:w="90" w:type="dxa"/>
            </w:tcMar>
            <w:shd w:fill="F1EFE5"/>
            <w:vAlign w:val="center"/>
          </w:tcPr>
          <w:p>
            <w:pPr>
              <w:spacing w:after="0"/>
            </w:pPr>
            <w:r>
              <w:rPr>
                <w:rFonts w:ascii="Arial" w:hAnsi="Arial"/>
                <w:b/>
                <w:color w:val="0E2530"/>
                <w:sz w:val="16"/>
              </w:rPr>
              <w:t>Regulatory or board report</w:t>
            </w:r>
          </w:p>
        </w:tc>
        <w:tc>
          <w:tcPr>
            <w:tcW w:type="dxa" w:w="6300"/>
            <w:tcMar>
              <w:top w:w="70" w:type="dxa"/>
              <w:start w:w="90" w:type="dxa"/>
              <w:bottom w:w="70" w:type="dxa"/>
              <w:end w:w="90" w:type="dxa"/>
            </w:tcMar>
            <w:shd w:fill="F1EFE5"/>
            <w:vAlign w:val="center"/>
          </w:tcPr>
          <w:p>
            <w:pPr>
              <w:spacing w:after="0"/>
            </w:pPr>
            <w:r>
              <w:rPr>
                <w:rFonts w:ascii="Arial" w:hAnsi="Arial"/>
                <w:color w:val="1B1B1C"/>
                <w:sz w:val="16"/>
              </w:rPr>
              <w:t>Tests authoritative source, transformation, reconciliation and sign-off.</w:t>
            </w:r>
          </w:p>
        </w:tc>
      </w:tr>
      <w:tr>
        <w:trPr>
          <w:cantSplit/>
        </w:trPr>
        <w:tc>
          <w:tcPr>
            <w:tcW w:type="dxa" w:w="3000"/>
            <w:tcMar>
              <w:top w:w="70" w:type="dxa"/>
              <w:start w:w="90" w:type="dxa"/>
              <w:bottom w:w="70" w:type="dxa"/>
              <w:end w:w="90" w:type="dxa"/>
            </w:tcMar>
            <w:vAlign w:val="center"/>
          </w:tcPr>
          <w:p>
            <w:pPr>
              <w:spacing w:after="0"/>
            </w:pPr>
            <w:r>
              <w:rPr>
                <w:rFonts w:ascii="Arial" w:hAnsi="Arial"/>
                <w:b/>
                <w:color w:val="0E2530"/>
                <w:sz w:val="16"/>
              </w:rPr>
              <w:t>Customer bill, alert or eligibility output</w:t>
            </w:r>
          </w:p>
        </w:tc>
        <w:tc>
          <w:tcPr>
            <w:tcW w:type="dxa" w:w="6300"/>
            <w:tcMar>
              <w:top w:w="70" w:type="dxa"/>
              <w:start w:w="90" w:type="dxa"/>
              <w:bottom w:w="70" w:type="dxa"/>
              <w:end w:w="90" w:type="dxa"/>
            </w:tcMar>
            <w:vAlign w:val="center"/>
          </w:tcPr>
          <w:p>
            <w:pPr>
              <w:spacing w:after="0"/>
            </w:pPr>
            <w:r>
              <w:rPr>
                <w:rFonts w:ascii="Arial" w:hAnsi="Arial"/>
                <w:color w:val="1B1B1C"/>
                <w:sz w:val="16"/>
              </w:rPr>
              <w:t>Tests personal data, estimates, correction, notice and redress.</w:t>
            </w:r>
          </w:p>
        </w:tc>
      </w:tr>
      <w:tr>
        <w:trPr>
          <w:cantSplit/>
        </w:trPr>
        <w:tc>
          <w:tcPr>
            <w:tcW w:type="dxa" w:w="3000"/>
            <w:tcMar>
              <w:top w:w="70" w:type="dxa"/>
              <w:start w:w="90" w:type="dxa"/>
              <w:bottom w:w="70" w:type="dxa"/>
              <w:end w:w="90" w:type="dxa"/>
            </w:tcMar>
            <w:shd w:fill="F1EFE5"/>
            <w:vAlign w:val="center"/>
          </w:tcPr>
          <w:p>
            <w:pPr>
              <w:spacing w:after="0"/>
            </w:pPr>
            <w:r>
              <w:rPr>
                <w:rFonts w:ascii="Arial" w:hAnsi="Arial"/>
                <w:b/>
                <w:color w:val="0E2530"/>
                <w:sz w:val="16"/>
              </w:rPr>
              <w:t>Open or shared data product</w:t>
            </w:r>
          </w:p>
        </w:tc>
        <w:tc>
          <w:tcPr>
            <w:tcW w:type="dxa" w:w="6300"/>
            <w:tcMar>
              <w:top w:w="70" w:type="dxa"/>
              <w:start w:w="90" w:type="dxa"/>
              <w:bottom w:w="70" w:type="dxa"/>
              <w:end w:w="90" w:type="dxa"/>
            </w:tcMar>
            <w:shd w:fill="F1EFE5"/>
            <w:vAlign w:val="center"/>
          </w:tcPr>
          <w:p>
            <w:pPr>
              <w:spacing w:after="0"/>
            </w:pPr>
            <w:r>
              <w:rPr>
                <w:rFonts w:ascii="Arial" w:hAnsi="Arial"/>
                <w:color w:val="1B1B1C"/>
                <w:sz w:val="16"/>
              </w:rPr>
              <w:t>Tests benefit-risk classification, rights, quality statement and consumer terms.</w:t>
            </w:r>
          </w:p>
        </w:tc>
      </w:tr>
      <w:tr>
        <w:trPr>
          <w:cantSplit/>
        </w:trPr>
        <w:tc>
          <w:tcPr>
            <w:tcW w:type="dxa" w:w="3000"/>
            <w:tcMar>
              <w:top w:w="70" w:type="dxa"/>
              <w:start w:w="90" w:type="dxa"/>
              <w:bottom w:w="70" w:type="dxa"/>
              <w:end w:w="90" w:type="dxa"/>
            </w:tcMar>
            <w:vAlign w:val="center"/>
          </w:tcPr>
          <w:p>
            <w:pPr>
              <w:spacing w:after="0"/>
            </w:pPr>
            <w:r>
              <w:rPr>
                <w:rFonts w:ascii="Arial" w:hAnsi="Arial"/>
                <w:b/>
                <w:color w:val="0E2530"/>
                <w:sz w:val="16"/>
              </w:rPr>
              <w:t>AI or analytics use case</w:t>
            </w:r>
          </w:p>
        </w:tc>
        <w:tc>
          <w:tcPr>
            <w:tcW w:type="dxa" w:w="6300"/>
            <w:tcMar>
              <w:top w:w="70" w:type="dxa"/>
              <w:start w:w="90" w:type="dxa"/>
              <w:bottom w:w="70" w:type="dxa"/>
              <w:end w:w="90" w:type="dxa"/>
            </w:tcMar>
            <w:vAlign w:val="center"/>
          </w:tcPr>
          <w:p>
            <w:pPr>
              <w:spacing w:after="0"/>
            </w:pPr>
            <w:r>
              <w:rPr>
                <w:rFonts w:ascii="Arial" w:hAnsi="Arial"/>
                <w:color w:val="1B1B1C"/>
                <w:sz w:val="16"/>
              </w:rPr>
              <w:t>Tests source rights, suitability, representativeness, evaluation, limits and monitoring.</w:t>
            </w:r>
          </w:p>
        </w:tc>
      </w:tr>
      <w:tr>
        <w:trPr>
          <w:cantSplit/>
        </w:trPr>
        <w:tc>
          <w:tcPr>
            <w:tcW w:type="dxa" w:w="3000"/>
            <w:tcMar>
              <w:top w:w="70" w:type="dxa"/>
              <w:start w:w="90" w:type="dxa"/>
              <w:bottom w:w="70" w:type="dxa"/>
              <w:end w:w="90" w:type="dxa"/>
            </w:tcMar>
            <w:shd w:fill="F1EFE5"/>
            <w:vAlign w:val="center"/>
          </w:tcPr>
          <w:p>
            <w:pPr>
              <w:spacing w:after="0"/>
            </w:pPr>
            <w:r>
              <w:rPr>
                <w:rFonts w:ascii="Arial" w:hAnsi="Arial"/>
                <w:b/>
                <w:color w:val="0E2530"/>
                <w:sz w:val="16"/>
              </w:rPr>
              <w:t>Supplier or cloud data flow</w:t>
            </w:r>
          </w:p>
        </w:tc>
        <w:tc>
          <w:tcPr>
            <w:tcW w:type="dxa" w:w="6300"/>
            <w:tcMar>
              <w:top w:w="70" w:type="dxa"/>
              <w:start w:w="90" w:type="dxa"/>
              <w:bottom w:w="70" w:type="dxa"/>
              <w:end w:w="90" w:type="dxa"/>
            </w:tcMar>
            <w:shd w:fill="F1EFE5"/>
            <w:vAlign w:val="center"/>
          </w:tcPr>
          <w:p>
            <w:pPr>
              <w:spacing w:after="0"/>
            </w:pPr>
            <w:r>
              <w:rPr>
                <w:rFonts w:ascii="Arial" w:hAnsi="Arial"/>
                <w:color w:val="1B1B1C"/>
                <w:sz w:val="16"/>
              </w:rPr>
              <w:t>Tests contract, location, access, assurance, lineage and exit.</w:t>
            </w:r>
          </w:p>
        </w:tc>
      </w:tr>
    </w:tbl>
    <w:p>
      <w:pPr>
        <w:pageBreakBefore/>
        <w:spacing w:after="100"/>
      </w:pPr>
      <w:r>
        <w:rPr>
          <w:rFonts w:ascii="Arial" w:hAnsi="Arial"/>
          <w:b/>
          <w:color w:val="2F7F9E"/>
          <w:sz w:val="17"/>
        </w:rPr>
        <w:t>APPLICATION PAPER</w:t>
      </w:r>
    </w:p>
    <w:p>
      <w:pPr>
        <w:pStyle w:val="Heading1"/>
      </w:pPr>
      <w:r>
        <w:t>6. From finding to funded roadmap</w:t>
      </w:r>
    </w:p>
    <w:p>
      <w:pPr>
        <w:pStyle w:val="Subtitle"/>
        <w:spacing w:after="280"/>
      </w:pPr>
      <w:r>
        <w:rPr>
          <w:color w:val="3C3B36"/>
          <w:sz w:val="25"/>
        </w:rPr>
        <w:t>An assessment is useful only when it changes ownership, sequence and delivery.</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820"/>
      </w:tblGrid>
      <w:tr>
        <w:tc>
          <w:tcPr>
            <w:tcW w:type="dxa" w:w="1500"/>
            <w:shd w:fill="E0A64A"/>
            <w:tcMar>
              <w:top w:w="0" w:type="dxa"/>
              <w:start w:w="0" w:type="dxa"/>
              <w:bottom w:w="0" w:type="dxa"/>
              <w:end w:w="0" w:type="dxa"/>
            </w:tcMar>
          </w:tcPr>
          <w:p>
            <w:pPr>
              <w:spacing w:after="0"/>
            </w:pPr>
            <w:r>
              <w:rPr>
                <w:sz w:val="4"/>
              </w:rPr>
              <w:t xml:space="preserve"> </w:t>
            </w:r>
          </w:p>
        </w:tc>
      </w:tr>
    </w:tbl>
    <w:p>
      <w:pPr>
        <w:pStyle w:val="Heading2"/>
      </w:pPr>
      <w:r>
        <w:t>The consulting method</w:t>
      </w:r>
    </w:p>
    <w:p>
      <w:pPr>
        <w:pStyle w:val="ListNumber"/>
        <w:numPr>
          <w:ilvl w:val="0"/>
          <w:numId w:val="11"/>
        </w:numPr>
      </w:pPr>
      <w:r>
        <w:t>Frame the decisions. Confirm service outcomes, material risks, regulatory commitments, projects and AI use cases that make the work necessary.</w:t>
      </w:r>
    </w:p>
    <w:p>
      <w:pPr>
        <w:pStyle w:val="ListNumber"/>
        <w:numPr>
          <w:ilvl w:val="0"/>
          <w:numId w:val="11"/>
        </w:numPr>
      </w:pPr>
      <w:r>
        <w:t>Map the estate. Identify systems, interfaces, physical assets, critical data, owners, suppliers, jurisdictions and current programs.</w:t>
      </w:r>
    </w:p>
    <w:p>
      <w:pPr>
        <w:pStyle w:val="ListNumber"/>
        <w:numPr>
          <w:ilvl w:val="0"/>
          <w:numId w:val="11"/>
        </w:numPr>
      </w:pPr>
      <w:r>
        <w:t>Test the evidence. Review documents, interview by seat and trace selected decisions from source to outcome.</w:t>
      </w:r>
    </w:p>
    <w:p>
      <w:pPr>
        <w:pStyle w:val="ListNumber"/>
        <w:numPr>
          <w:ilvl w:val="0"/>
          <w:numId w:val="11"/>
        </w:numPr>
      </w:pPr>
      <w:r>
        <w:t>Score and challenge. Record maturity, evidence confidence, consequence, urgency, legal applicability and competing views.</w:t>
      </w:r>
    </w:p>
    <w:p>
      <w:pPr>
        <w:pStyle w:val="ListNumber"/>
        <w:numPr>
          <w:ilvl w:val="0"/>
          <w:numId w:val="11"/>
        </w:numPr>
      </w:pPr>
      <w:r>
        <w:t>Design the target. Set decision rights, standards, products, controls, platforms, roles, metrics and assurance.</w:t>
      </w:r>
    </w:p>
    <w:p>
      <w:pPr>
        <w:pStyle w:val="ListNumber"/>
        <w:numPr>
          <w:ilvl w:val="0"/>
          <w:numId w:val="11"/>
        </w:numPr>
      </w:pPr>
      <w:r>
        <w:t>Build the roadmap. Name an owner, action, dependency, cost range, decision date and closure evidence for every material gap.</w:t>
      </w:r>
    </w:p>
    <w:p>
      <w:pPr>
        <w:pStyle w:val="ListNumber"/>
        <w:numPr>
          <w:ilvl w:val="0"/>
          <w:numId w:val="11"/>
        </w:numPr>
      </w:pPr>
      <w:r>
        <w:t>Implement and verify. Put controls into the work, measure adoption, retest failures and report residual risk.</w:t>
      </w:r>
    </w:p>
    <w:p>
      <w:pPr>
        <w:pStyle w:val="Heading2"/>
      </w:pPr>
      <w:r>
        <w:t>The roadmap must distinguish transaction from transformation</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4910"/>
        <w:gridCol w:w="4910"/>
      </w:tblGrid>
      <w:tr>
        <w:trPr>
          <w:tblHeader w:val="true"/>
          <w:cantSplit/>
        </w:trPr>
        <w:tc>
          <w:tcPr>
            <w:tcW w:type="dxa" w:w="4500"/>
            <w:tcMar>
              <w:top w:w="75" w:type="dxa"/>
              <w:start w:w="90" w:type="dxa"/>
              <w:bottom w:w="75" w:type="dxa"/>
              <w:end w:w="90" w:type="dxa"/>
            </w:tcMar>
            <w:shd w:fill="1B1B1C"/>
          </w:tcPr>
          <w:p>
            <w:pPr>
              <w:spacing w:after="0"/>
            </w:pPr>
            <w:r>
              <w:rPr>
                <w:rFonts w:ascii="Arial" w:hAnsi="Arial"/>
                <w:b/>
                <w:color w:val="FFFFFF"/>
                <w:sz w:val="16"/>
              </w:rPr>
              <w:t>Transactional output</w:t>
            </w:r>
          </w:p>
        </w:tc>
        <w:tc>
          <w:tcPr>
            <w:tcW w:type="dxa" w:w="4800"/>
            <w:tcMar>
              <w:top w:w="75" w:type="dxa"/>
              <w:start w:w="90" w:type="dxa"/>
              <w:bottom w:w="75" w:type="dxa"/>
              <w:end w:w="90" w:type="dxa"/>
            </w:tcMar>
            <w:shd w:fill="1B1B1C"/>
          </w:tcPr>
          <w:p>
            <w:pPr>
              <w:spacing w:after="0"/>
            </w:pPr>
            <w:r>
              <w:rPr>
                <w:rFonts w:ascii="Arial" w:hAnsi="Arial"/>
                <w:b/>
                <w:color w:val="FFFFFF"/>
                <w:sz w:val="16"/>
              </w:rPr>
              <w:t>Transformational outcome</w:t>
            </w:r>
          </w:p>
        </w:tc>
      </w:tr>
      <w:tr>
        <w:trPr>
          <w:cantSplit/>
        </w:trPr>
        <w:tc>
          <w:tcPr>
            <w:tcW w:type="dxa" w:w="4500"/>
            <w:tcMar>
              <w:top w:w="70" w:type="dxa"/>
              <w:start w:w="90" w:type="dxa"/>
              <w:bottom w:w="70" w:type="dxa"/>
              <w:end w:w="90" w:type="dxa"/>
            </w:tcMar>
            <w:vAlign w:val="center"/>
          </w:tcPr>
          <w:p>
            <w:pPr>
              <w:spacing w:after="0"/>
            </w:pPr>
            <w:r>
              <w:rPr>
                <w:rFonts w:ascii="Arial" w:hAnsi="Arial"/>
                <w:b/>
                <w:color w:val="0E2530"/>
                <w:sz w:val="16"/>
              </w:rPr>
              <w:t>A catalog tool is purchased.</w:t>
            </w:r>
          </w:p>
        </w:tc>
        <w:tc>
          <w:tcPr>
            <w:tcW w:type="dxa" w:w="4800"/>
            <w:tcMar>
              <w:top w:w="70" w:type="dxa"/>
              <w:start w:w="90" w:type="dxa"/>
              <w:bottom w:w="70" w:type="dxa"/>
              <w:end w:w="90" w:type="dxa"/>
            </w:tcMar>
            <w:vAlign w:val="center"/>
          </w:tcPr>
          <w:p>
            <w:pPr>
              <w:spacing w:after="0"/>
            </w:pPr>
            <w:r>
              <w:rPr>
                <w:rFonts w:ascii="Arial" w:hAnsi="Arial"/>
                <w:color w:val="1B1B1C"/>
                <w:sz w:val="16"/>
              </w:rPr>
              <w:t>Critical data is owned, described, connected to decisions and kept current.</w:t>
            </w:r>
          </w:p>
        </w:tc>
      </w:tr>
      <w:tr>
        <w:trPr>
          <w:cantSplit/>
        </w:trPr>
        <w:tc>
          <w:tcPr>
            <w:tcW w:type="dxa" w:w="4500"/>
            <w:tcMar>
              <w:top w:w="70" w:type="dxa"/>
              <w:start w:w="90" w:type="dxa"/>
              <w:bottom w:w="70" w:type="dxa"/>
              <w:end w:w="90" w:type="dxa"/>
            </w:tcMar>
            <w:shd w:fill="F1EFE5"/>
            <w:vAlign w:val="center"/>
          </w:tcPr>
          <w:p>
            <w:pPr>
              <w:spacing w:after="0"/>
            </w:pPr>
            <w:r>
              <w:rPr>
                <w:rFonts w:ascii="Arial" w:hAnsi="Arial"/>
                <w:b/>
                <w:color w:val="0E2530"/>
                <w:sz w:val="16"/>
              </w:rPr>
              <w:t>A governance policy is approved.</w:t>
            </w:r>
          </w:p>
        </w:tc>
        <w:tc>
          <w:tcPr>
            <w:tcW w:type="dxa" w:w="4800"/>
            <w:tcMar>
              <w:top w:w="70" w:type="dxa"/>
              <w:start w:w="90" w:type="dxa"/>
              <w:bottom w:w="70" w:type="dxa"/>
              <w:end w:w="90" w:type="dxa"/>
            </w:tcMar>
            <w:shd w:fill="F1EFE5"/>
            <w:vAlign w:val="center"/>
          </w:tcPr>
          <w:p>
            <w:pPr>
              <w:spacing w:after="0"/>
            </w:pPr>
            <w:r>
              <w:rPr>
                <w:rFonts w:ascii="Arial" w:hAnsi="Arial"/>
                <w:color w:val="1B1B1C"/>
                <w:sz w:val="16"/>
              </w:rPr>
              <w:t>People know their decision rights and use them at real handoffs.</w:t>
            </w:r>
          </w:p>
        </w:tc>
      </w:tr>
      <w:tr>
        <w:trPr>
          <w:cantSplit/>
        </w:trPr>
        <w:tc>
          <w:tcPr>
            <w:tcW w:type="dxa" w:w="4500"/>
            <w:tcMar>
              <w:top w:w="70" w:type="dxa"/>
              <w:start w:w="90" w:type="dxa"/>
              <w:bottom w:w="70" w:type="dxa"/>
              <w:end w:w="90" w:type="dxa"/>
            </w:tcMar>
            <w:vAlign w:val="center"/>
          </w:tcPr>
          <w:p>
            <w:pPr>
              <w:spacing w:after="0"/>
            </w:pPr>
            <w:r>
              <w:rPr>
                <w:rFonts w:ascii="Arial" w:hAnsi="Arial"/>
                <w:b/>
                <w:color w:val="0E2530"/>
                <w:sz w:val="16"/>
              </w:rPr>
              <w:t>A lineage diagram is produced.</w:t>
            </w:r>
          </w:p>
        </w:tc>
        <w:tc>
          <w:tcPr>
            <w:tcW w:type="dxa" w:w="4800"/>
            <w:tcMar>
              <w:top w:w="70" w:type="dxa"/>
              <w:start w:w="90" w:type="dxa"/>
              <w:bottom w:w="70" w:type="dxa"/>
              <w:end w:w="90" w:type="dxa"/>
            </w:tcMar>
            <w:vAlign w:val="center"/>
          </w:tcPr>
          <w:p>
            <w:pPr>
              <w:spacing w:after="0"/>
            </w:pPr>
            <w:r>
              <w:rPr>
                <w:rFonts w:ascii="Arial" w:hAnsi="Arial"/>
                <w:color w:val="1B1B1C"/>
                <w:sz w:val="16"/>
              </w:rPr>
              <w:t>Critical pipelines emit usable lineage and support impact analysis and incident review.</w:t>
            </w:r>
          </w:p>
        </w:tc>
      </w:tr>
      <w:tr>
        <w:trPr>
          <w:cantSplit/>
        </w:trPr>
        <w:tc>
          <w:tcPr>
            <w:tcW w:type="dxa" w:w="4500"/>
            <w:tcMar>
              <w:top w:w="70" w:type="dxa"/>
              <w:start w:w="90" w:type="dxa"/>
              <w:bottom w:w="70" w:type="dxa"/>
              <w:end w:w="90" w:type="dxa"/>
            </w:tcMar>
            <w:shd w:fill="F1EFE5"/>
            <w:vAlign w:val="center"/>
          </w:tcPr>
          <w:p>
            <w:pPr>
              <w:spacing w:after="0"/>
            </w:pPr>
            <w:r>
              <w:rPr>
                <w:rFonts w:ascii="Arial" w:hAnsi="Arial"/>
                <w:b/>
                <w:color w:val="0E2530"/>
                <w:sz w:val="16"/>
              </w:rPr>
              <w:t>A quality dashboard is launched.</w:t>
            </w:r>
          </w:p>
        </w:tc>
        <w:tc>
          <w:tcPr>
            <w:tcW w:type="dxa" w:w="4800"/>
            <w:tcMar>
              <w:top w:w="70" w:type="dxa"/>
              <w:start w:w="90" w:type="dxa"/>
              <w:bottom w:w="70" w:type="dxa"/>
              <w:end w:w="90" w:type="dxa"/>
            </w:tcMar>
            <w:shd w:fill="F1EFE5"/>
            <w:vAlign w:val="center"/>
          </w:tcPr>
          <w:p>
            <w:pPr>
              <w:spacing w:after="0"/>
            </w:pPr>
            <w:r>
              <w:rPr>
                <w:rFonts w:ascii="Arial" w:hAnsi="Arial"/>
                <w:color w:val="1B1B1C"/>
                <w:sz w:val="16"/>
              </w:rPr>
              <w:t>Quality requirements are tied to use, owners correct causes and consumers see limits.</w:t>
            </w:r>
          </w:p>
        </w:tc>
      </w:tr>
      <w:tr>
        <w:trPr>
          <w:cantSplit/>
        </w:trPr>
        <w:tc>
          <w:tcPr>
            <w:tcW w:type="dxa" w:w="4500"/>
            <w:tcMar>
              <w:top w:w="70" w:type="dxa"/>
              <w:start w:w="90" w:type="dxa"/>
              <w:bottom w:w="70" w:type="dxa"/>
              <w:end w:w="90" w:type="dxa"/>
            </w:tcMar>
            <w:vAlign w:val="center"/>
          </w:tcPr>
          <w:p>
            <w:pPr>
              <w:spacing w:after="0"/>
            </w:pPr>
            <w:r>
              <w:rPr>
                <w:rFonts w:ascii="Arial" w:hAnsi="Arial"/>
                <w:b/>
                <w:color w:val="0E2530"/>
                <w:sz w:val="16"/>
              </w:rPr>
              <w:t>An AI review form is added.</w:t>
            </w:r>
          </w:p>
        </w:tc>
        <w:tc>
          <w:tcPr>
            <w:tcW w:type="dxa" w:w="4800"/>
            <w:tcMar>
              <w:top w:w="70" w:type="dxa"/>
              <w:start w:w="90" w:type="dxa"/>
              <w:bottom w:w="70" w:type="dxa"/>
              <w:end w:w="90" w:type="dxa"/>
            </w:tcMar>
            <w:vAlign w:val="center"/>
          </w:tcPr>
          <w:p>
            <w:pPr>
              <w:spacing w:after="0"/>
            </w:pPr>
            <w:r>
              <w:rPr>
                <w:rFonts w:ascii="Arial" w:hAnsi="Arial"/>
                <w:color w:val="1B1B1C"/>
                <w:sz w:val="16"/>
              </w:rPr>
              <w:t>Use cases have data provenance, suitability tests, human accountability, monitoring and stop rules.</w:t>
            </w:r>
          </w:p>
        </w:tc>
      </w:tr>
      <w:tr>
        <w:trPr>
          <w:cantSplit/>
        </w:trPr>
        <w:tc>
          <w:tcPr>
            <w:tcW w:type="dxa" w:w="4500"/>
            <w:tcMar>
              <w:top w:w="70" w:type="dxa"/>
              <w:start w:w="90" w:type="dxa"/>
              <w:bottom w:w="70" w:type="dxa"/>
              <w:end w:w="90" w:type="dxa"/>
            </w:tcMar>
            <w:shd w:fill="F1EFE5"/>
            <w:vAlign w:val="center"/>
          </w:tcPr>
          <w:p>
            <w:pPr>
              <w:spacing w:after="0"/>
            </w:pPr>
            <w:r>
              <w:rPr>
                <w:rFonts w:ascii="Arial" w:hAnsi="Arial"/>
                <w:b/>
                <w:color w:val="0E2530"/>
                <w:sz w:val="16"/>
              </w:rPr>
              <w:t>An audit finding is closed.</w:t>
            </w:r>
          </w:p>
        </w:tc>
        <w:tc>
          <w:tcPr>
            <w:tcW w:type="dxa" w:w="4800"/>
            <w:tcMar>
              <w:top w:w="70" w:type="dxa"/>
              <w:start w:w="90" w:type="dxa"/>
              <w:bottom w:w="70" w:type="dxa"/>
              <w:end w:w="90" w:type="dxa"/>
            </w:tcMar>
            <w:shd w:fill="F1EFE5"/>
            <w:vAlign w:val="center"/>
          </w:tcPr>
          <w:p>
            <w:pPr>
              <w:spacing w:after="0"/>
            </w:pPr>
            <w:r>
              <w:rPr>
                <w:rFonts w:ascii="Arial" w:hAnsi="Arial"/>
                <w:color w:val="1B1B1C"/>
                <w:sz w:val="16"/>
              </w:rPr>
              <w:t>The cause is corrected, recurrence is tested and the operating evidence remains available.</w:t>
            </w:r>
          </w:p>
        </w:tc>
      </w:tr>
    </w:tbl>
    <w:p>
      <w:pPr>
        <w:spacing w:after="0"/>
      </w:pPr>
    </w:p>
    <w:p>
      <w:pPr>
        <w:pStyle w:val="Heading2"/>
      </w:pPr>
      <w:r>
        <w:t>The first roadmap horizons</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3273"/>
        <w:gridCol w:w="3273"/>
        <w:gridCol w:w="3273"/>
      </w:tblGrid>
      <w:tr>
        <w:trPr>
          <w:tblHeader w:val="true"/>
          <w:cantSplit/>
        </w:trPr>
        <w:tc>
          <w:tcPr>
            <w:tcW w:type="dxa" w:w="1400"/>
            <w:tcMar>
              <w:top w:w="75" w:type="dxa"/>
              <w:start w:w="90" w:type="dxa"/>
              <w:bottom w:w="75" w:type="dxa"/>
              <w:end w:w="90" w:type="dxa"/>
            </w:tcMar>
            <w:shd w:fill="1B1B1C"/>
          </w:tcPr>
          <w:p>
            <w:pPr>
              <w:spacing w:after="0"/>
            </w:pPr>
            <w:r>
              <w:rPr>
                <w:rFonts w:ascii="Arial" w:hAnsi="Arial"/>
                <w:b/>
                <w:color w:val="FFFFFF"/>
                <w:sz w:val="16"/>
              </w:rPr>
              <w:t>Horizon</w:t>
            </w:r>
          </w:p>
        </w:tc>
        <w:tc>
          <w:tcPr>
            <w:tcW w:type="dxa" w:w="3200"/>
            <w:tcMar>
              <w:top w:w="75" w:type="dxa"/>
              <w:start w:w="90" w:type="dxa"/>
              <w:bottom w:w="75" w:type="dxa"/>
              <w:end w:w="90" w:type="dxa"/>
            </w:tcMar>
            <w:shd w:fill="1B1B1C"/>
          </w:tcPr>
          <w:p>
            <w:pPr>
              <w:spacing w:after="0"/>
            </w:pPr>
            <w:r>
              <w:rPr>
                <w:rFonts w:ascii="Arial" w:hAnsi="Arial"/>
                <w:b/>
                <w:color w:val="FFFFFF"/>
                <w:sz w:val="16"/>
              </w:rPr>
              <w:t>Management question</w:t>
            </w:r>
          </w:p>
        </w:tc>
        <w:tc>
          <w:tcPr>
            <w:tcW w:type="dxa" w:w="4700"/>
            <w:tcMar>
              <w:top w:w="75" w:type="dxa"/>
              <w:start w:w="90" w:type="dxa"/>
              <w:bottom w:w="75" w:type="dxa"/>
              <w:end w:w="90" w:type="dxa"/>
            </w:tcMar>
            <w:shd w:fill="1B1B1C"/>
          </w:tcPr>
          <w:p>
            <w:pPr>
              <w:spacing w:after="0"/>
            </w:pPr>
            <w:r>
              <w:rPr>
                <w:rFonts w:ascii="Arial" w:hAnsi="Arial"/>
                <w:b/>
                <w:color w:val="FFFFFF"/>
                <w:sz w:val="16"/>
              </w:rPr>
              <w:t>Typical work</w:t>
            </w:r>
          </w:p>
        </w:tc>
      </w:tr>
      <w:tr>
        <w:trPr>
          <w:cantSplit/>
        </w:trPr>
        <w:tc>
          <w:tcPr>
            <w:tcW w:type="dxa" w:w="1400"/>
            <w:tcMar>
              <w:top w:w="70" w:type="dxa"/>
              <w:start w:w="90" w:type="dxa"/>
              <w:bottom w:w="70" w:type="dxa"/>
              <w:end w:w="90" w:type="dxa"/>
            </w:tcMar>
            <w:vAlign w:val="center"/>
          </w:tcPr>
          <w:p>
            <w:pPr>
              <w:spacing w:after="0"/>
            </w:pPr>
            <w:r>
              <w:rPr>
                <w:rFonts w:ascii="Arial" w:hAnsi="Arial"/>
                <w:b/>
                <w:color w:val="0E2530"/>
                <w:sz w:val="16"/>
              </w:rPr>
              <w:t>0 to 90 days</w:t>
            </w:r>
          </w:p>
        </w:tc>
        <w:tc>
          <w:tcPr>
            <w:tcW w:type="dxa" w:w="3200"/>
            <w:tcMar>
              <w:top w:w="70" w:type="dxa"/>
              <w:start w:w="90" w:type="dxa"/>
              <w:bottom w:w="70" w:type="dxa"/>
              <w:end w:w="90" w:type="dxa"/>
            </w:tcMar>
            <w:vAlign w:val="center"/>
          </w:tcPr>
          <w:p>
            <w:pPr>
              <w:spacing w:after="0"/>
            </w:pPr>
            <w:r>
              <w:rPr>
                <w:rFonts w:ascii="Arial" w:hAnsi="Arial"/>
                <w:color w:val="1B1B1C"/>
                <w:sz w:val="16"/>
              </w:rPr>
              <w:t>Where is the immediate decision and evidence risk?</w:t>
            </w:r>
          </w:p>
        </w:tc>
        <w:tc>
          <w:tcPr>
            <w:tcW w:type="dxa" w:w="4700"/>
            <w:tcMar>
              <w:top w:w="70" w:type="dxa"/>
              <w:start w:w="90" w:type="dxa"/>
              <w:bottom w:w="70" w:type="dxa"/>
              <w:end w:w="90" w:type="dxa"/>
            </w:tcMar>
            <w:vAlign w:val="center"/>
          </w:tcPr>
          <w:p>
            <w:pPr>
              <w:spacing w:after="0"/>
            </w:pPr>
            <w:r>
              <w:rPr>
                <w:rFonts w:ascii="Arial" w:hAnsi="Arial"/>
                <w:color w:val="1B1B1C"/>
                <w:sz w:val="16"/>
              </w:rPr>
              <w:t>Name owners, select critical decisions, inventory AI uses, control high-risk spreadsheets and trace three to five evidence chains.</w:t>
            </w:r>
          </w:p>
        </w:tc>
      </w:tr>
      <w:tr>
        <w:trPr>
          <w:cantSplit/>
        </w:trPr>
        <w:tc>
          <w:tcPr>
            <w:tcW w:type="dxa" w:w="1400"/>
            <w:tcMar>
              <w:top w:w="70" w:type="dxa"/>
              <w:start w:w="90" w:type="dxa"/>
              <w:bottom w:w="70" w:type="dxa"/>
              <w:end w:w="90" w:type="dxa"/>
            </w:tcMar>
            <w:shd w:fill="F1EFE5"/>
            <w:vAlign w:val="center"/>
          </w:tcPr>
          <w:p>
            <w:pPr>
              <w:spacing w:after="0"/>
            </w:pPr>
            <w:r>
              <w:rPr>
                <w:rFonts w:ascii="Arial" w:hAnsi="Arial"/>
                <w:b/>
                <w:color w:val="0E2530"/>
                <w:sz w:val="16"/>
              </w:rPr>
              <w:t>3 to 12 months</w:t>
            </w:r>
          </w:p>
        </w:tc>
        <w:tc>
          <w:tcPr>
            <w:tcW w:type="dxa" w:w="3200"/>
            <w:tcMar>
              <w:top w:w="70" w:type="dxa"/>
              <w:start w:w="90" w:type="dxa"/>
              <w:bottom w:w="70" w:type="dxa"/>
              <w:end w:w="90" w:type="dxa"/>
            </w:tcMar>
            <w:shd w:fill="F1EFE5"/>
            <w:vAlign w:val="center"/>
          </w:tcPr>
          <w:p>
            <w:pPr>
              <w:spacing w:after="0"/>
            </w:pPr>
            <w:r>
              <w:rPr>
                <w:rFonts w:ascii="Arial" w:hAnsi="Arial"/>
                <w:color w:val="1B1B1C"/>
                <w:sz w:val="16"/>
              </w:rPr>
              <w:t>What operating capability must become repeatable?</w:t>
            </w:r>
          </w:p>
        </w:tc>
        <w:tc>
          <w:tcPr>
            <w:tcW w:type="dxa" w:w="4700"/>
            <w:tcMar>
              <w:top w:w="70" w:type="dxa"/>
              <w:start w:w="90" w:type="dxa"/>
              <w:bottom w:w="70" w:type="dxa"/>
              <w:end w:w="90" w:type="dxa"/>
            </w:tcMar>
            <w:shd w:fill="F1EFE5"/>
            <w:vAlign w:val="center"/>
          </w:tcPr>
          <w:p>
            <w:pPr>
              <w:spacing w:after="0"/>
            </w:pPr>
            <w:r>
              <w:rPr>
                <w:rFonts w:ascii="Arial" w:hAnsi="Arial"/>
                <w:color w:val="1B1B1C"/>
                <w:sz w:val="16"/>
              </w:rPr>
              <w:t>Metadata profile, identifiers, data products, stewardship, quality rules, lineage capture, supplier clauses and assurance plan.</w:t>
            </w:r>
          </w:p>
        </w:tc>
      </w:tr>
      <w:tr>
        <w:trPr>
          <w:cantSplit/>
        </w:trPr>
        <w:tc>
          <w:tcPr>
            <w:tcW w:type="dxa" w:w="1400"/>
            <w:tcMar>
              <w:top w:w="70" w:type="dxa"/>
              <w:start w:w="90" w:type="dxa"/>
              <w:bottom w:w="70" w:type="dxa"/>
              <w:end w:w="90" w:type="dxa"/>
            </w:tcMar>
            <w:vAlign w:val="center"/>
          </w:tcPr>
          <w:p>
            <w:pPr>
              <w:spacing w:after="0"/>
            </w:pPr>
            <w:r>
              <w:rPr>
                <w:rFonts w:ascii="Arial" w:hAnsi="Arial"/>
                <w:b/>
                <w:color w:val="0E2530"/>
                <w:sz w:val="16"/>
              </w:rPr>
              <w:t>12 to 24 months</w:t>
            </w:r>
          </w:p>
        </w:tc>
        <w:tc>
          <w:tcPr>
            <w:tcW w:type="dxa" w:w="3200"/>
            <w:tcMar>
              <w:top w:w="70" w:type="dxa"/>
              <w:start w:w="90" w:type="dxa"/>
              <w:bottom w:w="70" w:type="dxa"/>
              <w:end w:w="90" w:type="dxa"/>
            </w:tcMar>
            <w:vAlign w:val="center"/>
          </w:tcPr>
          <w:p>
            <w:pPr>
              <w:spacing w:after="0"/>
            </w:pPr>
            <w:r>
              <w:rPr>
                <w:rFonts w:ascii="Arial" w:hAnsi="Arial"/>
                <w:color w:val="1B1B1C"/>
                <w:sz w:val="16"/>
              </w:rPr>
              <w:t>What should become integrated and measured?</w:t>
            </w:r>
          </w:p>
        </w:tc>
        <w:tc>
          <w:tcPr>
            <w:tcW w:type="dxa" w:w="4700"/>
            <w:tcMar>
              <w:top w:w="70" w:type="dxa"/>
              <w:start w:w="90" w:type="dxa"/>
              <w:bottom w:w="70" w:type="dxa"/>
              <w:end w:w="90" w:type="dxa"/>
            </w:tcMar>
            <w:vAlign w:val="center"/>
          </w:tcPr>
          <w:p>
            <w:pPr>
              <w:spacing w:after="0"/>
            </w:pPr>
            <w:r>
              <w:rPr>
                <w:rFonts w:ascii="Arial" w:hAnsi="Arial"/>
                <w:color w:val="1B1B1C"/>
                <w:sz w:val="16"/>
              </w:rPr>
              <w:t>Cross-domain model, automated signals, product portfolio, adoption metrics, regulatory packs and continuous control testing.</w:t>
            </w:r>
          </w:p>
        </w:tc>
      </w:tr>
      <w:tr>
        <w:trPr>
          <w:cantSplit/>
        </w:trPr>
        <w:tc>
          <w:tcPr>
            <w:tcW w:type="dxa" w:w="1400"/>
            <w:tcMar>
              <w:top w:w="70" w:type="dxa"/>
              <w:start w:w="90" w:type="dxa"/>
              <w:bottom w:w="70" w:type="dxa"/>
              <w:end w:w="90" w:type="dxa"/>
            </w:tcMar>
            <w:shd w:fill="F1EFE5"/>
            <w:vAlign w:val="center"/>
          </w:tcPr>
          <w:p>
            <w:pPr>
              <w:spacing w:after="0"/>
            </w:pPr>
            <w:r>
              <w:rPr>
                <w:rFonts w:ascii="Arial" w:hAnsi="Arial"/>
                <w:b/>
                <w:color w:val="0E2530"/>
                <w:sz w:val="16"/>
              </w:rPr>
              <w:t>24 months and beyond</w:t>
            </w:r>
          </w:p>
        </w:tc>
        <w:tc>
          <w:tcPr>
            <w:tcW w:type="dxa" w:w="3200"/>
            <w:tcMar>
              <w:top w:w="70" w:type="dxa"/>
              <w:start w:w="90" w:type="dxa"/>
              <w:bottom w:w="70" w:type="dxa"/>
              <w:end w:w="90" w:type="dxa"/>
            </w:tcMar>
            <w:shd w:fill="F1EFE5"/>
            <w:vAlign w:val="center"/>
          </w:tcPr>
          <w:p>
            <w:pPr>
              <w:spacing w:after="0"/>
            </w:pPr>
            <w:r>
              <w:rPr>
                <w:rFonts w:ascii="Arial" w:hAnsi="Arial"/>
                <w:color w:val="1B1B1C"/>
                <w:sz w:val="16"/>
              </w:rPr>
              <w:t>What can the utility safely scale?</w:t>
            </w:r>
          </w:p>
        </w:tc>
        <w:tc>
          <w:tcPr>
            <w:tcW w:type="dxa" w:w="4700"/>
            <w:tcMar>
              <w:top w:w="70" w:type="dxa"/>
              <w:start w:w="90" w:type="dxa"/>
              <w:bottom w:w="70" w:type="dxa"/>
              <w:end w:w="90" w:type="dxa"/>
            </w:tcMar>
            <w:shd w:fill="F1EFE5"/>
            <w:vAlign w:val="center"/>
          </w:tcPr>
          <w:p>
            <w:pPr>
              <w:spacing w:after="0"/>
            </w:pPr>
            <w:r>
              <w:rPr>
                <w:rFonts w:ascii="Arial" w:hAnsi="Arial"/>
                <w:color w:val="1B1B1C"/>
                <w:sz w:val="16"/>
              </w:rPr>
              <w:t>Trusted AI, digital twins, sector data sharing, automated evidence and adaptive governance.</w:t>
            </w:r>
          </w:p>
        </w:tc>
      </w:tr>
    </w:tbl>
    <w:p>
      <w:pPr>
        <w:spacing w:after="0"/>
      </w:pPr>
    </w:p>
    <w:tbl>
      <w:tblPr>
        <w:tblW w:type="auto" w:w="0"/>
        <w:jc w:val="center"/>
        <w:tblLayout w:type="fixed"/>
        <w:tblLook w:firstColumn="1" w:firstRow="1" w:lastColumn="0" w:lastRow="0" w:noHBand="0" w:noVBand="1" w:val="04A0"/>
        <w:tblBorders>
          <w:top w:val="single" w:sz="10" w:space="0" w:color="E0A64A"/>
          <w:left w:val="single" w:sz="10" w:space="0" w:color="E0A64A"/>
          <w:bottom w:val="single" w:sz="10" w:space="0" w:color="E0A64A"/>
          <w:right w:val="single" w:sz="10" w:space="0" w:color="E0A64A"/>
          <w:insideH w:val="single" w:sz="10" w:space="0" w:color="E0A64A"/>
          <w:insideV w:val="single" w:sz="10" w:space="0" w:color="E0A64A"/>
        </w:tblBorders>
      </w:tblPr>
      <w:tblGrid>
        <w:gridCol w:w="9820"/>
      </w:tblGrid>
      <w:tr>
        <w:trPr>
          <w:cantSplit/>
        </w:trPr>
        <w:tc>
          <w:tcPr>
            <w:tcW w:type="dxa" w:w="9820"/>
            <w:shd w:fill="1B1B1C"/>
            <w:tcMar>
              <w:top w:w="140" w:type="dxa"/>
              <w:start w:w="170" w:type="dxa"/>
              <w:bottom w:w="140" w:type="dxa"/>
              <w:end w:w="170" w:type="dxa"/>
            </w:tcMar>
          </w:tcPr>
          <w:p>
            <w:pPr>
              <w:spacing w:after="80"/>
            </w:pPr>
            <w:r>
              <w:rPr>
                <w:rFonts w:ascii="Arial" w:hAnsi="Arial"/>
                <w:b/>
                <w:color w:val="E0A64A"/>
                <w:sz w:val="20"/>
              </w:rPr>
              <w:t>Roadmap rule</w:t>
            </w:r>
          </w:p>
          <w:p>
            <w:pPr>
              <w:spacing w:after="0"/>
            </w:pPr>
            <w:r>
              <w:rPr>
                <w:rFonts w:ascii="Arial" w:hAnsi="Arial"/>
                <w:color w:val="FFFFFF"/>
                <w:sz w:val="20"/>
              </w:rPr>
              <w:t>Do not create one large data governance project. Build a governed pattern around a material decision, prove the value, then repeat the pattern across the utility.</w:t>
            </w:r>
          </w:p>
        </w:tc>
      </w:tr>
    </w:tbl>
    <w:p>
      <w:pPr>
        <w:pageBreakBefore/>
        <w:spacing w:after="100"/>
      </w:pPr>
      <w:r>
        <w:rPr>
          <w:rFonts w:ascii="Arial" w:hAnsi="Arial"/>
          <w:b/>
          <w:color w:val="2F7F9E"/>
          <w:sz w:val="17"/>
        </w:rPr>
        <w:t>APPLICATION PAPER</w:t>
      </w:r>
    </w:p>
    <w:p>
      <w:pPr>
        <w:pStyle w:val="Heading1"/>
      </w:pPr>
      <w:r>
        <w:t>7. Government, law and policy</w:t>
      </w:r>
    </w:p>
    <w:p>
      <w:pPr>
        <w:pStyle w:val="Subtitle"/>
        <w:spacing w:after="280"/>
      </w:pPr>
      <w:r>
        <w:rPr>
          <w:color w:val="3C3B36"/>
          <w:sz w:val="25"/>
        </w:rPr>
        <w:t>A utility needs a controlled applicability process, not a list of headlines.</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820"/>
      </w:tblGrid>
      <w:tr>
        <w:tc>
          <w:tcPr>
            <w:tcW w:type="dxa" w:w="1500"/>
            <w:shd w:fill="E0A64A"/>
            <w:tcMar>
              <w:top w:w="0" w:type="dxa"/>
              <w:start w:w="0" w:type="dxa"/>
              <w:bottom w:w="0" w:type="dxa"/>
              <w:end w:w="0" w:type="dxa"/>
            </w:tcMar>
          </w:tcPr>
          <w:p>
            <w:pPr>
              <w:spacing w:after="0"/>
            </w:pPr>
            <w:r>
              <w:rPr>
                <w:sz w:val="4"/>
              </w:rPr>
              <w:t xml:space="preserve"> </w:t>
            </w:r>
          </w:p>
        </w:tc>
      </w:tr>
    </w:tbl>
    <w:p>
      <w:pPr>
        <w:pStyle w:val="Heading2"/>
      </w:pPr>
      <w:r>
        <w:t>United States federal direction</w:t>
      </w:r>
    </w:p>
    <w:p>
      <w:r>
        <w:t>The federal picture is a chain. The OPEN Government Data Act and Federal Data Strategy establish inventory, metadata, access and stewardship expectations. The Office of Management and Budget (OMB) Memorandum M-25-05 advances data inventory and access work. OMB M-25-21 and M-25-22 address AI governance, high-impact safeguards and acquisition. The 2025 AI Action Plan sets national direction. Budget and reporting documents influence implementation but should not be mistaken for standalone control requirements. [US01-US11]</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3273"/>
        <w:gridCol w:w="3273"/>
        <w:gridCol w:w="3273"/>
      </w:tblGrid>
      <w:tr>
        <w:trPr>
          <w:tblHeader w:val="true"/>
          <w:cantSplit/>
        </w:trPr>
        <w:tc>
          <w:tcPr>
            <w:tcW w:type="dxa" w:w="3100"/>
            <w:tcMar>
              <w:top w:w="75" w:type="dxa"/>
              <w:start w:w="90" w:type="dxa"/>
              <w:bottom w:w="75" w:type="dxa"/>
              <w:end w:w="90" w:type="dxa"/>
            </w:tcMar>
            <w:shd w:fill="1B1B1C"/>
          </w:tcPr>
          <w:p>
            <w:pPr>
              <w:spacing w:after="0"/>
            </w:pPr>
            <w:r>
              <w:rPr>
                <w:rFonts w:ascii="Arial" w:hAnsi="Arial"/>
                <w:b/>
                <w:color w:val="FFFFFF"/>
                <w:sz w:val="15"/>
              </w:rPr>
              <w:t>Source</w:t>
            </w:r>
          </w:p>
        </w:tc>
        <w:tc>
          <w:tcPr>
            <w:tcW w:type="dxa" w:w="3000"/>
            <w:tcMar>
              <w:top w:w="75" w:type="dxa"/>
              <w:start w:w="90" w:type="dxa"/>
              <w:bottom w:w="75" w:type="dxa"/>
              <w:end w:w="90" w:type="dxa"/>
            </w:tcMar>
            <w:shd w:fill="1B1B1C"/>
          </w:tcPr>
          <w:p>
            <w:pPr>
              <w:spacing w:after="0"/>
            </w:pPr>
            <w:r>
              <w:rPr>
                <w:rFonts w:ascii="Arial" w:hAnsi="Arial"/>
                <w:b/>
                <w:color w:val="FFFFFF"/>
                <w:sz w:val="15"/>
              </w:rPr>
              <w:t>What it changes</w:t>
            </w:r>
          </w:p>
        </w:tc>
        <w:tc>
          <w:tcPr>
            <w:tcW w:type="dxa" w:w="3200"/>
            <w:tcMar>
              <w:top w:w="75" w:type="dxa"/>
              <w:start w:w="90" w:type="dxa"/>
              <w:bottom w:w="75" w:type="dxa"/>
              <w:end w:w="90" w:type="dxa"/>
            </w:tcMar>
            <w:shd w:fill="1B1B1C"/>
          </w:tcPr>
          <w:p>
            <w:pPr>
              <w:spacing w:after="0"/>
            </w:pPr>
            <w:r>
              <w:rPr>
                <w:rFonts w:ascii="Arial" w:hAnsi="Arial"/>
                <w:b/>
                <w:color w:val="FFFFFF"/>
                <w:sz w:val="15"/>
              </w:rPr>
              <w:t>Utility or public-body question</w:t>
            </w:r>
          </w:p>
        </w:tc>
      </w:tr>
      <w:tr>
        <w:trPr>
          <w:cantSplit/>
        </w:trPr>
        <w:tc>
          <w:tcPr>
            <w:tcW w:type="dxa" w:w="3100"/>
            <w:tcMar>
              <w:top w:w="70" w:type="dxa"/>
              <w:start w:w="90" w:type="dxa"/>
              <w:bottom w:w="70" w:type="dxa"/>
              <w:end w:w="90" w:type="dxa"/>
            </w:tcMar>
            <w:vAlign w:val="center"/>
          </w:tcPr>
          <w:p>
            <w:pPr>
              <w:spacing w:after="0"/>
            </w:pPr>
            <w:r>
              <w:rPr>
                <w:rFonts w:ascii="Arial" w:hAnsi="Arial"/>
                <w:b/>
                <w:color w:val="0E2530"/>
                <w:sz w:val="15"/>
              </w:rPr>
              <w:t>OPEN Government Data Act and Federal Data Strategy [US06-US08]</w:t>
            </w:r>
          </w:p>
        </w:tc>
        <w:tc>
          <w:tcPr>
            <w:tcW w:type="dxa" w:w="3000"/>
            <w:tcMar>
              <w:top w:w="70" w:type="dxa"/>
              <w:start w:w="90" w:type="dxa"/>
              <w:bottom w:w="70" w:type="dxa"/>
              <w:end w:w="90" w:type="dxa"/>
            </w:tcMar>
            <w:vAlign w:val="center"/>
          </w:tcPr>
          <w:p>
            <w:pPr>
              <w:spacing w:after="0"/>
            </w:pPr>
            <w:r>
              <w:rPr>
                <w:rFonts w:ascii="Arial" w:hAnsi="Arial"/>
                <w:color w:val="1B1B1C"/>
                <w:sz w:val="15"/>
              </w:rPr>
              <w:t>Inventory, metadata, machine-readable data, stewardship, protection and use.</w:t>
            </w:r>
          </w:p>
        </w:tc>
        <w:tc>
          <w:tcPr>
            <w:tcW w:type="dxa" w:w="3200"/>
            <w:tcMar>
              <w:top w:w="70" w:type="dxa"/>
              <w:start w:w="90" w:type="dxa"/>
              <w:bottom w:w="70" w:type="dxa"/>
              <w:end w:w="90" w:type="dxa"/>
            </w:tcMar>
            <w:vAlign w:val="center"/>
          </w:tcPr>
          <w:p>
            <w:pPr>
              <w:spacing w:after="0"/>
            </w:pPr>
            <w:r>
              <w:rPr>
                <w:rFonts w:ascii="Arial" w:hAnsi="Arial"/>
                <w:color w:val="1B1B1C"/>
                <w:sz w:val="15"/>
              </w:rPr>
              <w:t>Are public data assets known, described, accessible and protected under a named authority?</w:t>
            </w:r>
          </w:p>
        </w:tc>
      </w:tr>
      <w:tr>
        <w:trPr>
          <w:cantSplit/>
        </w:trPr>
        <w:tc>
          <w:tcPr>
            <w:tcW w:type="dxa" w:w="3100"/>
            <w:tcMar>
              <w:top w:w="70" w:type="dxa"/>
              <w:start w:w="90" w:type="dxa"/>
              <w:bottom w:w="70" w:type="dxa"/>
              <w:end w:w="90" w:type="dxa"/>
            </w:tcMar>
            <w:shd w:fill="F1EFE5"/>
            <w:vAlign w:val="center"/>
          </w:tcPr>
          <w:p>
            <w:pPr>
              <w:spacing w:after="0"/>
            </w:pPr>
            <w:r>
              <w:rPr>
                <w:rFonts w:ascii="Arial" w:hAnsi="Arial"/>
                <w:b/>
                <w:color w:val="0E2530"/>
                <w:sz w:val="15"/>
              </w:rPr>
              <w:t>OMB M-25-05 [US05]</w:t>
            </w:r>
          </w:p>
        </w:tc>
        <w:tc>
          <w:tcPr>
            <w:tcW w:type="dxa" w:w="3000"/>
            <w:tcMar>
              <w:top w:w="70" w:type="dxa"/>
              <w:start w:w="90" w:type="dxa"/>
              <w:bottom w:w="70" w:type="dxa"/>
              <w:end w:w="90" w:type="dxa"/>
            </w:tcMar>
            <w:shd w:fill="F1EFE5"/>
            <w:vAlign w:val="center"/>
          </w:tcPr>
          <w:p>
            <w:pPr>
              <w:spacing w:after="0"/>
            </w:pPr>
            <w:r>
              <w:rPr>
                <w:rFonts w:ascii="Arial" w:hAnsi="Arial"/>
                <w:color w:val="1B1B1C"/>
                <w:sz w:val="15"/>
              </w:rPr>
              <w:t>Phase 2 data inventory, metadata and access expectations.</w:t>
            </w:r>
          </w:p>
        </w:tc>
        <w:tc>
          <w:tcPr>
            <w:tcW w:type="dxa" w:w="3200"/>
            <w:tcMar>
              <w:top w:w="70" w:type="dxa"/>
              <w:start w:w="90" w:type="dxa"/>
              <w:bottom w:w="70" w:type="dxa"/>
              <w:end w:w="90" w:type="dxa"/>
            </w:tcMar>
            <w:shd w:fill="F1EFE5"/>
            <w:vAlign w:val="center"/>
          </w:tcPr>
          <w:p>
            <w:pPr>
              <w:spacing w:after="0"/>
            </w:pPr>
            <w:r>
              <w:rPr>
                <w:rFonts w:ascii="Arial" w:hAnsi="Arial"/>
                <w:color w:val="1B1B1C"/>
                <w:sz w:val="15"/>
              </w:rPr>
              <w:t>Can the organization produce a current inventory and describe access constraints?</w:t>
            </w:r>
          </w:p>
        </w:tc>
      </w:tr>
      <w:tr>
        <w:trPr>
          <w:cantSplit/>
        </w:trPr>
        <w:tc>
          <w:tcPr>
            <w:tcW w:type="dxa" w:w="3100"/>
            <w:tcMar>
              <w:top w:w="70" w:type="dxa"/>
              <w:start w:w="90" w:type="dxa"/>
              <w:bottom w:w="70" w:type="dxa"/>
              <w:end w:w="90" w:type="dxa"/>
            </w:tcMar>
            <w:vAlign w:val="center"/>
          </w:tcPr>
          <w:p>
            <w:pPr>
              <w:spacing w:after="0"/>
            </w:pPr>
            <w:r>
              <w:rPr>
                <w:rFonts w:ascii="Arial" w:hAnsi="Arial"/>
                <w:b/>
                <w:color w:val="0E2530"/>
                <w:sz w:val="15"/>
              </w:rPr>
              <w:t>OMB M-25-21 [US03]</w:t>
            </w:r>
          </w:p>
        </w:tc>
        <w:tc>
          <w:tcPr>
            <w:tcW w:type="dxa" w:w="3000"/>
            <w:tcMar>
              <w:top w:w="70" w:type="dxa"/>
              <w:start w:w="90" w:type="dxa"/>
              <w:bottom w:w="70" w:type="dxa"/>
              <w:end w:w="90" w:type="dxa"/>
            </w:tcMar>
            <w:vAlign w:val="center"/>
          </w:tcPr>
          <w:p>
            <w:pPr>
              <w:spacing w:after="0"/>
            </w:pPr>
            <w:r>
              <w:rPr>
                <w:rFonts w:ascii="Arial" w:hAnsi="Arial"/>
                <w:color w:val="1B1B1C"/>
                <w:sz w:val="15"/>
              </w:rPr>
              <w:t>AI governance boards, use-case inventories, high-impact safeguards, data quality and provenance.</w:t>
            </w:r>
          </w:p>
        </w:tc>
        <w:tc>
          <w:tcPr>
            <w:tcW w:type="dxa" w:w="3200"/>
            <w:tcMar>
              <w:top w:w="70" w:type="dxa"/>
              <w:start w:w="90" w:type="dxa"/>
              <w:bottom w:w="70" w:type="dxa"/>
              <w:end w:w="90" w:type="dxa"/>
            </w:tcMar>
            <w:vAlign w:val="center"/>
          </w:tcPr>
          <w:p>
            <w:pPr>
              <w:spacing w:after="0"/>
            </w:pPr>
            <w:r>
              <w:rPr>
                <w:rFonts w:ascii="Arial" w:hAnsi="Arial"/>
                <w:color w:val="1B1B1C"/>
                <w:sz w:val="15"/>
              </w:rPr>
              <w:t>Which AI use cases can affect rights, safety, service or public outcomes, and what evidence supports them?</w:t>
            </w:r>
          </w:p>
        </w:tc>
      </w:tr>
      <w:tr>
        <w:trPr>
          <w:cantSplit/>
        </w:trPr>
        <w:tc>
          <w:tcPr>
            <w:tcW w:type="dxa" w:w="3100"/>
            <w:tcMar>
              <w:top w:w="70" w:type="dxa"/>
              <w:start w:w="90" w:type="dxa"/>
              <w:bottom w:w="70" w:type="dxa"/>
              <w:end w:w="90" w:type="dxa"/>
            </w:tcMar>
            <w:shd w:fill="F1EFE5"/>
            <w:vAlign w:val="center"/>
          </w:tcPr>
          <w:p>
            <w:pPr>
              <w:spacing w:after="0"/>
            </w:pPr>
            <w:r>
              <w:rPr>
                <w:rFonts w:ascii="Arial" w:hAnsi="Arial"/>
                <w:b/>
                <w:color w:val="0E2530"/>
                <w:sz w:val="15"/>
              </w:rPr>
              <w:t>OMB M-25-22 [US04]</w:t>
            </w:r>
          </w:p>
        </w:tc>
        <w:tc>
          <w:tcPr>
            <w:tcW w:type="dxa" w:w="3000"/>
            <w:tcMar>
              <w:top w:w="70" w:type="dxa"/>
              <w:start w:w="90" w:type="dxa"/>
              <w:bottom w:w="70" w:type="dxa"/>
              <w:end w:w="90" w:type="dxa"/>
            </w:tcMar>
            <w:shd w:fill="F1EFE5"/>
            <w:vAlign w:val="center"/>
          </w:tcPr>
          <w:p>
            <w:pPr>
              <w:spacing w:after="0"/>
            </w:pPr>
            <w:r>
              <w:rPr>
                <w:rFonts w:ascii="Arial" w:hAnsi="Arial"/>
                <w:color w:val="1B1B1C"/>
                <w:sz w:val="15"/>
              </w:rPr>
              <w:t>AI acquisition, data rights, vendor restrictions and lifecycle terms.</w:t>
            </w:r>
          </w:p>
        </w:tc>
        <w:tc>
          <w:tcPr>
            <w:tcW w:type="dxa" w:w="3200"/>
            <w:tcMar>
              <w:top w:w="70" w:type="dxa"/>
              <w:start w:w="90" w:type="dxa"/>
              <w:bottom w:w="70" w:type="dxa"/>
              <w:end w:w="90" w:type="dxa"/>
            </w:tcMar>
            <w:shd w:fill="F1EFE5"/>
            <w:vAlign w:val="center"/>
          </w:tcPr>
          <w:p>
            <w:pPr>
              <w:spacing w:after="0"/>
            </w:pPr>
            <w:r>
              <w:rPr>
                <w:rFonts w:ascii="Arial" w:hAnsi="Arial"/>
                <w:color w:val="1B1B1C"/>
                <w:sz w:val="15"/>
              </w:rPr>
              <w:t>Do contracts protect data, prevent unapproved use, preserve competition and support exit?</w:t>
            </w:r>
          </w:p>
        </w:tc>
      </w:tr>
      <w:tr>
        <w:trPr>
          <w:cantSplit/>
        </w:trPr>
        <w:tc>
          <w:tcPr>
            <w:tcW w:type="dxa" w:w="3100"/>
            <w:tcMar>
              <w:top w:w="70" w:type="dxa"/>
              <w:start w:w="90" w:type="dxa"/>
              <w:bottom w:w="70" w:type="dxa"/>
              <w:end w:w="90" w:type="dxa"/>
            </w:tcMar>
            <w:vAlign w:val="center"/>
          </w:tcPr>
          <w:p>
            <w:pPr>
              <w:spacing w:after="0"/>
            </w:pPr>
            <w:r>
              <w:rPr>
                <w:rFonts w:ascii="Arial" w:hAnsi="Arial"/>
                <w:b/>
                <w:color w:val="0E2530"/>
                <w:sz w:val="15"/>
              </w:rPr>
              <w:t>America's AI Action Plan [US01-US02]</w:t>
            </w:r>
          </w:p>
        </w:tc>
        <w:tc>
          <w:tcPr>
            <w:tcW w:type="dxa" w:w="3000"/>
            <w:tcMar>
              <w:top w:w="70" w:type="dxa"/>
              <w:start w:w="90" w:type="dxa"/>
              <w:bottom w:w="70" w:type="dxa"/>
              <w:end w:w="90" w:type="dxa"/>
            </w:tcMar>
            <w:vAlign w:val="center"/>
          </w:tcPr>
          <w:p>
            <w:pPr>
              <w:spacing w:after="0"/>
            </w:pPr>
            <w:r>
              <w:rPr>
                <w:rFonts w:ascii="Arial" w:hAnsi="Arial"/>
                <w:color w:val="1B1B1C"/>
                <w:sz w:val="15"/>
              </w:rPr>
              <w:t>Innovation, infrastructure and security direction.</w:t>
            </w:r>
          </w:p>
        </w:tc>
        <w:tc>
          <w:tcPr>
            <w:tcW w:type="dxa" w:w="3200"/>
            <w:tcMar>
              <w:top w:w="70" w:type="dxa"/>
              <w:start w:w="90" w:type="dxa"/>
              <w:bottom w:w="70" w:type="dxa"/>
              <w:end w:w="90" w:type="dxa"/>
            </w:tcMar>
            <w:vAlign w:val="center"/>
          </w:tcPr>
          <w:p>
            <w:pPr>
              <w:spacing w:after="0"/>
            </w:pPr>
            <w:r>
              <w:rPr>
                <w:rFonts w:ascii="Arial" w:hAnsi="Arial"/>
                <w:color w:val="1B1B1C"/>
                <w:sz w:val="15"/>
              </w:rPr>
              <w:t>Which actions change investment, infrastructure, workforce or assurance priorities?</w:t>
            </w:r>
          </w:p>
        </w:tc>
      </w:tr>
      <w:tr>
        <w:trPr>
          <w:cantSplit/>
        </w:trPr>
        <w:tc>
          <w:tcPr>
            <w:tcW w:type="dxa" w:w="3100"/>
            <w:tcMar>
              <w:top w:w="70" w:type="dxa"/>
              <w:start w:w="90" w:type="dxa"/>
              <w:bottom w:w="70" w:type="dxa"/>
              <w:end w:w="90" w:type="dxa"/>
            </w:tcMar>
            <w:shd w:fill="F1EFE5"/>
            <w:vAlign w:val="center"/>
          </w:tcPr>
          <w:p>
            <w:pPr>
              <w:spacing w:after="0"/>
            </w:pPr>
            <w:r>
              <w:rPr>
                <w:rFonts w:ascii="Arial" w:hAnsi="Arial"/>
                <w:b/>
                <w:color w:val="0E2530"/>
                <w:sz w:val="15"/>
              </w:rPr>
              <w:t>FY2026 and OMB reporting [US10-US11]</w:t>
            </w:r>
          </w:p>
        </w:tc>
        <w:tc>
          <w:tcPr>
            <w:tcW w:type="dxa" w:w="3000"/>
            <w:tcMar>
              <w:top w:w="70" w:type="dxa"/>
              <w:start w:w="90" w:type="dxa"/>
              <w:bottom w:w="70" w:type="dxa"/>
              <w:end w:w="90" w:type="dxa"/>
            </w:tcMar>
            <w:shd w:fill="F1EFE5"/>
            <w:vAlign w:val="center"/>
          </w:tcPr>
          <w:p>
            <w:pPr>
              <w:spacing w:after="0"/>
            </w:pPr>
            <w:r>
              <w:rPr>
                <w:rFonts w:ascii="Arial" w:hAnsi="Arial"/>
                <w:color w:val="1B1B1C"/>
                <w:sz w:val="15"/>
              </w:rPr>
              <w:t>Budget and management signals.</w:t>
            </w:r>
          </w:p>
        </w:tc>
        <w:tc>
          <w:tcPr>
            <w:tcW w:type="dxa" w:w="3200"/>
            <w:tcMar>
              <w:top w:w="70" w:type="dxa"/>
              <w:start w:w="90" w:type="dxa"/>
              <w:bottom w:w="70" w:type="dxa"/>
              <w:end w:w="90" w:type="dxa"/>
            </w:tcMar>
            <w:shd w:fill="F1EFE5"/>
            <w:vAlign w:val="center"/>
          </w:tcPr>
          <w:p>
            <w:pPr>
              <w:spacing w:after="0"/>
            </w:pPr>
            <w:r>
              <w:rPr>
                <w:rFonts w:ascii="Arial" w:hAnsi="Arial"/>
                <w:color w:val="1B1B1C"/>
                <w:sz w:val="15"/>
              </w:rPr>
              <w:t>Which funded commitments and reporting expectations require evidence?</w:t>
            </w:r>
          </w:p>
        </w:tc>
      </w:tr>
    </w:tbl>
    <w:p>
      <w:pPr>
        <w:spacing w:after="0"/>
      </w:pPr>
    </w:p>
    <w:p>
      <w:pPr>
        <w:pStyle w:val="Heading2"/>
      </w:pPr>
      <w:r>
        <w:t>European Union stack</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3273"/>
        <w:gridCol w:w="3273"/>
        <w:gridCol w:w="3273"/>
      </w:tblGrid>
      <w:tr>
        <w:trPr>
          <w:tblHeader w:val="true"/>
          <w:cantSplit/>
        </w:trPr>
        <w:tc>
          <w:tcPr>
            <w:tcW w:type="dxa" w:w="2700"/>
            <w:tcMar>
              <w:top w:w="75" w:type="dxa"/>
              <w:start w:w="90" w:type="dxa"/>
              <w:bottom w:w="75" w:type="dxa"/>
              <w:end w:w="90" w:type="dxa"/>
            </w:tcMar>
            <w:shd w:fill="1B1B1C"/>
          </w:tcPr>
          <w:p>
            <w:pPr>
              <w:spacing w:after="0"/>
            </w:pPr>
            <w:r>
              <w:rPr>
                <w:rFonts w:ascii="Arial" w:hAnsi="Arial"/>
                <w:b/>
                <w:color w:val="FFFFFF"/>
                <w:sz w:val="15"/>
              </w:rPr>
              <w:t>Instrument</w:t>
            </w:r>
          </w:p>
        </w:tc>
        <w:tc>
          <w:tcPr>
            <w:tcW w:type="dxa" w:w="3200"/>
            <w:tcMar>
              <w:top w:w="75" w:type="dxa"/>
              <w:start w:w="90" w:type="dxa"/>
              <w:bottom w:w="75" w:type="dxa"/>
              <w:end w:w="90" w:type="dxa"/>
            </w:tcMar>
            <w:shd w:fill="1B1B1C"/>
          </w:tcPr>
          <w:p>
            <w:pPr>
              <w:spacing w:after="0"/>
            </w:pPr>
            <w:r>
              <w:rPr>
                <w:rFonts w:ascii="Arial" w:hAnsi="Arial"/>
                <w:b/>
                <w:color w:val="FFFFFF"/>
                <w:sz w:val="15"/>
              </w:rPr>
              <w:t>Governance effect</w:t>
            </w:r>
          </w:p>
        </w:tc>
        <w:tc>
          <w:tcPr>
            <w:tcW w:type="dxa" w:w="3400"/>
            <w:tcMar>
              <w:top w:w="75" w:type="dxa"/>
              <w:start w:w="90" w:type="dxa"/>
              <w:bottom w:w="75" w:type="dxa"/>
              <w:end w:w="90" w:type="dxa"/>
            </w:tcMar>
            <w:shd w:fill="1B1B1C"/>
          </w:tcPr>
          <w:p>
            <w:pPr>
              <w:spacing w:after="0"/>
            </w:pPr>
            <w:r>
              <w:rPr>
                <w:rFonts w:ascii="Arial" w:hAnsi="Arial"/>
                <w:b/>
                <w:color w:val="FFFFFF"/>
                <w:sz w:val="15"/>
              </w:rPr>
              <w:t>Utility application</w:t>
            </w:r>
          </w:p>
        </w:tc>
      </w:tr>
      <w:tr>
        <w:trPr>
          <w:cantSplit/>
        </w:trPr>
        <w:tc>
          <w:tcPr>
            <w:tcW w:type="dxa" w:w="2700"/>
            <w:tcMar>
              <w:top w:w="70" w:type="dxa"/>
              <w:start w:w="90" w:type="dxa"/>
              <w:bottom w:w="70" w:type="dxa"/>
              <w:end w:w="90" w:type="dxa"/>
            </w:tcMar>
            <w:vAlign w:val="center"/>
          </w:tcPr>
          <w:p>
            <w:pPr>
              <w:spacing w:after="0"/>
            </w:pPr>
            <w:r>
              <w:rPr>
                <w:rFonts w:ascii="Arial" w:hAnsi="Arial"/>
                <w:b/>
                <w:color w:val="0E2530"/>
                <w:sz w:val="15"/>
              </w:rPr>
              <w:t>EU AI Act [EU01]</w:t>
            </w:r>
          </w:p>
        </w:tc>
        <w:tc>
          <w:tcPr>
            <w:tcW w:type="dxa" w:w="3200"/>
            <w:tcMar>
              <w:top w:w="70" w:type="dxa"/>
              <w:start w:w="90" w:type="dxa"/>
              <w:bottom w:w="70" w:type="dxa"/>
              <w:end w:w="90" w:type="dxa"/>
            </w:tcMar>
            <w:vAlign w:val="center"/>
          </w:tcPr>
          <w:p>
            <w:pPr>
              <w:spacing w:after="0"/>
            </w:pPr>
            <w:r>
              <w:rPr>
                <w:rFonts w:ascii="Arial" w:hAnsi="Arial"/>
                <w:color w:val="1B1B1C"/>
                <w:sz w:val="15"/>
              </w:rPr>
              <w:t>Risk-tiered AI duties, data governance, logging, documentation and monitoring.</w:t>
            </w:r>
          </w:p>
        </w:tc>
        <w:tc>
          <w:tcPr>
            <w:tcW w:type="dxa" w:w="3400"/>
            <w:tcMar>
              <w:top w:w="70" w:type="dxa"/>
              <w:start w:w="90" w:type="dxa"/>
              <w:bottom w:w="70" w:type="dxa"/>
              <w:end w:w="90" w:type="dxa"/>
            </w:tcMar>
            <w:vAlign w:val="center"/>
          </w:tcPr>
          <w:p>
            <w:pPr>
              <w:spacing w:after="0"/>
            </w:pPr>
            <w:r>
              <w:rPr>
                <w:rFonts w:ascii="Arial" w:hAnsi="Arial"/>
                <w:color w:val="1B1B1C"/>
                <w:sz w:val="15"/>
              </w:rPr>
              <w:t>Inventory AI, determine role and risk, govern datasets and retain technical evidence.</w:t>
            </w:r>
          </w:p>
        </w:tc>
      </w:tr>
      <w:tr>
        <w:trPr>
          <w:cantSplit/>
        </w:trPr>
        <w:tc>
          <w:tcPr>
            <w:tcW w:type="dxa" w:w="2700"/>
            <w:tcMar>
              <w:top w:w="70" w:type="dxa"/>
              <w:start w:w="90" w:type="dxa"/>
              <w:bottom w:w="70" w:type="dxa"/>
              <w:end w:w="90" w:type="dxa"/>
            </w:tcMar>
            <w:shd w:fill="F1EFE5"/>
            <w:vAlign w:val="center"/>
          </w:tcPr>
          <w:p>
            <w:pPr>
              <w:spacing w:after="0"/>
            </w:pPr>
            <w:r>
              <w:rPr>
                <w:rFonts w:ascii="Arial" w:hAnsi="Arial"/>
                <w:b/>
                <w:color w:val="0E2530"/>
                <w:sz w:val="15"/>
              </w:rPr>
              <w:t>Data Governance Act [EU02]</w:t>
            </w:r>
          </w:p>
        </w:tc>
        <w:tc>
          <w:tcPr>
            <w:tcW w:type="dxa" w:w="3200"/>
            <w:tcMar>
              <w:top w:w="70" w:type="dxa"/>
              <w:start w:w="90" w:type="dxa"/>
              <w:bottom w:w="70" w:type="dxa"/>
              <w:end w:w="90" w:type="dxa"/>
            </w:tcMar>
            <w:shd w:fill="F1EFE5"/>
            <w:vAlign w:val="center"/>
          </w:tcPr>
          <w:p>
            <w:pPr>
              <w:spacing w:after="0"/>
            </w:pPr>
            <w:r>
              <w:rPr>
                <w:rFonts w:ascii="Arial" w:hAnsi="Arial"/>
                <w:color w:val="1B1B1C"/>
                <w:sz w:val="15"/>
              </w:rPr>
              <w:t>Rules for protected public data, intermediation and data altruism.</w:t>
            </w:r>
          </w:p>
        </w:tc>
        <w:tc>
          <w:tcPr>
            <w:tcW w:type="dxa" w:w="3400"/>
            <w:tcMar>
              <w:top w:w="70" w:type="dxa"/>
              <w:start w:w="90" w:type="dxa"/>
              <w:bottom w:w="70" w:type="dxa"/>
              <w:end w:w="90" w:type="dxa"/>
            </w:tcMar>
            <w:shd w:fill="F1EFE5"/>
            <w:vAlign w:val="center"/>
          </w:tcPr>
          <w:p>
            <w:pPr>
              <w:spacing w:after="0"/>
            </w:pPr>
            <w:r>
              <w:rPr>
                <w:rFonts w:ascii="Arial" w:hAnsi="Arial"/>
                <w:color w:val="1B1B1C"/>
                <w:sz w:val="15"/>
              </w:rPr>
              <w:t>Design trusted sharing and confirm the role of each participant.</w:t>
            </w:r>
          </w:p>
        </w:tc>
      </w:tr>
      <w:tr>
        <w:trPr>
          <w:cantSplit/>
        </w:trPr>
        <w:tc>
          <w:tcPr>
            <w:tcW w:type="dxa" w:w="2700"/>
            <w:tcMar>
              <w:top w:w="70" w:type="dxa"/>
              <w:start w:w="90" w:type="dxa"/>
              <w:bottom w:w="70" w:type="dxa"/>
              <w:end w:w="90" w:type="dxa"/>
            </w:tcMar>
            <w:vAlign w:val="center"/>
          </w:tcPr>
          <w:p>
            <w:pPr>
              <w:spacing w:after="0"/>
            </w:pPr>
            <w:r>
              <w:rPr>
                <w:rFonts w:ascii="Arial" w:hAnsi="Arial"/>
                <w:b/>
                <w:color w:val="0E2530"/>
                <w:sz w:val="15"/>
              </w:rPr>
              <w:t>Data Act [EU03]</w:t>
            </w:r>
          </w:p>
        </w:tc>
        <w:tc>
          <w:tcPr>
            <w:tcW w:type="dxa" w:w="3200"/>
            <w:tcMar>
              <w:top w:w="70" w:type="dxa"/>
              <w:start w:w="90" w:type="dxa"/>
              <w:bottom w:w="70" w:type="dxa"/>
              <w:end w:w="90" w:type="dxa"/>
            </w:tcMar>
            <w:vAlign w:val="center"/>
          </w:tcPr>
          <w:p>
            <w:pPr>
              <w:spacing w:after="0"/>
            </w:pPr>
            <w:r>
              <w:rPr>
                <w:rFonts w:ascii="Arial" w:hAnsi="Arial"/>
                <w:color w:val="1B1B1C"/>
                <w:sz w:val="15"/>
              </w:rPr>
              <w:t>Connected-product data access, sharing, switching and contract rules.</w:t>
            </w:r>
          </w:p>
        </w:tc>
        <w:tc>
          <w:tcPr>
            <w:tcW w:type="dxa" w:w="3400"/>
            <w:tcMar>
              <w:top w:w="70" w:type="dxa"/>
              <w:start w:w="90" w:type="dxa"/>
              <w:bottom w:w="70" w:type="dxa"/>
              <w:end w:w="90" w:type="dxa"/>
            </w:tcMar>
            <w:vAlign w:val="center"/>
          </w:tcPr>
          <w:p>
            <w:pPr>
              <w:spacing w:after="0"/>
            </w:pPr>
            <w:r>
              <w:rPr>
                <w:rFonts w:ascii="Arial" w:hAnsi="Arial"/>
                <w:color w:val="1B1B1C"/>
                <w:sz w:val="15"/>
              </w:rPr>
              <w:t>Address smart meter, IoT, asset, supplier and cloud data rights.</w:t>
            </w:r>
          </w:p>
        </w:tc>
      </w:tr>
      <w:tr>
        <w:trPr>
          <w:cantSplit/>
        </w:trPr>
        <w:tc>
          <w:tcPr>
            <w:tcW w:type="dxa" w:w="2700"/>
            <w:tcMar>
              <w:top w:w="70" w:type="dxa"/>
              <w:start w:w="90" w:type="dxa"/>
              <w:bottom w:w="70" w:type="dxa"/>
              <w:end w:w="90" w:type="dxa"/>
            </w:tcMar>
            <w:shd w:fill="F1EFE5"/>
            <w:vAlign w:val="center"/>
          </w:tcPr>
          <w:p>
            <w:pPr>
              <w:spacing w:after="0"/>
            </w:pPr>
            <w:r>
              <w:rPr>
                <w:rFonts w:ascii="Arial" w:hAnsi="Arial"/>
                <w:b/>
                <w:color w:val="0E2530"/>
                <w:sz w:val="15"/>
              </w:rPr>
              <w:t>General Data Protection Regulation (GDPR) [EU04]</w:t>
            </w:r>
          </w:p>
        </w:tc>
        <w:tc>
          <w:tcPr>
            <w:tcW w:type="dxa" w:w="3200"/>
            <w:tcMar>
              <w:top w:w="70" w:type="dxa"/>
              <w:start w:w="90" w:type="dxa"/>
              <w:bottom w:w="70" w:type="dxa"/>
              <w:end w:w="90" w:type="dxa"/>
            </w:tcMar>
            <w:shd w:fill="F1EFE5"/>
            <w:vAlign w:val="center"/>
          </w:tcPr>
          <w:p>
            <w:pPr>
              <w:spacing w:after="0"/>
            </w:pPr>
            <w:r>
              <w:rPr>
                <w:rFonts w:ascii="Arial" w:hAnsi="Arial"/>
                <w:color w:val="1B1B1C"/>
                <w:sz w:val="15"/>
              </w:rPr>
              <w:t>Purpose, minimization, rights, accountability and security for personal data.</w:t>
            </w:r>
          </w:p>
        </w:tc>
        <w:tc>
          <w:tcPr>
            <w:tcW w:type="dxa" w:w="3400"/>
            <w:tcMar>
              <w:top w:w="70" w:type="dxa"/>
              <w:start w:w="90" w:type="dxa"/>
              <w:bottom w:w="70" w:type="dxa"/>
              <w:end w:w="90" w:type="dxa"/>
            </w:tcMar>
            <w:shd w:fill="F1EFE5"/>
            <w:vAlign w:val="center"/>
          </w:tcPr>
          <w:p>
            <w:pPr>
              <w:spacing w:after="0"/>
            </w:pPr>
            <w:r>
              <w:rPr>
                <w:rFonts w:ascii="Arial" w:hAnsi="Arial"/>
                <w:color w:val="1B1B1C"/>
                <w:sz w:val="15"/>
              </w:rPr>
              <w:t>Govern customer, employee, usage, location and contact data.</w:t>
            </w:r>
          </w:p>
        </w:tc>
      </w:tr>
      <w:tr>
        <w:trPr>
          <w:cantSplit/>
        </w:trPr>
        <w:tc>
          <w:tcPr>
            <w:tcW w:type="dxa" w:w="2700"/>
            <w:tcMar>
              <w:top w:w="70" w:type="dxa"/>
              <w:start w:w="90" w:type="dxa"/>
              <w:bottom w:w="70" w:type="dxa"/>
              <w:end w:w="90" w:type="dxa"/>
            </w:tcMar>
            <w:vAlign w:val="center"/>
          </w:tcPr>
          <w:p>
            <w:pPr>
              <w:spacing w:after="0"/>
            </w:pPr>
            <w:r>
              <w:rPr>
                <w:rFonts w:ascii="Arial" w:hAnsi="Arial"/>
                <w:b/>
                <w:color w:val="0E2530"/>
                <w:sz w:val="15"/>
              </w:rPr>
              <w:t>NIS2 [EU05]</w:t>
            </w:r>
          </w:p>
        </w:tc>
        <w:tc>
          <w:tcPr>
            <w:tcW w:type="dxa" w:w="3200"/>
            <w:tcMar>
              <w:top w:w="70" w:type="dxa"/>
              <w:start w:w="90" w:type="dxa"/>
              <w:bottom w:w="70" w:type="dxa"/>
              <w:end w:w="90" w:type="dxa"/>
            </w:tcMar>
            <w:vAlign w:val="center"/>
          </w:tcPr>
          <w:p>
            <w:pPr>
              <w:spacing w:after="0"/>
            </w:pPr>
            <w:r>
              <w:rPr>
                <w:rFonts w:ascii="Arial" w:hAnsi="Arial"/>
                <w:color w:val="1B1B1C"/>
                <w:sz w:val="15"/>
              </w:rPr>
              <w:t>Management accountability and cyber risk for critical sectors.</w:t>
            </w:r>
          </w:p>
        </w:tc>
        <w:tc>
          <w:tcPr>
            <w:tcW w:type="dxa" w:w="3400"/>
            <w:tcMar>
              <w:top w:w="70" w:type="dxa"/>
              <w:start w:w="90" w:type="dxa"/>
              <w:bottom w:w="70" w:type="dxa"/>
              <w:end w:w="90" w:type="dxa"/>
            </w:tcMar>
            <w:vAlign w:val="center"/>
          </w:tcPr>
          <w:p>
            <w:pPr>
              <w:spacing w:after="0"/>
            </w:pPr>
            <w:r>
              <w:rPr>
                <w:rFonts w:ascii="Arial" w:hAnsi="Arial"/>
                <w:color w:val="1B1B1C"/>
                <w:sz w:val="15"/>
              </w:rPr>
              <w:t>Connect data protection and evidence to critical water and energy services.</w:t>
            </w:r>
          </w:p>
        </w:tc>
      </w:tr>
      <w:tr>
        <w:trPr>
          <w:cantSplit/>
        </w:trPr>
        <w:tc>
          <w:tcPr>
            <w:tcW w:type="dxa" w:w="2700"/>
            <w:tcMar>
              <w:top w:w="70" w:type="dxa"/>
              <w:start w:w="90" w:type="dxa"/>
              <w:bottom w:w="70" w:type="dxa"/>
              <w:end w:w="90" w:type="dxa"/>
            </w:tcMar>
            <w:shd w:fill="F1EFE5"/>
            <w:vAlign w:val="center"/>
          </w:tcPr>
          <w:p>
            <w:pPr>
              <w:spacing w:after="0"/>
            </w:pPr>
            <w:r>
              <w:rPr>
                <w:rFonts w:ascii="Arial" w:hAnsi="Arial"/>
                <w:b/>
                <w:color w:val="0E2530"/>
                <w:sz w:val="15"/>
              </w:rPr>
              <w:t>Open Data Directive [EU06]</w:t>
            </w:r>
          </w:p>
        </w:tc>
        <w:tc>
          <w:tcPr>
            <w:tcW w:type="dxa" w:w="3200"/>
            <w:tcMar>
              <w:top w:w="70" w:type="dxa"/>
              <w:start w:w="90" w:type="dxa"/>
              <w:bottom w:w="70" w:type="dxa"/>
              <w:end w:w="90" w:type="dxa"/>
            </w:tcMar>
            <w:shd w:fill="F1EFE5"/>
            <w:vAlign w:val="center"/>
          </w:tcPr>
          <w:p>
            <w:pPr>
              <w:spacing w:after="0"/>
            </w:pPr>
            <w:r>
              <w:rPr>
                <w:rFonts w:ascii="Arial" w:hAnsi="Arial"/>
                <w:color w:val="1B1B1C"/>
                <w:sz w:val="15"/>
              </w:rPr>
              <w:t>Public-sector and high-value data publication.</w:t>
            </w:r>
          </w:p>
        </w:tc>
        <w:tc>
          <w:tcPr>
            <w:tcW w:type="dxa" w:w="3400"/>
            <w:tcMar>
              <w:top w:w="70" w:type="dxa"/>
              <w:start w:w="90" w:type="dxa"/>
              <w:bottom w:w="70" w:type="dxa"/>
              <w:end w:w="90" w:type="dxa"/>
            </w:tcMar>
            <w:shd w:fill="F1EFE5"/>
            <w:vAlign w:val="center"/>
          </w:tcPr>
          <w:p>
            <w:pPr>
              <w:spacing w:after="0"/>
            </w:pPr>
            <w:r>
              <w:rPr>
                <w:rFonts w:ascii="Arial" w:hAnsi="Arial"/>
                <w:color w:val="1B1B1C"/>
                <w:sz w:val="15"/>
              </w:rPr>
              <w:t>Set open, shared or closed decisions with quality and rights evidence.</w:t>
            </w:r>
          </w:p>
        </w:tc>
      </w:tr>
      <w:tr>
        <w:trPr>
          <w:cantSplit/>
        </w:trPr>
        <w:tc>
          <w:tcPr>
            <w:tcW w:type="dxa" w:w="2700"/>
            <w:tcMar>
              <w:top w:w="70" w:type="dxa"/>
              <w:start w:w="90" w:type="dxa"/>
              <w:bottom w:w="70" w:type="dxa"/>
              <w:end w:w="90" w:type="dxa"/>
            </w:tcMar>
            <w:vAlign w:val="center"/>
          </w:tcPr>
          <w:p>
            <w:pPr>
              <w:spacing w:after="0"/>
            </w:pPr>
            <w:r>
              <w:rPr>
                <w:rFonts w:ascii="Arial" w:hAnsi="Arial"/>
                <w:b/>
                <w:color w:val="0E2530"/>
                <w:sz w:val="15"/>
              </w:rPr>
              <w:t>AI Continent, Apply AI and Data Union strategies [EU07-EU09]</w:t>
            </w:r>
          </w:p>
        </w:tc>
        <w:tc>
          <w:tcPr>
            <w:tcW w:type="dxa" w:w="3200"/>
            <w:tcMar>
              <w:top w:w="70" w:type="dxa"/>
              <w:start w:w="90" w:type="dxa"/>
              <w:bottom w:w="70" w:type="dxa"/>
              <w:end w:w="90" w:type="dxa"/>
            </w:tcMar>
            <w:vAlign w:val="center"/>
          </w:tcPr>
          <w:p>
            <w:pPr>
              <w:spacing w:after="0"/>
            </w:pPr>
            <w:r>
              <w:rPr>
                <w:rFonts w:ascii="Arial" w:hAnsi="Arial"/>
                <w:color w:val="1B1B1C"/>
                <w:sz w:val="15"/>
              </w:rPr>
              <w:t>Infrastructure, adoption and data-space direction.</w:t>
            </w:r>
          </w:p>
        </w:tc>
        <w:tc>
          <w:tcPr>
            <w:tcW w:type="dxa" w:w="3400"/>
            <w:tcMar>
              <w:top w:w="70" w:type="dxa"/>
              <w:start w:w="90" w:type="dxa"/>
              <w:bottom w:w="70" w:type="dxa"/>
              <w:end w:w="90" w:type="dxa"/>
            </w:tcMar>
            <w:vAlign w:val="center"/>
          </w:tcPr>
          <w:p>
            <w:pPr>
              <w:spacing w:after="0"/>
            </w:pPr>
            <w:r>
              <w:rPr>
                <w:rFonts w:ascii="Arial" w:hAnsi="Arial"/>
                <w:color w:val="1B1B1C"/>
                <w:sz w:val="15"/>
              </w:rPr>
              <w:t>Track policy signals separately from binding control requirements.</w:t>
            </w:r>
          </w:p>
        </w:tc>
      </w:tr>
    </w:tbl>
    <w:p>
      <w:pPr>
        <w:spacing w:after="0"/>
      </w:pPr>
    </w:p>
    <w:p>
      <w:pPr>
        <w:pStyle w:val="Heading2"/>
      </w:pPr>
      <w:r>
        <w:t>Representative global watchlist</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2455"/>
        <w:gridCol w:w="2455"/>
        <w:gridCol w:w="2455"/>
        <w:gridCol w:w="2455"/>
      </w:tblGrid>
      <w:tr>
        <w:trPr>
          <w:tblHeader w:val="true"/>
          <w:cantSplit/>
        </w:trPr>
        <w:tc>
          <w:tcPr>
            <w:tcW w:type="dxa" w:w="1700"/>
            <w:tcMar>
              <w:top w:w="75" w:type="dxa"/>
              <w:start w:w="90" w:type="dxa"/>
              <w:bottom w:w="75" w:type="dxa"/>
              <w:end w:w="90" w:type="dxa"/>
            </w:tcMar>
            <w:shd w:fill="1B1B1C"/>
          </w:tcPr>
          <w:p>
            <w:pPr>
              <w:spacing w:after="0"/>
            </w:pPr>
            <w:r>
              <w:rPr>
                <w:rFonts w:ascii="Arial" w:hAnsi="Arial"/>
                <w:b/>
                <w:color w:val="FFFFFF"/>
                <w:sz w:val="14"/>
              </w:rPr>
              <w:t>Jurisdiction</w:t>
            </w:r>
          </w:p>
        </w:tc>
        <w:tc>
          <w:tcPr>
            <w:tcW w:type="dxa" w:w="3500"/>
            <w:tcMar>
              <w:top w:w="75" w:type="dxa"/>
              <w:start w:w="90" w:type="dxa"/>
              <w:bottom w:w="75" w:type="dxa"/>
              <w:end w:w="90" w:type="dxa"/>
            </w:tcMar>
            <w:shd w:fill="1B1B1C"/>
          </w:tcPr>
          <w:p>
            <w:pPr>
              <w:spacing w:after="0"/>
            </w:pPr>
            <w:r>
              <w:rPr>
                <w:rFonts w:ascii="Arial" w:hAnsi="Arial"/>
                <w:b/>
                <w:color w:val="FFFFFF"/>
                <w:sz w:val="14"/>
              </w:rPr>
              <w:t>Source</w:t>
            </w:r>
          </w:p>
        </w:tc>
        <w:tc>
          <w:tcPr>
            <w:tcW w:type="dxa" w:w="1600"/>
            <w:tcMar>
              <w:top w:w="75" w:type="dxa"/>
              <w:start w:w="90" w:type="dxa"/>
              <w:bottom w:w="75" w:type="dxa"/>
              <w:end w:w="90" w:type="dxa"/>
            </w:tcMar>
            <w:shd w:fill="1B1B1C"/>
          </w:tcPr>
          <w:p>
            <w:pPr>
              <w:spacing w:after="0"/>
            </w:pPr>
            <w:r>
              <w:rPr>
                <w:rFonts w:ascii="Arial" w:hAnsi="Arial"/>
                <w:b/>
                <w:color w:val="FFFFFF"/>
                <w:sz w:val="14"/>
              </w:rPr>
              <w:t>Status</w:t>
            </w:r>
          </w:p>
        </w:tc>
        <w:tc>
          <w:tcPr>
            <w:tcW w:type="dxa" w:w="2500"/>
            <w:tcMar>
              <w:top w:w="75" w:type="dxa"/>
              <w:start w:w="90" w:type="dxa"/>
              <w:bottom w:w="75" w:type="dxa"/>
              <w:end w:w="90" w:type="dxa"/>
            </w:tcMar>
            <w:shd w:fill="1B1B1C"/>
          </w:tcPr>
          <w:p>
            <w:pPr>
              <w:spacing w:after="0"/>
            </w:pPr>
            <w:r>
              <w:rPr>
                <w:rFonts w:ascii="Arial" w:hAnsi="Arial"/>
                <w:b/>
                <w:color w:val="FFFFFF"/>
                <w:sz w:val="14"/>
              </w:rPr>
              <w:t>Assessment use</w:t>
            </w:r>
          </w:p>
        </w:tc>
      </w:tr>
      <w:tr>
        <w:trPr>
          <w:cantSplit/>
        </w:trPr>
        <w:tc>
          <w:tcPr>
            <w:tcW w:type="dxa" w:w="1700"/>
            <w:tcMar>
              <w:top w:w="70" w:type="dxa"/>
              <w:start w:w="90" w:type="dxa"/>
              <w:bottom w:w="70" w:type="dxa"/>
              <w:end w:w="90" w:type="dxa"/>
            </w:tcMar>
            <w:vAlign w:val="center"/>
          </w:tcPr>
          <w:p>
            <w:pPr>
              <w:spacing w:after="0"/>
            </w:pPr>
            <w:r>
              <w:rPr>
                <w:rFonts w:ascii="Arial" w:hAnsi="Arial"/>
                <w:b/>
                <w:color w:val="0E2530"/>
                <w:sz w:val="14"/>
              </w:rPr>
              <w:t>United Kingdom</w:t>
            </w:r>
          </w:p>
        </w:tc>
        <w:tc>
          <w:tcPr>
            <w:tcW w:type="dxa" w:w="3500"/>
            <w:tcMar>
              <w:top w:w="70" w:type="dxa"/>
              <w:start w:w="90" w:type="dxa"/>
              <w:bottom w:w="70" w:type="dxa"/>
              <w:end w:w="90" w:type="dxa"/>
            </w:tcMar>
            <w:vAlign w:val="center"/>
          </w:tcPr>
          <w:p>
            <w:pPr>
              <w:spacing w:after="0"/>
            </w:pPr>
            <w:r>
              <w:rPr>
                <w:rFonts w:ascii="Arial" w:hAnsi="Arial"/>
                <w:color w:val="1B1B1C"/>
                <w:sz w:val="14"/>
              </w:rPr>
              <w:t>Data (Use and Access) Act 2025</w:t>
            </w:r>
          </w:p>
        </w:tc>
        <w:tc>
          <w:tcPr>
            <w:tcW w:type="dxa" w:w="1600"/>
            <w:tcMar>
              <w:top w:w="70" w:type="dxa"/>
              <w:start w:w="90" w:type="dxa"/>
              <w:bottom w:w="70" w:type="dxa"/>
              <w:end w:w="90" w:type="dxa"/>
            </w:tcMar>
            <w:vAlign w:val="center"/>
          </w:tcPr>
          <w:p>
            <w:pPr>
              <w:spacing w:after="0"/>
            </w:pPr>
            <w:r>
              <w:rPr>
                <w:rFonts w:ascii="Arial" w:hAnsi="Arial"/>
                <w:color w:val="1B1B1C"/>
                <w:sz w:val="14"/>
              </w:rPr>
              <w:t>Royal Assent 19 Jun 2025; phased commencement</w:t>
            </w:r>
          </w:p>
        </w:tc>
        <w:tc>
          <w:tcPr>
            <w:tcW w:type="dxa" w:w="2500"/>
            <w:tcMar>
              <w:top w:w="70" w:type="dxa"/>
              <w:start w:w="90" w:type="dxa"/>
              <w:bottom w:w="70" w:type="dxa"/>
              <w:end w:w="90" w:type="dxa"/>
            </w:tcMar>
            <w:vAlign w:val="center"/>
          </w:tcPr>
          <w:p>
            <w:pPr>
              <w:spacing w:after="0"/>
            </w:pPr>
            <w:r>
              <w:rPr>
                <w:rFonts w:ascii="Arial" w:hAnsi="Arial"/>
                <w:color w:val="1B1B1C"/>
                <w:sz w:val="14"/>
              </w:rPr>
              <w:t>Smart Data, UK data-protection reform and underground asset register</w:t>
            </w:r>
          </w:p>
        </w:tc>
      </w:tr>
      <w:tr>
        <w:trPr>
          <w:cantSplit/>
        </w:trPr>
        <w:tc>
          <w:tcPr>
            <w:tcW w:type="dxa" w:w="1700"/>
            <w:tcMar>
              <w:top w:w="70" w:type="dxa"/>
              <w:start w:w="90" w:type="dxa"/>
              <w:bottom w:w="70" w:type="dxa"/>
              <w:end w:w="90" w:type="dxa"/>
            </w:tcMar>
            <w:shd w:fill="F1EFE5"/>
            <w:vAlign w:val="center"/>
          </w:tcPr>
          <w:p>
            <w:pPr>
              <w:spacing w:after="0"/>
            </w:pPr>
            <w:r>
              <w:rPr>
                <w:rFonts w:ascii="Arial" w:hAnsi="Arial"/>
                <w:b/>
                <w:color w:val="0E2530"/>
                <w:sz w:val="14"/>
              </w:rPr>
              <w:t>Canada</w:t>
            </w:r>
          </w:p>
        </w:tc>
        <w:tc>
          <w:tcPr>
            <w:tcW w:type="dxa" w:w="3500"/>
            <w:tcMar>
              <w:top w:w="70" w:type="dxa"/>
              <w:start w:w="90" w:type="dxa"/>
              <w:bottom w:w="70" w:type="dxa"/>
              <w:end w:w="90" w:type="dxa"/>
            </w:tcMar>
            <w:shd w:fill="F1EFE5"/>
            <w:vAlign w:val="center"/>
          </w:tcPr>
          <w:p>
            <w:pPr>
              <w:spacing w:after="0"/>
            </w:pPr>
            <w:r>
              <w:rPr>
                <w:rFonts w:ascii="Arial" w:hAnsi="Arial"/>
                <w:color w:val="1B1B1C"/>
                <w:sz w:val="14"/>
              </w:rPr>
              <w:t>Directive on Automated Decision-Making + Algorithmic Impact Assessment</w:t>
            </w:r>
          </w:p>
        </w:tc>
        <w:tc>
          <w:tcPr>
            <w:tcW w:type="dxa" w:w="1600"/>
            <w:tcMar>
              <w:top w:w="70" w:type="dxa"/>
              <w:start w:w="90" w:type="dxa"/>
              <w:bottom w:w="70" w:type="dxa"/>
              <w:end w:w="90" w:type="dxa"/>
            </w:tcMar>
            <w:shd w:fill="F1EFE5"/>
            <w:vAlign w:val="center"/>
          </w:tcPr>
          <w:p>
            <w:pPr>
              <w:spacing w:after="0"/>
            </w:pPr>
            <w:r>
              <w:rPr>
                <w:rFonts w:ascii="Arial" w:hAnsi="Arial"/>
                <w:color w:val="1B1B1C"/>
                <w:sz w:val="14"/>
              </w:rPr>
              <w:t>Current</w:t>
            </w:r>
          </w:p>
        </w:tc>
        <w:tc>
          <w:tcPr>
            <w:tcW w:type="dxa" w:w="2500"/>
            <w:tcMar>
              <w:top w:w="70" w:type="dxa"/>
              <w:start w:w="90" w:type="dxa"/>
              <w:bottom w:w="70" w:type="dxa"/>
              <w:end w:w="90" w:type="dxa"/>
            </w:tcMar>
            <w:shd w:fill="F1EFE5"/>
            <w:vAlign w:val="center"/>
          </w:tcPr>
          <w:p>
            <w:pPr>
              <w:spacing w:after="0"/>
            </w:pPr>
            <w:r>
              <w:rPr>
                <w:rFonts w:ascii="Arial" w:hAnsi="Arial"/>
                <w:color w:val="1B1B1C"/>
                <w:sz w:val="14"/>
              </w:rPr>
              <w:t>Mandatory impact assessment for covered federal automated decisions</w:t>
            </w:r>
          </w:p>
        </w:tc>
      </w:tr>
      <w:tr>
        <w:trPr>
          <w:cantSplit/>
        </w:trPr>
        <w:tc>
          <w:tcPr>
            <w:tcW w:type="dxa" w:w="1700"/>
            <w:tcMar>
              <w:top w:w="70" w:type="dxa"/>
              <w:start w:w="90" w:type="dxa"/>
              <w:bottom w:w="70" w:type="dxa"/>
              <w:end w:w="90" w:type="dxa"/>
            </w:tcMar>
            <w:vAlign w:val="center"/>
          </w:tcPr>
          <w:p>
            <w:pPr>
              <w:spacing w:after="0"/>
            </w:pPr>
            <w:r>
              <w:rPr>
                <w:rFonts w:ascii="Arial" w:hAnsi="Arial"/>
                <w:b/>
                <w:color w:val="0E2530"/>
                <w:sz w:val="14"/>
              </w:rPr>
              <w:t>Canada</w:t>
            </w:r>
          </w:p>
        </w:tc>
        <w:tc>
          <w:tcPr>
            <w:tcW w:type="dxa" w:w="3500"/>
            <w:tcMar>
              <w:top w:w="70" w:type="dxa"/>
              <w:start w:w="90" w:type="dxa"/>
              <w:bottom w:w="70" w:type="dxa"/>
              <w:end w:w="90" w:type="dxa"/>
            </w:tcMar>
            <w:vAlign w:val="center"/>
          </w:tcPr>
          <w:p>
            <w:pPr>
              <w:spacing w:after="0"/>
            </w:pPr>
            <w:r>
              <w:rPr>
                <w:rFonts w:ascii="Arial" w:hAnsi="Arial"/>
                <w:color w:val="1B1B1C"/>
                <w:sz w:val="14"/>
              </w:rPr>
              <w:t>2023-2026 Data Strategy for the Federal Public Service</w:t>
            </w:r>
          </w:p>
        </w:tc>
        <w:tc>
          <w:tcPr>
            <w:tcW w:type="dxa" w:w="1600"/>
            <w:tcMar>
              <w:top w:w="70" w:type="dxa"/>
              <w:start w:w="90" w:type="dxa"/>
              <w:bottom w:w="70" w:type="dxa"/>
              <w:end w:w="90" w:type="dxa"/>
            </w:tcMar>
            <w:vAlign w:val="center"/>
          </w:tcPr>
          <w:p>
            <w:pPr>
              <w:spacing w:after="0"/>
            </w:pPr>
            <w:r>
              <w:rPr>
                <w:rFonts w:ascii="Arial" w:hAnsi="Arial"/>
                <w:color w:val="1B1B1C"/>
                <w:sz w:val="14"/>
              </w:rPr>
              <w:t>Current strategy</w:t>
            </w:r>
          </w:p>
        </w:tc>
        <w:tc>
          <w:tcPr>
            <w:tcW w:type="dxa" w:w="2500"/>
            <w:tcMar>
              <w:top w:w="70" w:type="dxa"/>
              <w:start w:w="90" w:type="dxa"/>
              <w:bottom w:w="70" w:type="dxa"/>
              <w:end w:w="90" w:type="dxa"/>
            </w:tcMar>
            <w:vAlign w:val="center"/>
          </w:tcPr>
          <w:p>
            <w:pPr>
              <w:spacing w:after="0"/>
            </w:pPr>
            <w:r>
              <w:rPr>
                <w:rFonts w:ascii="Arial" w:hAnsi="Arial"/>
                <w:color w:val="1B1B1C"/>
                <w:sz w:val="14"/>
              </w:rPr>
              <w:t>Data stewardship, standards, skills and service outcomes</w:t>
            </w:r>
          </w:p>
        </w:tc>
      </w:tr>
      <w:tr>
        <w:trPr>
          <w:cantSplit/>
        </w:trPr>
        <w:tc>
          <w:tcPr>
            <w:tcW w:type="dxa" w:w="1700"/>
            <w:tcMar>
              <w:top w:w="70" w:type="dxa"/>
              <w:start w:w="90" w:type="dxa"/>
              <w:bottom w:w="70" w:type="dxa"/>
              <w:end w:w="90" w:type="dxa"/>
            </w:tcMar>
            <w:shd w:fill="F1EFE5"/>
            <w:vAlign w:val="center"/>
          </w:tcPr>
          <w:p>
            <w:pPr>
              <w:spacing w:after="0"/>
            </w:pPr>
            <w:r>
              <w:rPr>
                <w:rFonts w:ascii="Arial" w:hAnsi="Arial"/>
                <w:b/>
                <w:color w:val="0E2530"/>
                <w:sz w:val="14"/>
              </w:rPr>
              <w:t>Australia</w:t>
            </w:r>
          </w:p>
        </w:tc>
        <w:tc>
          <w:tcPr>
            <w:tcW w:type="dxa" w:w="3500"/>
            <w:tcMar>
              <w:top w:w="70" w:type="dxa"/>
              <w:start w:w="90" w:type="dxa"/>
              <w:bottom w:w="70" w:type="dxa"/>
              <w:end w:w="90" w:type="dxa"/>
            </w:tcMar>
            <w:shd w:fill="F1EFE5"/>
            <w:vAlign w:val="center"/>
          </w:tcPr>
          <w:p>
            <w:pPr>
              <w:spacing w:after="0"/>
            </w:pPr>
            <w:r>
              <w:rPr>
                <w:rFonts w:ascii="Arial" w:hAnsi="Arial"/>
                <w:color w:val="1B1B1C"/>
                <w:sz w:val="14"/>
              </w:rPr>
              <w:t>Policy for responsible use of AI in government v2.0</w:t>
            </w:r>
          </w:p>
        </w:tc>
        <w:tc>
          <w:tcPr>
            <w:tcW w:type="dxa" w:w="1600"/>
            <w:tcMar>
              <w:top w:w="70" w:type="dxa"/>
              <w:start w:w="90" w:type="dxa"/>
              <w:bottom w:w="70" w:type="dxa"/>
              <w:end w:w="90" w:type="dxa"/>
            </w:tcMar>
            <w:shd w:fill="F1EFE5"/>
            <w:vAlign w:val="center"/>
          </w:tcPr>
          <w:p>
            <w:pPr>
              <w:spacing w:after="0"/>
            </w:pPr>
            <w:r>
              <w:rPr>
                <w:rFonts w:ascii="Arial" w:hAnsi="Arial"/>
                <w:color w:val="1B1B1C"/>
                <w:sz w:val="14"/>
              </w:rPr>
              <w:t>Effective 15 Dec 2025</w:t>
            </w:r>
          </w:p>
        </w:tc>
        <w:tc>
          <w:tcPr>
            <w:tcW w:type="dxa" w:w="2500"/>
            <w:tcMar>
              <w:top w:w="70" w:type="dxa"/>
              <w:start w:w="90" w:type="dxa"/>
              <w:bottom w:w="70" w:type="dxa"/>
              <w:end w:w="90" w:type="dxa"/>
            </w:tcMar>
            <w:shd w:fill="F1EFE5"/>
            <w:vAlign w:val="center"/>
          </w:tcPr>
          <w:p>
            <w:pPr>
              <w:spacing w:after="0"/>
            </w:pPr>
            <w:r>
              <w:rPr>
                <w:rFonts w:ascii="Arial" w:hAnsi="Arial"/>
                <w:color w:val="1B1B1C"/>
                <w:sz w:val="14"/>
              </w:rPr>
              <w:t>Accountable officials, use-case statements and risk controls</w:t>
            </w:r>
          </w:p>
        </w:tc>
      </w:tr>
      <w:tr>
        <w:trPr>
          <w:cantSplit/>
        </w:trPr>
        <w:tc>
          <w:tcPr>
            <w:tcW w:type="dxa" w:w="1700"/>
            <w:tcMar>
              <w:top w:w="70" w:type="dxa"/>
              <w:start w:w="90" w:type="dxa"/>
              <w:bottom w:w="70" w:type="dxa"/>
              <w:end w:w="90" w:type="dxa"/>
            </w:tcMar>
            <w:vAlign w:val="center"/>
          </w:tcPr>
          <w:p>
            <w:pPr>
              <w:spacing w:after="0"/>
            </w:pPr>
            <w:r>
              <w:rPr>
                <w:rFonts w:ascii="Arial" w:hAnsi="Arial"/>
                <w:b/>
                <w:color w:val="0E2530"/>
                <w:sz w:val="14"/>
              </w:rPr>
              <w:t>Australia</w:t>
            </w:r>
          </w:p>
        </w:tc>
        <w:tc>
          <w:tcPr>
            <w:tcW w:type="dxa" w:w="3500"/>
            <w:tcMar>
              <w:top w:w="70" w:type="dxa"/>
              <w:start w:w="90" w:type="dxa"/>
              <w:bottom w:w="70" w:type="dxa"/>
              <w:end w:w="90" w:type="dxa"/>
            </w:tcMar>
            <w:vAlign w:val="center"/>
          </w:tcPr>
          <w:p>
            <w:pPr>
              <w:spacing w:after="0"/>
            </w:pPr>
            <w:r>
              <w:rPr>
                <w:rFonts w:ascii="Arial" w:hAnsi="Arial"/>
                <w:color w:val="1B1B1C"/>
                <w:sz w:val="14"/>
              </w:rPr>
              <w:t>Australian Government Data Governance Framework</w:t>
            </w:r>
          </w:p>
        </w:tc>
        <w:tc>
          <w:tcPr>
            <w:tcW w:type="dxa" w:w="1600"/>
            <w:tcMar>
              <w:top w:w="70" w:type="dxa"/>
              <w:start w:w="90" w:type="dxa"/>
              <w:bottom w:w="70" w:type="dxa"/>
              <w:end w:w="90" w:type="dxa"/>
            </w:tcMar>
            <w:vAlign w:val="center"/>
          </w:tcPr>
          <w:p>
            <w:pPr>
              <w:spacing w:after="0"/>
            </w:pPr>
            <w:r>
              <w:rPr>
                <w:rFonts w:ascii="Arial" w:hAnsi="Arial"/>
                <w:color w:val="1B1B1C"/>
                <w:sz w:val="14"/>
              </w:rPr>
              <w:t>Published 2025</w:t>
            </w:r>
          </w:p>
        </w:tc>
        <w:tc>
          <w:tcPr>
            <w:tcW w:type="dxa" w:w="2500"/>
            <w:tcMar>
              <w:top w:w="70" w:type="dxa"/>
              <w:start w:w="90" w:type="dxa"/>
              <w:bottom w:w="70" w:type="dxa"/>
              <w:end w:w="90" w:type="dxa"/>
            </w:tcMar>
            <w:vAlign w:val="center"/>
          </w:tcPr>
          <w:p>
            <w:pPr>
              <w:spacing w:after="0"/>
            </w:pPr>
            <w:r>
              <w:rPr>
                <w:rFonts w:ascii="Arial" w:hAnsi="Arial"/>
                <w:color w:val="1B1B1C"/>
                <w:sz w:val="14"/>
              </w:rPr>
              <w:t>Accountability and consistent government data practice</w:t>
            </w:r>
          </w:p>
        </w:tc>
      </w:tr>
      <w:tr>
        <w:trPr>
          <w:cantSplit/>
        </w:trPr>
        <w:tc>
          <w:tcPr>
            <w:tcW w:type="dxa" w:w="1700"/>
            <w:tcMar>
              <w:top w:w="70" w:type="dxa"/>
              <w:start w:w="90" w:type="dxa"/>
              <w:bottom w:w="70" w:type="dxa"/>
              <w:end w:w="90" w:type="dxa"/>
            </w:tcMar>
            <w:shd w:fill="F1EFE5"/>
            <w:vAlign w:val="center"/>
          </w:tcPr>
          <w:p>
            <w:pPr>
              <w:spacing w:after="0"/>
            </w:pPr>
            <w:r>
              <w:rPr>
                <w:rFonts w:ascii="Arial" w:hAnsi="Arial"/>
                <w:b/>
                <w:color w:val="0E2530"/>
                <w:sz w:val="14"/>
              </w:rPr>
              <w:t>Japan</w:t>
            </w:r>
          </w:p>
        </w:tc>
        <w:tc>
          <w:tcPr>
            <w:tcW w:type="dxa" w:w="3500"/>
            <w:tcMar>
              <w:top w:w="70" w:type="dxa"/>
              <w:start w:w="90" w:type="dxa"/>
              <w:bottom w:w="70" w:type="dxa"/>
              <w:end w:w="90" w:type="dxa"/>
            </w:tcMar>
            <w:shd w:fill="F1EFE5"/>
            <w:vAlign w:val="center"/>
          </w:tcPr>
          <w:p>
            <w:pPr>
              <w:spacing w:after="0"/>
            </w:pPr>
            <w:r>
              <w:rPr>
                <w:rFonts w:ascii="Arial" w:hAnsi="Arial"/>
                <w:color w:val="1B1B1C"/>
                <w:sz w:val="14"/>
              </w:rPr>
              <w:t>AI Guidelines for Business v1.0</w:t>
            </w:r>
          </w:p>
        </w:tc>
        <w:tc>
          <w:tcPr>
            <w:tcW w:type="dxa" w:w="1600"/>
            <w:tcMar>
              <w:top w:w="70" w:type="dxa"/>
              <w:start w:w="90" w:type="dxa"/>
              <w:bottom w:w="70" w:type="dxa"/>
              <w:end w:w="90" w:type="dxa"/>
            </w:tcMar>
            <w:shd w:fill="F1EFE5"/>
            <w:vAlign w:val="center"/>
          </w:tcPr>
          <w:p>
            <w:pPr>
              <w:spacing w:after="0"/>
            </w:pPr>
            <w:r>
              <w:rPr>
                <w:rFonts w:ascii="Arial" w:hAnsi="Arial"/>
                <w:color w:val="1B1B1C"/>
                <w:sz w:val="14"/>
              </w:rPr>
              <w:t>Published Apr 2024</w:t>
            </w:r>
          </w:p>
        </w:tc>
        <w:tc>
          <w:tcPr>
            <w:tcW w:type="dxa" w:w="2500"/>
            <w:tcMar>
              <w:top w:w="70" w:type="dxa"/>
              <w:start w:w="90" w:type="dxa"/>
              <w:bottom w:w="70" w:type="dxa"/>
              <w:end w:w="90" w:type="dxa"/>
            </w:tcMar>
            <w:shd w:fill="F1EFE5"/>
            <w:vAlign w:val="center"/>
          </w:tcPr>
          <w:p>
            <w:pPr>
              <w:spacing w:after="0"/>
            </w:pPr>
            <w:r>
              <w:rPr>
                <w:rFonts w:ascii="Arial" w:hAnsi="Arial"/>
                <w:color w:val="1B1B1C"/>
                <w:sz w:val="14"/>
              </w:rPr>
              <w:t>Risk-based AI governance for providers and users</w:t>
            </w:r>
          </w:p>
        </w:tc>
      </w:tr>
      <w:tr>
        <w:trPr>
          <w:cantSplit/>
        </w:trPr>
        <w:tc>
          <w:tcPr>
            <w:tcW w:type="dxa" w:w="1700"/>
            <w:tcMar>
              <w:top w:w="70" w:type="dxa"/>
              <w:start w:w="90" w:type="dxa"/>
              <w:bottom w:w="70" w:type="dxa"/>
              <w:end w:w="90" w:type="dxa"/>
            </w:tcMar>
            <w:vAlign w:val="center"/>
          </w:tcPr>
          <w:p>
            <w:pPr>
              <w:spacing w:after="0"/>
            </w:pPr>
            <w:r>
              <w:rPr>
                <w:rFonts w:ascii="Arial" w:hAnsi="Arial"/>
                <w:b/>
                <w:color w:val="0E2530"/>
                <w:sz w:val="14"/>
              </w:rPr>
              <w:t>Republic of Korea</w:t>
            </w:r>
          </w:p>
        </w:tc>
        <w:tc>
          <w:tcPr>
            <w:tcW w:type="dxa" w:w="3500"/>
            <w:tcMar>
              <w:top w:w="70" w:type="dxa"/>
              <w:start w:w="90" w:type="dxa"/>
              <w:bottom w:w="70" w:type="dxa"/>
              <w:end w:w="90" w:type="dxa"/>
            </w:tcMar>
            <w:vAlign w:val="center"/>
          </w:tcPr>
          <w:p>
            <w:pPr>
              <w:spacing w:after="0"/>
            </w:pPr>
            <w:r>
              <w:rPr>
                <w:rFonts w:ascii="Arial" w:hAnsi="Arial"/>
                <w:color w:val="1B1B1C"/>
                <w:sz w:val="14"/>
              </w:rPr>
              <w:t>Framework Act on the Development of AI and Establishment of Trust</w:t>
            </w:r>
          </w:p>
        </w:tc>
        <w:tc>
          <w:tcPr>
            <w:tcW w:type="dxa" w:w="1600"/>
            <w:tcMar>
              <w:top w:w="70" w:type="dxa"/>
              <w:start w:w="90" w:type="dxa"/>
              <w:bottom w:w="70" w:type="dxa"/>
              <w:end w:w="90" w:type="dxa"/>
            </w:tcMar>
            <w:vAlign w:val="center"/>
          </w:tcPr>
          <w:p>
            <w:pPr>
              <w:spacing w:after="0"/>
            </w:pPr>
            <w:r>
              <w:rPr>
                <w:rFonts w:ascii="Arial" w:hAnsi="Arial"/>
                <w:color w:val="1B1B1C"/>
                <w:sz w:val="14"/>
              </w:rPr>
              <w:t>Effective Jan 2026</w:t>
            </w:r>
          </w:p>
        </w:tc>
        <w:tc>
          <w:tcPr>
            <w:tcW w:type="dxa" w:w="2500"/>
            <w:tcMar>
              <w:top w:w="70" w:type="dxa"/>
              <w:start w:w="90" w:type="dxa"/>
              <w:bottom w:w="70" w:type="dxa"/>
              <w:end w:w="90" w:type="dxa"/>
            </w:tcMar>
            <w:vAlign w:val="center"/>
          </w:tcPr>
          <w:p>
            <w:pPr>
              <w:spacing w:after="0"/>
            </w:pPr>
            <w:r>
              <w:rPr>
                <w:rFonts w:ascii="Arial" w:hAnsi="Arial"/>
                <w:color w:val="1B1B1C"/>
                <w:sz w:val="14"/>
              </w:rPr>
              <w:t>AI governance, high-impact AI and transparency</w:t>
            </w:r>
          </w:p>
        </w:tc>
      </w:tr>
      <w:tr>
        <w:trPr>
          <w:cantSplit/>
        </w:trPr>
        <w:tc>
          <w:tcPr>
            <w:tcW w:type="dxa" w:w="1700"/>
            <w:tcMar>
              <w:top w:w="70" w:type="dxa"/>
              <w:start w:w="90" w:type="dxa"/>
              <w:bottom w:w="70" w:type="dxa"/>
              <w:end w:w="90" w:type="dxa"/>
            </w:tcMar>
            <w:shd w:fill="F1EFE5"/>
            <w:vAlign w:val="center"/>
          </w:tcPr>
          <w:p>
            <w:pPr>
              <w:spacing w:after="0"/>
            </w:pPr>
            <w:r>
              <w:rPr>
                <w:rFonts w:ascii="Arial" w:hAnsi="Arial"/>
                <w:b/>
                <w:color w:val="0E2530"/>
                <w:sz w:val="14"/>
              </w:rPr>
              <w:t>Singapore</w:t>
            </w:r>
          </w:p>
        </w:tc>
        <w:tc>
          <w:tcPr>
            <w:tcW w:type="dxa" w:w="3500"/>
            <w:tcMar>
              <w:top w:w="70" w:type="dxa"/>
              <w:start w:w="90" w:type="dxa"/>
              <w:bottom w:w="70" w:type="dxa"/>
              <w:end w:w="90" w:type="dxa"/>
            </w:tcMar>
            <w:shd w:fill="F1EFE5"/>
            <w:vAlign w:val="center"/>
          </w:tcPr>
          <w:p>
            <w:pPr>
              <w:spacing w:after="0"/>
            </w:pPr>
            <w:r>
              <w:rPr>
                <w:rFonts w:ascii="Arial" w:hAnsi="Arial"/>
                <w:color w:val="1B1B1C"/>
                <w:sz w:val="14"/>
              </w:rPr>
              <w:t>Public Sector (Governance) Act 2018</w:t>
            </w:r>
          </w:p>
        </w:tc>
        <w:tc>
          <w:tcPr>
            <w:tcW w:type="dxa" w:w="1600"/>
            <w:tcMar>
              <w:top w:w="70" w:type="dxa"/>
              <w:start w:w="90" w:type="dxa"/>
              <w:bottom w:w="70" w:type="dxa"/>
              <w:end w:w="90" w:type="dxa"/>
            </w:tcMar>
            <w:shd w:fill="F1EFE5"/>
            <w:vAlign w:val="center"/>
          </w:tcPr>
          <w:p>
            <w:pPr>
              <w:spacing w:after="0"/>
            </w:pPr>
            <w:r>
              <w:rPr>
                <w:rFonts w:ascii="Arial" w:hAnsi="Arial"/>
                <w:color w:val="1B1B1C"/>
                <w:sz w:val="14"/>
              </w:rPr>
              <w:t>In force</w:t>
            </w:r>
          </w:p>
        </w:tc>
        <w:tc>
          <w:tcPr>
            <w:tcW w:type="dxa" w:w="2500"/>
            <w:tcMar>
              <w:top w:w="70" w:type="dxa"/>
              <w:start w:w="90" w:type="dxa"/>
              <w:bottom w:w="70" w:type="dxa"/>
              <w:end w:w="90" w:type="dxa"/>
            </w:tcMar>
            <w:shd w:fill="F1EFE5"/>
            <w:vAlign w:val="center"/>
          </w:tcPr>
          <w:p>
            <w:pPr>
              <w:spacing w:after="0"/>
            </w:pPr>
            <w:r>
              <w:rPr>
                <w:rFonts w:ascii="Arial" w:hAnsi="Arial"/>
                <w:color w:val="1B1B1C"/>
                <w:sz w:val="14"/>
              </w:rPr>
              <w:t>Public-sector data sharing and governance</w:t>
            </w:r>
          </w:p>
        </w:tc>
      </w:tr>
      <w:tr>
        <w:trPr>
          <w:cantSplit/>
        </w:trPr>
        <w:tc>
          <w:tcPr>
            <w:tcW w:type="dxa" w:w="1700"/>
            <w:tcMar>
              <w:top w:w="70" w:type="dxa"/>
              <w:start w:w="90" w:type="dxa"/>
              <w:bottom w:w="70" w:type="dxa"/>
              <w:end w:w="90" w:type="dxa"/>
            </w:tcMar>
            <w:vAlign w:val="center"/>
          </w:tcPr>
          <w:p>
            <w:pPr>
              <w:spacing w:after="0"/>
            </w:pPr>
            <w:r>
              <w:rPr>
                <w:rFonts w:ascii="Arial" w:hAnsi="Arial"/>
                <w:b/>
                <w:color w:val="0E2530"/>
                <w:sz w:val="14"/>
              </w:rPr>
              <w:t>Singapore / IMDA</w:t>
            </w:r>
          </w:p>
        </w:tc>
        <w:tc>
          <w:tcPr>
            <w:tcW w:type="dxa" w:w="3500"/>
            <w:tcMar>
              <w:top w:w="70" w:type="dxa"/>
              <w:start w:w="90" w:type="dxa"/>
              <w:bottom w:w="70" w:type="dxa"/>
              <w:end w:w="90" w:type="dxa"/>
            </w:tcMar>
            <w:vAlign w:val="center"/>
          </w:tcPr>
          <w:p>
            <w:pPr>
              <w:spacing w:after="0"/>
            </w:pPr>
            <w:r>
              <w:rPr>
                <w:rFonts w:ascii="Arial" w:hAnsi="Arial"/>
                <w:color w:val="1B1B1C"/>
                <w:sz w:val="14"/>
              </w:rPr>
              <w:t>Model AI Governance Frameworks</w:t>
            </w:r>
          </w:p>
        </w:tc>
        <w:tc>
          <w:tcPr>
            <w:tcW w:type="dxa" w:w="1600"/>
            <w:tcMar>
              <w:top w:w="70" w:type="dxa"/>
              <w:start w:w="90" w:type="dxa"/>
              <w:bottom w:w="70" w:type="dxa"/>
              <w:end w:w="90" w:type="dxa"/>
            </w:tcMar>
            <w:vAlign w:val="center"/>
          </w:tcPr>
          <w:p>
            <w:pPr>
              <w:spacing w:after="0"/>
            </w:pPr>
            <w:r>
              <w:rPr>
                <w:rFonts w:ascii="Arial" w:hAnsi="Arial"/>
                <w:color w:val="1B1B1C"/>
                <w:sz w:val="14"/>
              </w:rPr>
              <w:t>Traditional, GenAI 2024; Agentic AI 2026</w:t>
            </w:r>
          </w:p>
        </w:tc>
        <w:tc>
          <w:tcPr>
            <w:tcW w:type="dxa" w:w="2500"/>
            <w:tcMar>
              <w:top w:w="70" w:type="dxa"/>
              <w:start w:w="90" w:type="dxa"/>
              <w:bottom w:w="70" w:type="dxa"/>
              <w:end w:w="90" w:type="dxa"/>
            </w:tcMar>
            <w:vAlign w:val="center"/>
          </w:tcPr>
          <w:p>
            <w:pPr>
              <w:spacing w:after="0"/>
            </w:pPr>
            <w:r>
              <w:rPr>
                <w:rFonts w:ascii="Arial" w:hAnsi="Arial"/>
                <w:color w:val="1B1B1C"/>
                <w:sz w:val="14"/>
              </w:rPr>
              <w:t>Practical AI governance and testing ecosystem</w:t>
            </w:r>
          </w:p>
        </w:tc>
      </w:tr>
      <w:tr>
        <w:trPr>
          <w:cantSplit/>
        </w:trPr>
        <w:tc>
          <w:tcPr>
            <w:tcW w:type="dxa" w:w="1700"/>
            <w:tcMar>
              <w:top w:w="70" w:type="dxa"/>
              <w:start w:w="90" w:type="dxa"/>
              <w:bottom w:w="70" w:type="dxa"/>
              <w:end w:w="90" w:type="dxa"/>
            </w:tcMar>
            <w:shd w:fill="F1EFE5"/>
            <w:vAlign w:val="center"/>
          </w:tcPr>
          <w:p>
            <w:pPr>
              <w:spacing w:after="0"/>
            </w:pPr>
            <w:r>
              <w:rPr>
                <w:rFonts w:ascii="Arial" w:hAnsi="Arial"/>
                <w:b/>
                <w:color w:val="0E2530"/>
                <w:sz w:val="14"/>
              </w:rPr>
              <w:t>India</w:t>
            </w:r>
          </w:p>
        </w:tc>
        <w:tc>
          <w:tcPr>
            <w:tcW w:type="dxa" w:w="3500"/>
            <w:tcMar>
              <w:top w:w="70" w:type="dxa"/>
              <w:start w:w="90" w:type="dxa"/>
              <w:bottom w:w="70" w:type="dxa"/>
              <w:end w:w="90" w:type="dxa"/>
            </w:tcMar>
            <w:shd w:fill="F1EFE5"/>
            <w:vAlign w:val="center"/>
          </w:tcPr>
          <w:p>
            <w:pPr>
              <w:spacing w:after="0"/>
            </w:pPr>
            <w:r>
              <w:rPr>
                <w:rFonts w:ascii="Arial" w:hAnsi="Arial"/>
                <w:color w:val="1B1B1C"/>
                <w:sz w:val="14"/>
              </w:rPr>
              <w:t>Digital Personal Data Protection Rules 2025</w:t>
            </w:r>
          </w:p>
        </w:tc>
        <w:tc>
          <w:tcPr>
            <w:tcW w:type="dxa" w:w="1600"/>
            <w:tcMar>
              <w:top w:w="70" w:type="dxa"/>
              <w:start w:w="90" w:type="dxa"/>
              <w:bottom w:w="70" w:type="dxa"/>
              <w:end w:w="90" w:type="dxa"/>
            </w:tcMar>
            <w:shd w:fill="F1EFE5"/>
            <w:vAlign w:val="center"/>
          </w:tcPr>
          <w:p>
            <w:pPr>
              <w:spacing w:after="0"/>
            </w:pPr>
            <w:r>
              <w:rPr>
                <w:rFonts w:ascii="Arial" w:hAnsi="Arial"/>
                <w:color w:val="1B1B1C"/>
                <w:sz w:val="14"/>
              </w:rPr>
              <w:t>Notified with phased implementation</w:t>
            </w:r>
          </w:p>
        </w:tc>
        <w:tc>
          <w:tcPr>
            <w:tcW w:type="dxa" w:w="2500"/>
            <w:tcMar>
              <w:top w:w="70" w:type="dxa"/>
              <w:start w:w="90" w:type="dxa"/>
              <w:bottom w:w="70" w:type="dxa"/>
              <w:end w:w="90" w:type="dxa"/>
            </w:tcMar>
            <w:shd w:fill="F1EFE5"/>
            <w:vAlign w:val="center"/>
          </w:tcPr>
          <w:p>
            <w:pPr>
              <w:spacing w:after="0"/>
            </w:pPr>
            <w:r>
              <w:rPr>
                <w:rFonts w:ascii="Arial" w:hAnsi="Arial"/>
                <w:color w:val="1B1B1C"/>
                <w:sz w:val="14"/>
              </w:rPr>
              <w:t>Personal-data governance under the DPDP Act</w:t>
            </w:r>
          </w:p>
        </w:tc>
      </w:tr>
      <w:tr>
        <w:trPr>
          <w:cantSplit/>
        </w:trPr>
        <w:tc>
          <w:tcPr>
            <w:tcW w:type="dxa" w:w="1700"/>
            <w:tcMar>
              <w:top w:w="70" w:type="dxa"/>
              <w:start w:w="90" w:type="dxa"/>
              <w:bottom w:w="70" w:type="dxa"/>
              <w:end w:w="90" w:type="dxa"/>
            </w:tcMar>
            <w:vAlign w:val="center"/>
          </w:tcPr>
          <w:p>
            <w:pPr>
              <w:spacing w:after="0"/>
            </w:pPr>
            <w:r>
              <w:rPr>
                <w:rFonts w:ascii="Arial" w:hAnsi="Arial"/>
                <w:b/>
                <w:color w:val="0E2530"/>
                <w:sz w:val="14"/>
              </w:rPr>
              <w:t>China</w:t>
            </w:r>
          </w:p>
        </w:tc>
        <w:tc>
          <w:tcPr>
            <w:tcW w:type="dxa" w:w="3500"/>
            <w:tcMar>
              <w:top w:w="70" w:type="dxa"/>
              <w:start w:w="90" w:type="dxa"/>
              <w:bottom w:w="70" w:type="dxa"/>
              <w:end w:w="90" w:type="dxa"/>
            </w:tcMar>
            <w:vAlign w:val="center"/>
          </w:tcPr>
          <w:p>
            <w:pPr>
              <w:spacing w:after="0"/>
            </w:pPr>
            <w:r>
              <w:rPr>
                <w:rFonts w:ascii="Arial" w:hAnsi="Arial"/>
                <w:color w:val="1B1B1C"/>
                <w:sz w:val="14"/>
              </w:rPr>
              <w:t>Personal Information Protection Law</w:t>
            </w:r>
          </w:p>
        </w:tc>
        <w:tc>
          <w:tcPr>
            <w:tcW w:type="dxa" w:w="1600"/>
            <w:tcMar>
              <w:top w:w="70" w:type="dxa"/>
              <w:start w:w="90" w:type="dxa"/>
              <w:bottom w:w="70" w:type="dxa"/>
              <w:end w:w="90" w:type="dxa"/>
            </w:tcMar>
            <w:vAlign w:val="center"/>
          </w:tcPr>
          <w:p>
            <w:pPr>
              <w:spacing w:after="0"/>
            </w:pPr>
            <w:r>
              <w:rPr>
                <w:rFonts w:ascii="Arial" w:hAnsi="Arial"/>
                <w:color w:val="1B1B1C"/>
                <w:sz w:val="14"/>
              </w:rPr>
              <w:t>In force</w:t>
            </w:r>
          </w:p>
        </w:tc>
        <w:tc>
          <w:tcPr>
            <w:tcW w:type="dxa" w:w="2500"/>
            <w:tcMar>
              <w:top w:w="70" w:type="dxa"/>
              <w:start w:w="90" w:type="dxa"/>
              <w:bottom w:w="70" w:type="dxa"/>
              <w:end w:w="90" w:type="dxa"/>
            </w:tcMar>
            <w:vAlign w:val="center"/>
          </w:tcPr>
          <w:p>
            <w:pPr>
              <w:spacing w:after="0"/>
            </w:pPr>
            <w:r>
              <w:rPr>
                <w:rFonts w:ascii="Arial" w:hAnsi="Arial"/>
                <w:color w:val="1B1B1C"/>
                <w:sz w:val="14"/>
              </w:rPr>
              <w:t>Personal-information processing, cross-border transfer and rights</w:t>
            </w:r>
          </w:p>
        </w:tc>
      </w:tr>
      <w:tr>
        <w:trPr>
          <w:cantSplit/>
        </w:trPr>
        <w:tc>
          <w:tcPr>
            <w:tcW w:type="dxa" w:w="1700"/>
            <w:tcMar>
              <w:top w:w="70" w:type="dxa"/>
              <w:start w:w="90" w:type="dxa"/>
              <w:bottom w:w="70" w:type="dxa"/>
              <w:end w:w="90" w:type="dxa"/>
            </w:tcMar>
            <w:shd w:fill="F1EFE5"/>
            <w:vAlign w:val="center"/>
          </w:tcPr>
          <w:p>
            <w:pPr>
              <w:spacing w:after="0"/>
            </w:pPr>
            <w:r>
              <w:rPr>
                <w:rFonts w:ascii="Arial" w:hAnsi="Arial"/>
                <w:b/>
                <w:color w:val="0E2530"/>
                <w:sz w:val="14"/>
              </w:rPr>
              <w:t>United Arab Emirates</w:t>
            </w:r>
          </w:p>
        </w:tc>
        <w:tc>
          <w:tcPr>
            <w:tcW w:type="dxa" w:w="3500"/>
            <w:tcMar>
              <w:top w:w="70" w:type="dxa"/>
              <w:start w:w="90" w:type="dxa"/>
              <w:bottom w:w="70" w:type="dxa"/>
              <w:end w:w="90" w:type="dxa"/>
            </w:tcMar>
            <w:shd w:fill="F1EFE5"/>
            <w:vAlign w:val="center"/>
          </w:tcPr>
          <w:p>
            <w:pPr>
              <w:spacing w:after="0"/>
            </w:pPr>
            <w:r>
              <w:rPr>
                <w:rFonts w:ascii="Arial" w:hAnsi="Arial"/>
                <w:color w:val="1B1B1C"/>
                <w:sz w:val="14"/>
              </w:rPr>
              <w:t>Federal Decree-Law No. 45 of 2021 on Personal Data Protection</w:t>
            </w:r>
          </w:p>
        </w:tc>
        <w:tc>
          <w:tcPr>
            <w:tcW w:type="dxa" w:w="1600"/>
            <w:tcMar>
              <w:top w:w="70" w:type="dxa"/>
              <w:start w:w="90" w:type="dxa"/>
              <w:bottom w:w="70" w:type="dxa"/>
              <w:end w:w="90" w:type="dxa"/>
            </w:tcMar>
            <w:shd w:fill="F1EFE5"/>
            <w:vAlign w:val="center"/>
          </w:tcPr>
          <w:p>
            <w:pPr>
              <w:spacing w:after="0"/>
            </w:pPr>
            <w:r>
              <w:rPr>
                <w:rFonts w:ascii="Arial" w:hAnsi="Arial"/>
                <w:color w:val="1B1B1C"/>
                <w:sz w:val="14"/>
              </w:rPr>
              <w:t>In force</w:t>
            </w:r>
          </w:p>
        </w:tc>
        <w:tc>
          <w:tcPr>
            <w:tcW w:type="dxa" w:w="2500"/>
            <w:tcMar>
              <w:top w:w="70" w:type="dxa"/>
              <w:start w:w="90" w:type="dxa"/>
              <w:bottom w:w="70" w:type="dxa"/>
              <w:end w:w="90" w:type="dxa"/>
            </w:tcMar>
            <w:shd w:fill="F1EFE5"/>
            <w:vAlign w:val="center"/>
          </w:tcPr>
          <w:p>
            <w:pPr>
              <w:spacing w:after="0"/>
            </w:pPr>
            <w:r>
              <w:rPr>
                <w:rFonts w:ascii="Arial" w:hAnsi="Arial"/>
                <w:color w:val="1B1B1C"/>
                <w:sz w:val="14"/>
              </w:rPr>
              <w:t>Personal-data processing and transfer requirements</w:t>
            </w:r>
          </w:p>
        </w:tc>
      </w:tr>
      <w:tr>
        <w:trPr>
          <w:cantSplit/>
        </w:trPr>
        <w:tc>
          <w:tcPr>
            <w:tcW w:type="dxa" w:w="1700"/>
            <w:tcMar>
              <w:top w:w="70" w:type="dxa"/>
              <w:start w:w="90" w:type="dxa"/>
              <w:bottom w:w="70" w:type="dxa"/>
              <w:end w:w="90" w:type="dxa"/>
            </w:tcMar>
            <w:vAlign w:val="center"/>
          </w:tcPr>
          <w:p>
            <w:pPr>
              <w:spacing w:after="0"/>
            </w:pPr>
            <w:r>
              <w:rPr>
                <w:rFonts w:ascii="Arial" w:hAnsi="Arial"/>
                <w:b/>
                <w:color w:val="0E2530"/>
                <w:sz w:val="14"/>
              </w:rPr>
              <w:t>Brazil</w:t>
            </w:r>
          </w:p>
        </w:tc>
        <w:tc>
          <w:tcPr>
            <w:tcW w:type="dxa" w:w="3500"/>
            <w:tcMar>
              <w:top w:w="70" w:type="dxa"/>
              <w:start w:w="90" w:type="dxa"/>
              <w:bottom w:w="70" w:type="dxa"/>
              <w:end w:w="90" w:type="dxa"/>
            </w:tcMar>
            <w:vAlign w:val="center"/>
          </w:tcPr>
          <w:p>
            <w:pPr>
              <w:spacing w:after="0"/>
            </w:pPr>
            <w:r>
              <w:rPr>
                <w:rFonts w:ascii="Arial" w:hAnsi="Arial"/>
                <w:color w:val="1B1B1C"/>
                <w:sz w:val="14"/>
              </w:rPr>
              <w:t>Lei Geral de Proteção de Dados (LGPD)</w:t>
            </w:r>
          </w:p>
        </w:tc>
        <w:tc>
          <w:tcPr>
            <w:tcW w:type="dxa" w:w="1600"/>
            <w:tcMar>
              <w:top w:w="70" w:type="dxa"/>
              <w:start w:w="90" w:type="dxa"/>
              <w:bottom w:w="70" w:type="dxa"/>
              <w:end w:w="90" w:type="dxa"/>
            </w:tcMar>
            <w:vAlign w:val="center"/>
          </w:tcPr>
          <w:p>
            <w:pPr>
              <w:spacing w:after="0"/>
            </w:pPr>
            <w:r>
              <w:rPr>
                <w:rFonts w:ascii="Arial" w:hAnsi="Arial"/>
                <w:color w:val="1B1B1C"/>
                <w:sz w:val="14"/>
              </w:rPr>
              <w:t>In force</w:t>
            </w:r>
          </w:p>
        </w:tc>
        <w:tc>
          <w:tcPr>
            <w:tcW w:type="dxa" w:w="2500"/>
            <w:tcMar>
              <w:top w:w="70" w:type="dxa"/>
              <w:start w:w="90" w:type="dxa"/>
              <w:bottom w:w="70" w:type="dxa"/>
              <w:end w:w="90" w:type="dxa"/>
            </w:tcMar>
            <w:vAlign w:val="center"/>
          </w:tcPr>
          <w:p>
            <w:pPr>
              <w:spacing w:after="0"/>
            </w:pPr>
            <w:r>
              <w:rPr>
                <w:rFonts w:ascii="Arial" w:hAnsi="Arial"/>
                <w:color w:val="1B1B1C"/>
                <w:sz w:val="14"/>
              </w:rPr>
              <w:t>Personal-data rights, principles and accountability</w:t>
            </w:r>
          </w:p>
        </w:tc>
      </w:tr>
      <w:tr>
        <w:trPr>
          <w:cantSplit/>
        </w:trPr>
        <w:tc>
          <w:tcPr>
            <w:tcW w:type="dxa" w:w="1700"/>
            <w:tcMar>
              <w:top w:w="70" w:type="dxa"/>
              <w:start w:w="90" w:type="dxa"/>
              <w:bottom w:w="70" w:type="dxa"/>
              <w:end w:w="90" w:type="dxa"/>
            </w:tcMar>
            <w:shd w:fill="F1EFE5"/>
            <w:vAlign w:val="center"/>
          </w:tcPr>
          <w:p>
            <w:pPr>
              <w:spacing w:after="0"/>
            </w:pPr>
            <w:r>
              <w:rPr>
                <w:rFonts w:ascii="Arial" w:hAnsi="Arial"/>
                <w:b/>
                <w:color w:val="0E2530"/>
                <w:sz w:val="14"/>
              </w:rPr>
              <w:t>Saudi Arabia / SDAIA</w:t>
            </w:r>
          </w:p>
        </w:tc>
        <w:tc>
          <w:tcPr>
            <w:tcW w:type="dxa" w:w="3500"/>
            <w:tcMar>
              <w:top w:w="70" w:type="dxa"/>
              <w:start w:w="90" w:type="dxa"/>
              <w:bottom w:w="70" w:type="dxa"/>
              <w:end w:w="90" w:type="dxa"/>
            </w:tcMar>
            <w:shd w:fill="F1EFE5"/>
            <w:vAlign w:val="center"/>
          </w:tcPr>
          <w:p>
            <w:pPr>
              <w:spacing w:after="0"/>
            </w:pPr>
            <w:r>
              <w:rPr>
                <w:rFonts w:ascii="Arial" w:hAnsi="Arial"/>
                <w:color w:val="1B1B1C"/>
                <w:sz w:val="14"/>
              </w:rPr>
              <w:t>National Data Governance Interim Regulations / NDMO policies</w:t>
            </w:r>
          </w:p>
        </w:tc>
        <w:tc>
          <w:tcPr>
            <w:tcW w:type="dxa" w:w="1600"/>
            <w:tcMar>
              <w:top w:w="70" w:type="dxa"/>
              <w:start w:w="90" w:type="dxa"/>
              <w:bottom w:w="70" w:type="dxa"/>
              <w:end w:w="90" w:type="dxa"/>
            </w:tcMar>
            <w:shd w:fill="F1EFE5"/>
            <w:vAlign w:val="center"/>
          </w:tcPr>
          <w:p>
            <w:pPr>
              <w:spacing w:after="0"/>
            </w:pPr>
            <w:r>
              <w:rPr>
                <w:rFonts w:ascii="Arial" w:hAnsi="Arial"/>
                <w:color w:val="1B1B1C"/>
                <w:sz w:val="14"/>
              </w:rPr>
              <w:t>Current national policies</w:t>
            </w:r>
          </w:p>
        </w:tc>
        <w:tc>
          <w:tcPr>
            <w:tcW w:type="dxa" w:w="2500"/>
            <w:tcMar>
              <w:top w:w="70" w:type="dxa"/>
              <w:start w:w="90" w:type="dxa"/>
              <w:bottom w:w="70" w:type="dxa"/>
              <w:end w:w="90" w:type="dxa"/>
            </w:tcMar>
            <w:shd w:fill="F1EFE5"/>
            <w:vAlign w:val="center"/>
          </w:tcPr>
          <w:p>
            <w:pPr>
              <w:spacing w:after="0"/>
            </w:pPr>
            <w:r>
              <w:rPr>
                <w:rFonts w:ascii="Arial" w:hAnsi="Arial"/>
                <w:color w:val="1B1B1C"/>
                <w:sz w:val="14"/>
              </w:rPr>
              <w:t>Classification, sharing, privacy, open data and data management</w:t>
            </w:r>
          </w:p>
        </w:tc>
      </w:tr>
      <w:tr>
        <w:trPr>
          <w:cantSplit/>
        </w:trPr>
        <w:tc>
          <w:tcPr>
            <w:tcW w:type="dxa" w:w="1700"/>
            <w:tcMar>
              <w:top w:w="70" w:type="dxa"/>
              <w:start w:w="90" w:type="dxa"/>
              <w:bottom w:w="70" w:type="dxa"/>
              <w:end w:w="90" w:type="dxa"/>
            </w:tcMar>
            <w:vAlign w:val="center"/>
          </w:tcPr>
          <w:p>
            <w:pPr>
              <w:spacing w:after="0"/>
            </w:pPr>
            <w:r>
              <w:rPr>
                <w:rFonts w:ascii="Arial" w:hAnsi="Arial"/>
                <w:b/>
                <w:color w:val="0E2530"/>
                <w:sz w:val="14"/>
              </w:rPr>
              <w:t>Saudi Arabia</w:t>
            </w:r>
          </w:p>
        </w:tc>
        <w:tc>
          <w:tcPr>
            <w:tcW w:type="dxa" w:w="3500"/>
            <w:tcMar>
              <w:top w:w="70" w:type="dxa"/>
              <w:start w:w="90" w:type="dxa"/>
              <w:bottom w:w="70" w:type="dxa"/>
              <w:end w:w="90" w:type="dxa"/>
            </w:tcMar>
            <w:vAlign w:val="center"/>
          </w:tcPr>
          <w:p>
            <w:pPr>
              <w:spacing w:after="0"/>
            </w:pPr>
            <w:r>
              <w:rPr>
                <w:rFonts w:ascii="Arial" w:hAnsi="Arial"/>
                <w:color w:val="1B1B1C"/>
                <w:sz w:val="14"/>
              </w:rPr>
              <w:t>Personal Data Protection Law</w:t>
            </w:r>
          </w:p>
        </w:tc>
        <w:tc>
          <w:tcPr>
            <w:tcW w:type="dxa" w:w="1600"/>
            <w:tcMar>
              <w:top w:w="70" w:type="dxa"/>
              <w:start w:w="90" w:type="dxa"/>
              <w:bottom w:w="70" w:type="dxa"/>
              <w:end w:w="90" w:type="dxa"/>
            </w:tcMar>
            <w:vAlign w:val="center"/>
          </w:tcPr>
          <w:p>
            <w:pPr>
              <w:spacing w:after="0"/>
            </w:pPr>
            <w:r>
              <w:rPr>
                <w:rFonts w:ascii="Arial" w:hAnsi="Arial"/>
                <w:color w:val="1B1B1C"/>
                <w:sz w:val="14"/>
              </w:rPr>
              <w:t>In force</w:t>
            </w:r>
          </w:p>
        </w:tc>
        <w:tc>
          <w:tcPr>
            <w:tcW w:type="dxa" w:w="2500"/>
            <w:tcMar>
              <w:top w:w="70" w:type="dxa"/>
              <w:start w:w="90" w:type="dxa"/>
              <w:bottom w:w="70" w:type="dxa"/>
              <w:end w:w="90" w:type="dxa"/>
            </w:tcMar>
            <w:vAlign w:val="center"/>
          </w:tcPr>
          <w:p>
            <w:pPr>
              <w:spacing w:after="0"/>
            </w:pPr>
            <w:r>
              <w:rPr>
                <w:rFonts w:ascii="Arial" w:hAnsi="Arial"/>
                <w:color w:val="1B1B1C"/>
                <w:sz w:val="14"/>
              </w:rPr>
              <w:t>Personal-data rights, processing, transfer and accountability</w:t>
            </w:r>
          </w:p>
        </w:tc>
      </w:tr>
    </w:tbl>
    <w:p>
      <w:pPr>
        <w:spacing w:after="0"/>
      </w:pPr>
    </w:p>
    <w:p>
      <w:pPr>
        <w:pStyle w:val="Heading2"/>
      </w:pPr>
      <w:r>
        <w:t>State and city laws</w:t>
      </w:r>
    </w:p>
    <w:p>
      <w:r>
        <w:t>State and city requirements can add automated-decision, privacy, cyber, records, open-data and employment duties. The assessment should use a jurisdiction register that records covered organization, covered system, covered data or person, geography, trigger, effective date, enforcement authority, evidence owner and next review. Examples in the research set include Colorado, California, New York State, New York City and Texas. [US12-US16]</w:t>
      </w:r>
    </w:p>
    <w:tbl>
      <w:tblPr>
        <w:tblW w:type="auto" w:w="0"/>
        <w:jc w:val="center"/>
        <w:tblLayout w:type="fixed"/>
        <w:tblLook w:firstColumn="1" w:firstRow="1" w:lastColumn="0" w:lastRow="0" w:noHBand="0" w:noVBand="1" w:val="04A0"/>
        <w:tblBorders>
          <w:top w:val="single" w:sz="10" w:space="0" w:color="C75C5C"/>
          <w:left w:val="single" w:sz="10" w:space="0" w:color="C75C5C"/>
          <w:bottom w:val="single" w:sz="10" w:space="0" w:color="C75C5C"/>
          <w:right w:val="single" w:sz="10" w:space="0" w:color="C75C5C"/>
          <w:insideH w:val="single" w:sz="10" w:space="0" w:color="C75C5C"/>
          <w:insideV w:val="single" w:sz="10" w:space="0" w:color="C75C5C"/>
        </w:tblBorders>
      </w:tblPr>
      <w:tblGrid>
        <w:gridCol w:w="9820"/>
      </w:tblGrid>
      <w:tr>
        <w:trPr>
          <w:cantSplit/>
        </w:trPr>
        <w:tc>
          <w:tcPr>
            <w:tcW w:type="dxa" w:w="9820"/>
            <w:shd w:fill="FDEEEE"/>
            <w:tcMar>
              <w:top w:w="140" w:type="dxa"/>
              <w:start w:w="170" w:type="dxa"/>
              <w:bottom w:w="140" w:type="dxa"/>
              <w:end w:w="170" w:type="dxa"/>
            </w:tcMar>
          </w:tcPr>
          <w:p>
            <w:pPr>
              <w:spacing w:after="80"/>
            </w:pPr>
            <w:r>
              <w:rPr>
                <w:rFonts w:ascii="Arial" w:hAnsi="Arial"/>
                <w:b/>
                <w:color w:val="C75C5C"/>
                <w:sz w:val="20"/>
              </w:rPr>
              <w:t>Legal gate</w:t>
            </w:r>
          </w:p>
          <w:p>
            <w:pPr>
              <w:spacing w:after="0"/>
            </w:pPr>
            <w:r>
              <w:rPr>
                <w:rFonts w:ascii="Arial" w:hAnsi="Arial"/>
                <w:color w:val="1B1B1C"/>
                <w:sz w:val="20"/>
              </w:rPr>
              <w:t>Before converting a law into a scored criterion, confirm the current text, amendments, definitions, exemptions, commencement, enforcement and whether the public or private utility is covered. Record the interpretation and reviewer. This paper is a research and operating framework, not legal advice.</w:t>
            </w:r>
          </w:p>
        </w:tc>
      </w:tr>
    </w:tbl>
    <w:p>
      <w:pPr>
        <w:spacing w:after="0"/>
      </w:pPr>
    </w:p>
    <w:p>
      <w:pPr>
        <w:pStyle w:val="Heading2"/>
      </w:pPr>
      <w:r>
        <w:t>The applicability record</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4910"/>
        <w:gridCol w:w="4910"/>
      </w:tblGrid>
      <w:tr>
        <w:trPr>
          <w:tblHeader w:val="true"/>
          <w:cantSplit/>
        </w:trPr>
        <w:tc>
          <w:tcPr>
            <w:tcW w:type="dxa" w:w="2200"/>
            <w:tcMar>
              <w:top w:w="75" w:type="dxa"/>
              <w:start w:w="90" w:type="dxa"/>
              <w:bottom w:w="75" w:type="dxa"/>
              <w:end w:w="90" w:type="dxa"/>
            </w:tcMar>
            <w:shd w:fill="1B1B1C"/>
          </w:tcPr>
          <w:p>
            <w:pPr>
              <w:spacing w:after="0"/>
            </w:pPr>
            <w:r>
              <w:rPr>
                <w:rFonts w:ascii="Arial" w:hAnsi="Arial"/>
                <w:b/>
                <w:color w:val="FFFFFF"/>
                <w:sz w:val="16"/>
              </w:rPr>
              <w:t>Field</w:t>
            </w:r>
          </w:p>
        </w:tc>
        <w:tc>
          <w:tcPr>
            <w:tcW w:type="dxa" w:w="7100"/>
            <w:tcMar>
              <w:top w:w="75" w:type="dxa"/>
              <w:start w:w="90" w:type="dxa"/>
              <w:bottom w:w="75" w:type="dxa"/>
              <w:end w:w="90" w:type="dxa"/>
            </w:tcMar>
            <w:shd w:fill="1B1B1C"/>
          </w:tcPr>
          <w:p>
            <w:pPr>
              <w:spacing w:after="0"/>
            </w:pPr>
            <w:r>
              <w:rPr>
                <w:rFonts w:ascii="Arial" w:hAnsi="Arial"/>
                <w:b/>
                <w:color w:val="FFFFFF"/>
                <w:sz w:val="16"/>
              </w:rPr>
              <w:t>Question</w:t>
            </w:r>
          </w:p>
        </w:tc>
      </w:tr>
      <w:tr>
        <w:trPr>
          <w:cantSplit/>
        </w:trPr>
        <w:tc>
          <w:tcPr>
            <w:tcW w:type="dxa" w:w="2200"/>
            <w:tcMar>
              <w:top w:w="70" w:type="dxa"/>
              <w:start w:w="90" w:type="dxa"/>
              <w:bottom w:w="70" w:type="dxa"/>
              <w:end w:w="90" w:type="dxa"/>
            </w:tcMar>
            <w:vAlign w:val="center"/>
          </w:tcPr>
          <w:p>
            <w:pPr>
              <w:spacing w:after="0"/>
            </w:pPr>
            <w:r>
              <w:rPr>
                <w:rFonts w:ascii="Arial" w:hAnsi="Arial"/>
                <w:b/>
                <w:color w:val="0E2530"/>
                <w:sz w:val="16"/>
              </w:rPr>
              <w:t>Organization</w:t>
            </w:r>
          </w:p>
        </w:tc>
        <w:tc>
          <w:tcPr>
            <w:tcW w:type="dxa" w:w="7100"/>
            <w:tcMar>
              <w:top w:w="70" w:type="dxa"/>
              <w:start w:w="90" w:type="dxa"/>
              <w:bottom w:w="70" w:type="dxa"/>
              <w:end w:w="90" w:type="dxa"/>
            </w:tcMar>
            <w:vAlign w:val="center"/>
          </w:tcPr>
          <w:p>
            <w:pPr>
              <w:spacing w:after="0"/>
            </w:pPr>
            <w:r>
              <w:rPr>
                <w:rFonts w:ascii="Arial" w:hAnsi="Arial"/>
                <w:color w:val="1B1B1C"/>
                <w:sz w:val="16"/>
              </w:rPr>
              <w:t>Which owner, operator, public body, contractor or supplier is covered?</w:t>
            </w:r>
          </w:p>
        </w:tc>
      </w:tr>
      <w:tr>
        <w:trPr>
          <w:cantSplit/>
        </w:trPr>
        <w:tc>
          <w:tcPr>
            <w:tcW w:type="dxa" w:w="2200"/>
            <w:tcMar>
              <w:top w:w="70" w:type="dxa"/>
              <w:start w:w="90" w:type="dxa"/>
              <w:bottom w:w="70" w:type="dxa"/>
              <w:end w:w="90" w:type="dxa"/>
            </w:tcMar>
            <w:shd w:fill="F1EFE5"/>
            <w:vAlign w:val="center"/>
          </w:tcPr>
          <w:p>
            <w:pPr>
              <w:spacing w:after="0"/>
            </w:pPr>
            <w:r>
              <w:rPr>
                <w:rFonts w:ascii="Arial" w:hAnsi="Arial"/>
                <w:b/>
                <w:color w:val="0E2530"/>
                <w:sz w:val="16"/>
              </w:rPr>
              <w:t>Service and system</w:t>
            </w:r>
          </w:p>
        </w:tc>
        <w:tc>
          <w:tcPr>
            <w:tcW w:type="dxa" w:w="7100"/>
            <w:tcMar>
              <w:top w:w="70" w:type="dxa"/>
              <w:start w:w="90" w:type="dxa"/>
              <w:bottom w:w="70" w:type="dxa"/>
              <w:end w:w="90" w:type="dxa"/>
            </w:tcMar>
            <w:shd w:fill="F1EFE5"/>
            <w:vAlign w:val="center"/>
          </w:tcPr>
          <w:p>
            <w:pPr>
              <w:spacing w:after="0"/>
            </w:pPr>
            <w:r>
              <w:rPr>
                <w:rFonts w:ascii="Arial" w:hAnsi="Arial"/>
                <w:color w:val="1B1B1C"/>
                <w:sz w:val="16"/>
              </w:rPr>
              <w:t>Which critical function, utility service, AI system or automated decision is in scope?</w:t>
            </w:r>
          </w:p>
        </w:tc>
      </w:tr>
      <w:tr>
        <w:trPr>
          <w:cantSplit/>
        </w:trPr>
        <w:tc>
          <w:tcPr>
            <w:tcW w:type="dxa" w:w="2200"/>
            <w:tcMar>
              <w:top w:w="70" w:type="dxa"/>
              <w:start w:w="90" w:type="dxa"/>
              <w:bottom w:w="70" w:type="dxa"/>
              <w:end w:w="90" w:type="dxa"/>
            </w:tcMar>
            <w:vAlign w:val="center"/>
          </w:tcPr>
          <w:p>
            <w:pPr>
              <w:spacing w:after="0"/>
            </w:pPr>
            <w:r>
              <w:rPr>
                <w:rFonts w:ascii="Arial" w:hAnsi="Arial"/>
                <w:b/>
                <w:color w:val="0E2530"/>
                <w:sz w:val="16"/>
              </w:rPr>
              <w:t>Data and person</w:t>
            </w:r>
          </w:p>
        </w:tc>
        <w:tc>
          <w:tcPr>
            <w:tcW w:type="dxa" w:w="7100"/>
            <w:tcMar>
              <w:top w:w="70" w:type="dxa"/>
              <w:start w:w="90" w:type="dxa"/>
              <w:bottom w:w="70" w:type="dxa"/>
              <w:end w:w="90" w:type="dxa"/>
            </w:tcMar>
            <w:vAlign w:val="center"/>
          </w:tcPr>
          <w:p>
            <w:pPr>
              <w:spacing w:after="0"/>
            </w:pPr>
            <w:r>
              <w:rPr>
                <w:rFonts w:ascii="Arial" w:hAnsi="Arial"/>
                <w:color w:val="1B1B1C"/>
                <w:sz w:val="16"/>
              </w:rPr>
              <w:t>Which personal, operational, critical, public, connected-product or training data is covered?</w:t>
            </w:r>
          </w:p>
        </w:tc>
      </w:tr>
      <w:tr>
        <w:trPr>
          <w:cantSplit/>
        </w:trPr>
        <w:tc>
          <w:tcPr>
            <w:tcW w:type="dxa" w:w="2200"/>
            <w:tcMar>
              <w:top w:w="70" w:type="dxa"/>
              <w:start w:w="90" w:type="dxa"/>
              <w:bottom w:w="70" w:type="dxa"/>
              <w:end w:w="90" w:type="dxa"/>
            </w:tcMar>
            <w:shd w:fill="F1EFE5"/>
            <w:vAlign w:val="center"/>
          </w:tcPr>
          <w:p>
            <w:pPr>
              <w:spacing w:after="0"/>
            </w:pPr>
            <w:r>
              <w:rPr>
                <w:rFonts w:ascii="Arial" w:hAnsi="Arial"/>
                <w:b/>
                <w:color w:val="0E2530"/>
                <w:sz w:val="16"/>
              </w:rPr>
              <w:t>Location</w:t>
            </w:r>
          </w:p>
        </w:tc>
        <w:tc>
          <w:tcPr>
            <w:tcW w:type="dxa" w:w="7100"/>
            <w:tcMar>
              <w:top w:w="70" w:type="dxa"/>
              <w:start w:w="90" w:type="dxa"/>
              <w:bottom w:w="70" w:type="dxa"/>
              <w:end w:w="90" w:type="dxa"/>
            </w:tcMar>
            <w:shd w:fill="F1EFE5"/>
            <w:vAlign w:val="center"/>
          </w:tcPr>
          <w:p>
            <w:pPr>
              <w:spacing w:after="0"/>
            </w:pPr>
            <w:r>
              <w:rPr>
                <w:rFonts w:ascii="Arial" w:hAnsi="Arial"/>
                <w:color w:val="1B1B1C"/>
                <w:sz w:val="16"/>
              </w:rPr>
              <w:t>Where are people, assets, processing, storage and recipients located?</w:t>
            </w:r>
          </w:p>
        </w:tc>
      </w:tr>
      <w:tr>
        <w:trPr>
          <w:cantSplit/>
        </w:trPr>
        <w:tc>
          <w:tcPr>
            <w:tcW w:type="dxa" w:w="2200"/>
            <w:tcMar>
              <w:top w:w="70" w:type="dxa"/>
              <w:start w:w="90" w:type="dxa"/>
              <w:bottom w:w="70" w:type="dxa"/>
              <w:end w:w="90" w:type="dxa"/>
            </w:tcMar>
            <w:vAlign w:val="center"/>
          </w:tcPr>
          <w:p>
            <w:pPr>
              <w:spacing w:after="0"/>
            </w:pPr>
            <w:r>
              <w:rPr>
                <w:rFonts w:ascii="Arial" w:hAnsi="Arial"/>
                <w:b/>
                <w:color w:val="0E2530"/>
                <w:sz w:val="16"/>
              </w:rPr>
              <w:t>Trigger</w:t>
            </w:r>
          </w:p>
        </w:tc>
        <w:tc>
          <w:tcPr>
            <w:tcW w:type="dxa" w:w="7100"/>
            <w:tcMar>
              <w:top w:w="70" w:type="dxa"/>
              <w:start w:w="90" w:type="dxa"/>
              <w:bottom w:w="70" w:type="dxa"/>
              <w:end w:w="90" w:type="dxa"/>
            </w:tcMar>
            <w:vAlign w:val="center"/>
          </w:tcPr>
          <w:p>
            <w:pPr>
              <w:spacing w:after="0"/>
            </w:pPr>
            <w:r>
              <w:rPr>
                <w:rFonts w:ascii="Arial" w:hAnsi="Arial"/>
                <w:color w:val="1B1B1C"/>
                <w:sz w:val="16"/>
              </w:rPr>
              <w:t>What action, threshold, risk tier, incident, sharing event or date creates the duty?</w:t>
            </w:r>
          </w:p>
        </w:tc>
      </w:tr>
      <w:tr>
        <w:trPr>
          <w:cantSplit/>
        </w:trPr>
        <w:tc>
          <w:tcPr>
            <w:tcW w:type="dxa" w:w="2200"/>
            <w:tcMar>
              <w:top w:w="70" w:type="dxa"/>
              <w:start w:w="90" w:type="dxa"/>
              <w:bottom w:w="70" w:type="dxa"/>
              <w:end w:w="90" w:type="dxa"/>
            </w:tcMar>
            <w:shd w:fill="F1EFE5"/>
            <w:vAlign w:val="center"/>
          </w:tcPr>
          <w:p>
            <w:pPr>
              <w:spacing w:after="0"/>
            </w:pPr>
            <w:r>
              <w:rPr>
                <w:rFonts w:ascii="Arial" w:hAnsi="Arial"/>
                <w:b/>
                <w:color w:val="0E2530"/>
                <w:sz w:val="16"/>
              </w:rPr>
              <w:t>Evidence</w:t>
            </w:r>
          </w:p>
        </w:tc>
        <w:tc>
          <w:tcPr>
            <w:tcW w:type="dxa" w:w="7100"/>
            <w:tcMar>
              <w:top w:w="70" w:type="dxa"/>
              <w:start w:w="90" w:type="dxa"/>
              <w:bottom w:w="70" w:type="dxa"/>
              <w:end w:w="90" w:type="dxa"/>
            </w:tcMar>
            <w:shd w:fill="F1EFE5"/>
            <w:vAlign w:val="center"/>
          </w:tcPr>
          <w:p>
            <w:pPr>
              <w:spacing w:after="0"/>
            </w:pPr>
            <w:r>
              <w:rPr>
                <w:rFonts w:ascii="Arial" w:hAnsi="Arial"/>
                <w:color w:val="1B1B1C"/>
                <w:sz w:val="16"/>
              </w:rPr>
              <w:t>What proof is retained, who reviews it and when must it be refreshed?</w:t>
            </w:r>
          </w:p>
        </w:tc>
      </w:tr>
    </w:tbl>
    <w:p>
      <w:pPr>
        <w:pageBreakBefore/>
        <w:spacing w:after="100"/>
      </w:pPr>
      <w:r>
        <w:rPr>
          <w:rFonts w:ascii="Arial" w:hAnsi="Arial"/>
          <w:b/>
          <w:color w:val="2F7F9E"/>
          <w:sz w:val="17"/>
        </w:rPr>
        <w:t>APPLICATION PAPER</w:t>
      </w:r>
    </w:p>
    <w:p>
      <w:pPr>
        <w:pStyle w:val="Heading1"/>
      </w:pPr>
      <w:r>
        <w:t>8. Reference cases</w:t>
      </w:r>
    </w:p>
    <w:p>
      <w:pPr>
        <w:pStyle w:val="Subtitle"/>
        <w:spacing w:after="280"/>
      </w:pPr>
      <w:r>
        <w:rPr>
          <w:color w:val="3C3B36"/>
          <w:sz w:val="25"/>
        </w:rPr>
        <w:t>Use public cases to find patterns. Use internal evidence to score maturity.</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820"/>
      </w:tblGrid>
      <w:tr>
        <w:tc>
          <w:tcPr>
            <w:tcW w:type="dxa" w:w="1500"/>
            <w:shd w:fill="E0A64A"/>
            <w:tcMar>
              <w:top w:w="0" w:type="dxa"/>
              <w:start w:w="0" w:type="dxa"/>
              <w:bottom w:w="0" w:type="dxa"/>
              <w:end w:w="0" w:type="dxa"/>
            </w:tcMar>
          </w:tcPr>
          <w:p>
            <w:pPr>
              <w:spacing w:after="0"/>
            </w:pPr>
            <w:r>
              <w:rPr>
                <w:sz w:val="4"/>
              </w:rPr>
              <w:t xml:space="preserve"> </w:t>
            </w:r>
          </w:p>
        </w:tc>
      </w:tr>
    </w:tbl>
    <w:p>
      <w:pPr>
        <w:spacing w:before="120" w:after="0"/>
        <w:jc w:val="center"/>
      </w:pPr>
      <w:r>
        <w:drawing>
          <wp:inline xmlns:a="http://schemas.openxmlformats.org/drawingml/2006/main" xmlns:pic="http://schemas.openxmlformats.org/drawingml/2006/picture">
            <wp:extent cx="6126480" cy="3812032"/>
            <wp:docPr id="18" name="Picture 18" title="Figure 13. Public evidence from three reference cases" descr="Anglian Water, Singapore PUB and NEOM show useful signals in open data, smart metering, shared infrastructure and data sovereignty. Public claims are leads for assessment, not proof of enterprise maturity."/>
            <wp:cNvGraphicFramePr>
              <a:graphicFrameLocks noChangeAspect="1"/>
            </wp:cNvGraphicFramePr>
            <a:graphic>
              <a:graphicData uri="http://schemas.openxmlformats.org/drawingml/2006/picture">
                <pic:pic>
                  <pic:nvPicPr>
                    <pic:cNvPr id="0" name="13_cases.png"/>
                    <pic:cNvPicPr/>
                  </pic:nvPicPr>
                  <pic:blipFill>
                    <a:blip r:embed="rId41"/>
                    <a:stretch>
                      <a:fillRect/>
                    </a:stretch>
                  </pic:blipFill>
                  <pic:spPr>
                    <a:xfrm>
                      <a:off x="0" y="0"/>
                      <a:ext cx="6126480" cy="3812032"/>
                    </a:xfrm>
                    <a:prstGeom prst="rect"/>
                  </pic:spPr>
                </pic:pic>
              </a:graphicData>
            </a:graphic>
          </wp:inline>
        </w:drawing>
      </w:r>
    </w:p>
    <w:p>
      <w:pPr>
        <w:pStyle w:val="Caption"/>
        <w:jc w:val="left"/>
      </w:pPr>
      <w:r>
        <w:t>Figure 13. Public evidence from three reference cases</w:t>
      </w:r>
    </w:p>
    <w:p>
      <w:pPr>
        <w:spacing w:after="40"/>
      </w:pPr>
      <w:r>
        <w:rPr>
          <w:b/>
          <w:color w:val="2F7F9E"/>
        </w:rPr>
        <w:t xml:space="preserve">What this shows. </w:t>
      </w:r>
      <w:r>
        <w:t>Anglian Water, Singapore PUB and NEOM show useful signals in open data, smart metering, shared infrastructure and data sovereignty. Public claims are leads for assessment, not proof of enterprise maturity.</w:t>
      </w:r>
    </w:p>
    <w:p>
      <w:pPr>
        <w:spacing w:after="180"/>
      </w:pPr>
      <w:r>
        <w:rPr>
          <w:rFonts w:ascii="Arial" w:hAnsi="Arial"/>
          <w:i/>
          <w:color w:val="7D766A"/>
          <w:sz w:val="15"/>
        </w:rPr>
        <w:t>Source: Primary public sources from the issuing organizations. See source register C01-C09.</w:t>
      </w:r>
    </w:p>
    <w:p>
      <w:pPr>
        <w:pStyle w:val="Heading2"/>
      </w:pPr>
      <w:r>
        <w:t>Anglian Water</w:t>
      </w:r>
    </w:p>
    <w:p>
      <w:r>
        <w:t>Anglian Water provides useful public evidence of an open-data program, a release schedule and FAIROE principles: findable, accessible, interoperable, reusable, open and ethical. Its CReDo work shows cross-sector infrastructure data for climate resilience. The Strategic Pipeline Alliance case shows GIS in a common data environment for a digital twin. The utility also reported 1.5 million smart meters in July 2026. [C01-C04]</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4910"/>
        <w:gridCol w:w="4910"/>
      </w:tblGrid>
      <w:tr>
        <w:trPr>
          <w:tblHeader w:val="true"/>
          <w:cantSplit/>
        </w:trPr>
        <w:tc>
          <w:tcPr>
            <w:tcW w:type="dxa" w:w="3000"/>
            <w:tcMar>
              <w:top w:w="75" w:type="dxa"/>
              <w:start w:w="90" w:type="dxa"/>
              <w:bottom w:w="75" w:type="dxa"/>
              <w:end w:w="90" w:type="dxa"/>
            </w:tcMar>
            <w:shd w:fill="1B1B1C"/>
          </w:tcPr>
          <w:p>
            <w:pPr>
              <w:spacing w:after="0"/>
            </w:pPr>
            <w:r>
              <w:rPr>
                <w:rFonts w:ascii="Arial" w:hAnsi="Arial"/>
                <w:b/>
                <w:color w:val="FFFFFF"/>
                <w:sz w:val="16"/>
              </w:rPr>
              <w:t>Pattern</w:t>
            </w:r>
          </w:p>
        </w:tc>
        <w:tc>
          <w:tcPr>
            <w:tcW w:type="dxa" w:w="6300"/>
            <w:tcMar>
              <w:top w:w="75" w:type="dxa"/>
              <w:start w:w="90" w:type="dxa"/>
              <w:bottom w:w="75" w:type="dxa"/>
              <w:end w:w="90" w:type="dxa"/>
            </w:tcMar>
            <w:shd w:fill="1B1B1C"/>
          </w:tcPr>
          <w:p>
            <w:pPr>
              <w:spacing w:after="0"/>
            </w:pPr>
            <w:r>
              <w:rPr>
                <w:rFonts w:ascii="Arial" w:hAnsi="Arial"/>
                <w:b/>
                <w:color w:val="FFFFFF"/>
                <w:sz w:val="16"/>
              </w:rPr>
              <w:t>Assessment question</w:t>
            </w:r>
          </w:p>
        </w:tc>
      </w:tr>
      <w:tr>
        <w:trPr>
          <w:cantSplit/>
        </w:trPr>
        <w:tc>
          <w:tcPr>
            <w:tcW w:type="dxa" w:w="3000"/>
            <w:tcMar>
              <w:top w:w="70" w:type="dxa"/>
              <w:start w:w="90" w:type="dxa"/>
              <w:bottom w:w="70" w:type="dxa"/>
              <w:end w:w="90" w:type="dxa"/>
            </w:tcMar>
            <w:vAlign w:val="center"/>
          </w:tcPr>
          <w:p>
            <w:pPr>
              <w:spacing w:after="0"/>
            </w:pPr>
            <w:r>
              <w:rPr>
                <w:rFonts w:ascii="Arial" w:hAnsi="Arial"/>
                <w:b/>
                <w:color w:val="0E2530"/>
                <w:sz w:val="16"/>
              </w:rPr>
              <w:t>Planned data release</w:t>
            </w:r>
          </w:p>
        </w:tc>
        <w:tc>
          <w:tcPr>
            <w:tcW w:type="dxa" w:w="6300"/>
            <w:tcMar>
              <w:top w:w="70" w:type="dxa"/>
              <w:start w:w="90" w:type="dxa"/>
              <w:bottom w:w="70" w:type="dxa"/>
              <w:end w:w="90" w:type="dxa"/>
            </w:tcMar>
            <w:vAlign w:val="center"/>
          </w:tcPr>
          <w:p>
            <w:pPr>
              <w:spacing w:after="0"/>
            </w:pPr>
            <w:r>
              <w:rPr>
                <w:rFonts w:ascii="Arial" w:hAnsi="Arial"/>
                <w:color w:val="1B1B1C"/>
                <w:sz w:val="16"/>
              </w:rPr>
              <w:t>Is there an owned release plan, consumer feedback and a maintained quality statement?</w:t>
            </w:r>
          </w:p>
        </w:tc>
      </w:tr>
      <w:tr>
        <w:trPr>
          <w:cantSplit/>
        </w:trPr>
        <w:tc>
          <w:tcPr>
            <w:tcW w:type="dxa" w:w="3000"/>
            <w:tcMar>
              <w:top w:w="70" w:type="dxa"/>
              <w:start w:w="90" w:type="dxa"/>
              <w:bottom w:w="70" w:type="dxa"/>
              <w:end w:w="90" w:type="dxa"/>
            </w:tcMar>
            <w:shd w:fill="F1EFE5"/>
            <w:vAlign w:val="center"/>
          </w:tcPr>
          <w:p>
            <w:pPr>
              <w:spacing w:after="0"/>
            </w:pPr>
            <w:r>
              <w:rPr>
                <w:rFonts w:ascii="Arial" w:hAnsi="Arial"/>
                <w:b/>
                <w:color w:val="0E2530"/>
                <w:sz w:val="16"/>
              </w:rPr>
              <w:t>FAIROE and publication risk</w:t>
            </w:r>
          </w:p>
        </w:tc>
        <w:tc>
          <w:tcPr>
            <w:tcW w:type="dxa" w:w="6300"/>
            <w:tcMar>
              <w:top w:w="70" w:type="dxa"/>
              <w:start w:w="90" w:type="dxa"/>
              <w:bottom w:w="70" w:type="dxa"/>
              <w:end w:w="90" w:type="dxa"/>
            </w:tcMar>
            <w:shd w:fill="F1EFE5"/>
            <w:vAlign w:val="center"/>
          </w:tcPr>
          <w:p>
            <w:pPr>
              <w:spacing w:after="0"/>
            </w:pPr>
            <w:r>
              <w:rPr>
                <w:rFonts w:ascii="Arial" w:hAnsi="Arial"/>
                <w:color w:val="1B1B1C"/>
                <w:sz w:val="16"/>
              </w:rPr>
              <w:t>Are provenance, quality, ethics, security and misuse risk reviewed before release?</w:t>
            </w:r>
          </w:p>
        </w:tc>
      </w:tr>
      <w:tr>
        <w:trPr>
          <w:cantSplit/>
        </w:trPr>
        <w:tc>
          <w:tcPr>
            <w:tcW w:type="dxa" w:w="3000"/>
            <w:tcMar>
              <w:top w:w="70" w:type="dxa"/>
              <w:start w:w="90" w:type="dxa"/>
              <w:bottom w:w="70" w:type="dxa"/>
              <w:end w:w="90" w:type="dxa"/>
            </w:tcMar>
            <w:vAlign w:val="center"/>
          </w:tcPr>
          <w:p>
            <w:pPr>
              <w:spacing w:after="0"/>
            </w:pPr>
            <w:r>
              <w:rPr>
                <w:rFonts w:ascii="Arial" w:hAnsi="Arial"/>
                <w:b/>
                <w:color w:val="0E2530"/>
                <w:sz w:val="16"/>
              </w:rPr>
              <w:t>Cross-sector digital twin</w:t>
            </w:r>
          </w:p>
        </w:tc>
        <w:tc>
          <w:tcPr>
            <w:tcW w:type="dxa" w:w="6300"/>
            <w:tcMar>
              <w:top w:w="70" w:type="dxa"/>
              <w:start w:w="90" w:type="dxa"/>
              <w:bottom w:w="70" w:type="dxa"/>
              <w:end w:w="90" w:type="dxa"/>
            </w:tcMar>
            <w:vAlign w:val="center"/>
          </w:tcPr>
          <w:p>
            <w:pPr>
              <w:spacing w:after="0"/>
            </w:pPr>
            <w:r>
              <w:rPr>
                <w:rFonts w:ascii="Arial" w:hAnsi="Arial"/>
                <w:color w:val="1B1B1C"/>
                <w:sz w:val="16"/>
              </w:rPr>
              <w:t>Do identifiers, versions, rights and scenario assumptions work across owners?</w:t>
            </w:r>
          </w:p>
        </w:tc>
      </w:tr>
      <w:tr>
        <w:trPr>
          <w:cantSplit/>
        </w:trPr>
        <w:tc>
          <w:tcPr>
            <w:tcW w:type="dxa" w:w="3000"/>
            <w:tcMar>
              <w:top w:w="70" w:type="dxa"/>
              <w:start w:w="90" w:type="dxa"/>
              <w:bottom w:w="70" w:type="dxa"/>
              <w:end w:w="90" w:type="dxa"/>
            </w:tcMar>
            <w:shd w:fill="F1EFE5"/>
            <w:vAlign w:val="center"/>
          </w:tcPr>
          <w:p>
            <w:pPr>
              <w:spacing w:after="0"/>
            </w:pPr>
            <w:r>
              <w:rPr>
                <w:rFonts w:ascii="Arial" w:hAnsi="Arial"/>
                <w:b/>
                <w:color w:val="0E2530"/>
                <w:sz w:val="16"/>
              </w:rPr>
              <w:t>Smart-meter scale</w:t>
            </w:r>
          </w:p>
        </w:tc>
        <w:tc>
          <w:tcPr>
            <w:tcW w:type="dxa" w:w="6300"/>
            <w:tcMar>
              <w:top w:w="70" w:type="dxa"/>
              <w:start w:w="90" w:type="dxa"/>
              <w:bottom w:w="70" w:type="dxa"/>
              <w:end w:w="90" w:type="dxa"/>
            </w:tcMar>
            <w:shd w:fill="F1EFE5"/>
            <w:vAlign w:val="center"/>
          </w:tcPr>
          <w:p>
            <w:pPr>
              <w:spacing w:after="0"/>
            </w:pPr>
            <w:r>
              <w:rPr>
                <w:rFonts w:ascii="Arial" w:hAnsi="Arial"/>
                <w:color w:val="1B1B1C"/>
                <w:sz w:val="16"/>
              </w:rPr>
              <w:t>Are interval quality, privacy, estimation, correction, access and retention controlled?</w:t>
            </w:r>
          </w:p>
        </w:tc>
      </w:tr>
    </w:tbl>
    <w:p>
      <w:pPr>
        <w:spacing w:after="0"/>
      </w:pPr>
    </w:p>
    <w:p>
      <w:pPr>
        <w:pStyle w:val="Heading2"/>
      </w:pPr>
      <w:r>
        <w:t>Singapore PUB</w:t>
      </w:r>
    </w:p>
    <w:p>
      <w:r>
        <w:t>PUB's Smart Water Meter Programme provides a public pattern for secure meter transmission, customer access to usage information and a large coordinated rollout with SP Services. The transferable question is not whether a utility has smart meters. It is whether the utility can govern meter identity, time, estimate, correction, customer access, privacy, security and downstream use at scale. [C05-C06]</w:t>
      </w:r>
    </w:p>
    <w:p>
      <w:pPr>
        <w:pStyle w:val="Heading2"/>
      </w:pPr>
      <w:r>
        <w:t>NEOM</w:t>
      </w:r>
    </w:p>
    <w:p>
      <w:r>
        <w:t>NEOM and TONOMUS provide public signals around consent-based data, digital infrastructure, private cloud, local requirements and privacy. The case is useful for data sovereignty, platform and new-city design questions. The public sources do not prove enterprise control effectiveness. An assessment should request internal data flows, decision rights, access evidence, retention, supplier terms, incident records and independent assurance. [C07-C09]</w:t>
      </w:r>
    </w:p>
    <w:tbl>
      <w:tblPr>
        <w:tblW w:type="auto" w:w="0"/>
        <w:jc w:val="center"/>
        <w:tblLayout w:type="fixed"/>
        <w:tblLook w:firstColumn="1" w:firstRow="1" w:lastColumn="0" w:lastRow="0" w:noHBand="0" w:noVBand="1" w:val="04A0"/>
        <w:tblBorders>
          <w:top w:val="single" w:sz="10" w:space="0" w:color="C9A26A"/>
          <w:left w:val="single" w:sz="10" w:space="0" w:color="C9A26A"/>
          <w:bottom w:val="single" w:sz="10" w:space="0" w:color="C9A26A"/>
          <w:right w:val="single" w:sz="10" w:space="0" w:color="C9A26A"/>
          <w:insideH w:val="single" w:sz="10" w:space="0" w:color="C9A26A"/>
          <w:insideV w:val="single" w:sz="10" w:space="0" w:color="C9A26A"/>
        </w:tblBorders>
      </w:tblPr>
      <w:tblGrid>
        <w:gridCol w:w="9820"/>
      </w:tblGrid>
      <w:tr>
        <w:trPr>
          <w:cantSplit/>
        </w:trPr>
        <w:tc>
          <w:tcPr>
            <w:tcW w:type="dxa" w:w="9820"/>
            <w:shd w:fill="FFF7E6"/>
            <w:tcMar>
              <w:top w:w="140" w:type="dxa"/>
              <w:start w:w="170" w:type="dxa"/>
              <w:bottom w:w="140" w:type="dxa"/>
              <w:end w:w="170" w:type="dxa"/>
            </w:tcMar>
          </w:tcPr>
          <w:p>
            <w:pPr>
              <w:spacing w:after="80"/>
            </w:pPr>
            <w:r>
              <w:rPr>
                <w:rFonts w:ascii="Arial" w:hAnsi="Arial"/>
                <w:b/>
                <w:color w:val="C9A26A"/>
                <w:sz w:val="20"/>
              </w:rPr>
              <w:t>Case rule</w:t>
            </w:r>
          </w:p>
          <w:p>
            <w:pPr>
              <w:spacing w:after="0"/>
            </w:pPr>
            <w:r>
              <w:rPr>
                <w:rFonts w:ascii="Arial" w:hAnsi="Arial"/>
                <w:color w:val="1B1B1C"/>
                <w:sz w:val="20"/>
              </w:rPr>
              <w:t>A press release, website or partner story can identify a practice worth testing. It cannot establish that the practice operates across the enterprise or that its controls are effective.</w:t>
            </w:r>
          </w:p>
        </w:tc>
      </w:tr>
    </w:tbl>
    <w:p>
      <w:pPr>
        <w:pageBreakBefore/>
        <w:spacing w:after="100"/>
      </w:pPr>
      <w:r>
        <w:rPr>
          <w:rFonts w:ascii="Arial" w:hAnsi="Arial"/>
          <w:b/>
          <w:color w:val="2F7F9E"/>
          <w:sz w:val="17"/>
        </w:rPr>
        <w:t>APPLICATION PAPER</w:t>
      </w:r>
    </w:p>
    <w:p>
      <w:pPr>
        <w:pStyle w:val="Heading1"/>
      </w:pPr>
      <w:r>
        <w:t>9. The commercial application</w:t>
      </w:r>
    </w:p>
    <w:p>
      <w:pPr>
        <w:pStyle w:val="Subtitle"/>
        <w:spacing w:after="280"/>
      </w:pPr>
      <w:r>
        <w:rPr>
          <w:color w:val="3C3B36"/>
          <w:sz w:val="25"/>
        </w:rPr>
        <w:t>Turn the paper into a progressive utility product that invites action and supports implementation.</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820"/>
      </w:tblGrid>
      <w:tr>
        <w:tc>
          <w:tcPr>
            <w:tcW w:type="dxa" w:w="1500"/>
            <w:shd w:fill="E0A64A"/>
            <w:tcMar>
              <w:top w:w="0" w:type="dxa"/>
              <w:start w:w="0" w:type="dxa"/>
              <w:bottom w:w="0" w:type="dxa"/>
              <w:end w:w="0" w:type="dxa"/>
            </w:tcMar>
          </w:tcPr>
          <w:p>
            <w:pPr>
              <w:spacing w:after="0"/>
            </w:pPr>
            <w:r>
              <w:rPr>
                <w:sz w:val="4"/>
              </w:rPr>
              <w:t xml:space="preserve"> </w:t>
            </w:r>
          </w:p>
        </w:tc>
      </w:tr>
    </w:tbl>
    <w:p>
      <w:pPr>
        <w:spacing w:before="120" w:after="0"/>
        <w:jc w:val="center"/>
      </w:pPr>
      <w:r>
        <w:drawing>
          <wp:inline xmlns:a="http://schemas.openxmlformats.org/drawingml/2006/main" xmlns:pic="http://schemas.openxmlformats.org/drawingml/2006/picture">
            <wp:extent cx="6126480" cy="3539744"/>
            <wp:docPr id="19" name="Picture 19" title="Figure 12. From public scan to continuous assurance" descr="The progressive application begins with a plain-language scan, moves into evidence-backed consultation and a funded roadmap, then stays current through control signals and periodic review."/>
            <wp:cNvGraphicFramePr>
              <a:graphicFrameLocks noChangeAspect="1"/>
            </wp:cNvGraphicFramePr>
            <a:graphic>
              <a:graphicData uri="http://schemas.openxmlformats.org/drawingml/2006/picture">
                <pic:pic>
                  <pic:nvPicPr>
                    <pic:cNvPr id="0" name="12_product.png"/>
                    <pic:cNvPicPr/>
                  </pic:nvPicPr>
                  <pic:blipFill>
                    <a:blip r:embed="rId42"/>
                    <a:stretch>
                      <a:fillRect/>
                    </a:stretch>
                  </pic:blipFill>
                  <pic:spPr>
                    <a:xfrm>
                      <a:off x="0" y="0"/>
                      <a:ext cx="6126480" cy="3539744"/>
                    </a:xfrm>
                    <a:prstGeom prst="rect"/>
                  </pic:spPr>
                </pic:pic>
              </a:graphicData>
            </a:graphic>
          </wp:inline>
        </w:drawing>
      </w:r>
    </w:p>
    <w:p>
      <w:pPr>
        <w:pStyle w:val="Caption"/>
        <w:jc w:val="left"/>
      </w:pPr>
      <w:r>
        <w:t>Figure 12. From public scan to continuous assurance</w:t>
      </w:r>
    </w:p>
    <w:p>
      <w:pPr>
        <w:spacing w:after="40"/>
      </w:pPr>
      <w:r>
        <w:rPr>
          <w:b/>
          <w:color w:val="2F7F9E"/>
        </w:rPr>
        <w:t xml:space="preserve">What this shows. </w:t>
      </w:r>
      <w:r>
        <w:t>The progressive application begins with a plain-language scan, moves into evidence-backed consultation and a funded roadmap, then stays current through control signals and periodic review.</w:t>
      </w:r>
    </w:p>
    <w:p>
      <w:pPr>
        <w:spacing w:after="180"/>
      </w:pPr>
      <w:r>
        <w:rPr>
          <w:rFonts w:ascii="Arial" w:hAnsi="Arial"/>
          <w:i/>
          <w:color w:val="7D766A"/>
          <w:sz w:val="15"/>
        </w:rPr>
        <w:t>Source: APAS AI product concept for the utility data governance assessment.</w:t>
      </w:r>
    </w:p>
    <w:p>
      <w:pPr>
        <w:pStyle w:val="Heading2"/>
      </w:pPr>
      <w:r>
        <w:t>The natural next product</w:t>
      </w:r>
    </w:p>
    <w:p>
      <w:r>
        <w:t>The paper should become the public reasoning layer for a progressive APAS assessment application. A utility enters through a clear scan. The scan explains the risk without pretending to be an audit. It can then invite a consultation, produce an evidence request, create a roadmap and remain connected to the work as controls are implemented.</w:t>
      </w:r>
    </w:p>
    <w:p>
      <w:pPr>
        <w:pStyle w:val="Heading2"/>
      </w:pPr>
      <w:r>
        <w:t>Five product levels</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2455"/>
        <w:gridCol w:w="2455"/>
        <w:gridCol w:w="2455"/>
        <w:gridCol w:w="2455"/>
      </w:tblGrid>
      <w:tr>
        <w:trPr>
          <w:tblHeader w:val="true"/>
          <w:cantSplit/>
        </w:trPr>
        <w:tc>
          <w:tcPr>
            <w:tcW w:type="dxa" w:w="1300"/>
            <w:tcMar>
              <w:top w:w="75" w:type="dxa"/>
              <w:start w:w="90" w:type="dxa"/>
              <w:bottom w:w="75" w:type="dxa"/>
              <w:end w:w="90" w:type="dxa"/>
            </w:tcMar>
            <w:shd w:fill="1B1B1C"/>
          </w:tcPr>
          <w:p>
            <w:pPr>
              <w:spacing w:after="0"/>
            </w:pPr>
            <w:r>
              <w:rPr>
                <w:rFonts w:ascii="Arial" w:hAnsi="Arial"/>
                <w:b/>
                <w:color w:val="FFFFFF"/>
                <w:sz w:val="15"/>
              </w:rPr>
              <w:t>Level</w:t>
            </w:r>
          </w:p>
        </w:tc>
        <w:tc>
          <w:tcPr>
            <w:tcW w:type="dxa" w:w="3000"/>
            <w:tcMar>
              <w:top w:w="75" w:type="dxa"/>
              <w:start w:w="90" w:type="dxa"/>
              <w:bottom w:w="75" w:type="dxa"/>
              <w:end w:w="90" w:type="dxa"/>
            </w:tcMar>
            <w:shd w:fill="1B1B1C"/>
          </w:tcPr>
          <w:p>
            <w:pPr>
              <w:spacing w:after="0"/>
            </w:pPr>
            <w:r>
              <w:rPr>
                <w:rFonts w:ascii="Arial" w:hAnsi="Arial"/>
                <w:b/>
                <w:color w:val="FFFFFF"/>
                <w:sz w:val="15"/>
              </w:rPr>
              <w:t>User experience</w:t>
            </w:r>
          </w:p>
        </w:tc>
        <w:tc>
          <w:tcPr>
            <w:tcW w:type="dxa" w:w="2600"/>
            <w:tcMar>
              <w:top w:w="75" w:type="dxa"/>
              <w:start w:w="90" w:type="dxa"/>
              <w:bottom w:w="75" w:type="dxa"/>
              <w:end w:w="90" w:type="dxa"/>
            </w:tcMar>
            <w:shd w:fill="1B1B1C"/>
          </w:tcPr>
          <w:p>
            <w:pPr>
              <w:spacing w:after="0"/>
            </w:pPr>
            <w:r>
              <w:rPr>
                <w:rFonts w:ascii="Arial" w:hAnsi="Arial"/>
                <w:b/>
                <w:color w:val="FFFFFF"/>
                <w:sz w:val="15"/>
              </w:rPr>
              <w:t>Output</w:t>
            </w:r>
          </w:p>
        </w:tc>
        <w:tc>
          <w:tcPr>
            <w:tcW w:type="dxa" w:w="2400"/>
            <w:tcMar>
              <w:top w:w="75" w:type="dxa"/>
              <w:start w:w="90" w:type="dxa"/>
              <w:bottom w:w="75" w:type="dxa"/>
              <w:end w:w="90" w:type="dxa"/>
            </w:tcMar>
            <w:shd w:fill="1B1B1C"/>
          </w:tcPr>
          <w:p>
            <w:pPr>
              <w:spacing w:after="0"/>
            </w:pPr>
            <w:r>
              <w:rPr>
                <w:rFonts w:ascii="Arial" w:hAnsi="Arial"/>
                <w:b/>
                <w:color w:val="FFFFFF"/>
                <w:sz w:val="15"/>
              </w:rPr>
              <w:t>Commercial purpose</w:t>
            </w:r>
          </w:p>
        </w:tc>
      </w:tr>
      <w:tr>
        <w:trPr>
          <w:cantSplit/>
        </w:trPr>
        <w:tc>
          <w:tcPr>
            <w:tcW w:type="dxa" w:w="1300"/>
            <w:tcMar>
              <w:top w:w="70" w:type="dxa"/>
              <w:start w:w="90" w:type="dxa"/>
              <w:bottom w:w="70" w:type="dxa"/>
              <w:end w:w="90" w:type="dxa"/>
            </w:tcMar>
            <w:vAlign w:val="center"/>
          </w:tcPr>
          <w:p>
            <w:pPr>
              <w:spacing w:after="0"/>
            </w:pPr>
            <w:r>
              <w:rPr>
                <w:rFonts w:ascii="Arial" w:hAnsi="Arial"/>
                <w:b/>
                <w:color w:val="0E2530"/>
                <w:sz w:val="15"/>
              </w:rPr>
              <w:t>1. Public scan</w:t>
            </w:r>
          </w:p>
        </w:tc>
        <w:tc>
          <w:tcPr>
            <w:tcW w:type="dxa" w:w="3000"/>
            <w:tcMar>
              <w:top w:w="70" w:type="dxa"/>
              <w:start w:w="90" w:type="dxa"/>
              <w:bottom w:w="70" w:type="dxa"/>
              <w:end w:w="90" w:type="dxa"/>
            </w:tcMar>
            <w:vAlign w:val="center"/>
          </w:tcPr>
          <w:p>
            <w:pPr>
              <w:spacing w:after="0"/>
            </w:pPr>
            <w:r>
              <w:rPr>
                <w:rFonts w:ascii="Arial" w:hAnsi="Arial"/>
                <w:color w:val="1B1B1C"/>
                <w:sz w:val="15"/>
              </w:rPr>
              <w:t>Plain questions by utility role and decision type.</w:t>
            </w:r>
          </w:p>
        </w:tc>
        <w:tc>
          <w:tcPr>
            <w:tcW w:type="dxa" w:w="2600"/>
            <w:tcMar>
              <w:top w:w="70" w:type="dxa"/>
              <w:start w:w="90" w:type="dxa"/>
              <w:bottom w:w="70" w:type="dxa"/>
              <w:end w:w="90" w:type="dxa"/>
            </w:tcMar>
            <w:vAlign w:val="center"/>
          </w:tcPr>
          <w:p>
            <w:pPr>
              <w:spacing w:after="0"/>
            </w:pPr>
            <w:r>
              <w:rPr>
                <w:rFonts w:ascii="Arial" w:hAnsi="Arial"/>
                <w:color w:val="1B1B1C"/>
                <w:sz w:val="15"/>
              </w:rPr>
              <w:t>Immediate profile, warning flags and next questions.</w:t>
            </w:r>
          </w:p>
        </w:tc>
        <w:tc>
          <w:tcPr>
            <w:tcW w:type="dxa" w:w="2400"/>
            <w:tcMar>
              <w:top w:w="70" w:type="dxa"/>
              <w:start w:w="90" w:type="dxa"/>
              <w:bottom w:w="70" w:type="dxa"/>
              <w:end w:w="90" w:type="dxa"/>
            </w:tcMar>
            <w:vAlign w:val="center"/>
          </w:tcPr>
          <w:p>
            <w:pPr>
              <w:spacing w:after="0"/>
            </w:pPr>
            <w:r>
              <w:rPr>
                <w:rFonts w:ascii="Arial" w:hAnsi="Arial"/>
                <w:color w:val="1B1B1C"/>
                <w:sz w:val="15"/>
              </w:rPr>
              <w:t>Invite participation and qualified consultation.</w:t>
            </w:r>
          </w:p>
        </w:tc>
      </w:tr>
      <w:tr>
        <w:trPr>
          <w:cantSplit/>
        </w:trPr>
        <w:tc>
          <w:tcPr>
            <w:tcW w:type="dxa" w:w="1300"/>
            <w:tcMar>
              <w:top w:w="70" w:type="dxa"/>
              <w:start w:w="90" w:type="dxa"/>
              <w:bottom w:w="70" w:type="dxa"/>
              <w:end w:w="90" w:type="dxa"/>
            </w:tcMar>
            <w:shd w:fill="F1EFE5"/>
            <w:vAlign w:val="center"/>
          </w:tcPr>
          <w:p>
            <w:pPr>
              <w:spacing w:after="0"/>
            </w:pPr>
            <w:r>
              <w:rPr>
                <w:rFonts w:ascii="Arial" w:hAnsi="Arial"/>
                <w:b/>
                <w:color w:val="0E2530"/>
                <w:sz w:val="15"/>
              </w:rPr>
              <w:t>2. Guided assessment</w:t>
            </w:r>
          </w:p>
        </w:tc>
        <w:tc>
          <w:tcPr>
            <w:tcW w:type="dxa" w:w="3000"/>
            <w:tcMar>
              <w:top w:w="70" w:type="dxa"/>
              <w:start w:w="90" w:type="dxa"/>
              <w:bottom w:w="70" w:type="dxa"/>
              <w:end w:w="90" w:type="dxa"/>
            </w:tcMar>
            <w:shd w:fill="F1EFE5"/>
            <w:vAlign w:val="center"/>
          </w:tcPr>
          <w:p>
            <w:pPr>
              <w:spacing w:after="0"/>
            </w:pPr>
            <w:r>
              <w:rPr>
                <w:rFonts w:ascii="Arial" w:hAnsi="Arial"/>
                <w:color w:val="1B1B1C"/>
                <w:sz w:val="15"/>
              </w:rPr>
              <w:t>Evidence prompts, applicability, source links and saved progress.</w:t>
            </w:r>
          </w:p>
        </w:tc>
        <w:tc>
          <w:tcPr>
            <w:tcW w:type="dxa" w:w="2600"/>
            <w:tcMar>
              <w:top w:w="70" w:type="dxa"/>
              <w:start w:w="90" w:type="dxa"/>
              <w:bottom w:w="70" w:type="dxa"/>
              <w:end w:w="90" w:type="dxa"/>
            </w:tcMar>
            <w:shd w:fill="F1EFE5"/>
            <w:vAlign w:val="center"/>
          </w:tcPr>
          <w:p>
            <w:pPr>
              <w:spacing w:after="0"/>
            </w:pPr>
            <w:r>
              <w:rPr>
                <w:rFonts w:ascii="Arial" w:hAnsi="Arial"/>
                <w:color w:val="1B1B1C"/>
                <w:sz w:val="15"/>
              </w:rPr>
              <w:t>Domain scores, confidence, gaps and interview plan.</w:t>
            </w:r>
          </w:p>
        </w:tc>
        <w:tc>
          <w:tcPr>
            <w:tcW w:type="dxa" w:w="2400"/>
            <w:tcMar>
              <w:top w:w="70" w:type="dxa"/>
              <w:start w:w="90" w:type="dxa"/>
              <w:bottom w:w="70" w:type="dxa"/>
              <w:end w:w="90" w:type="dxa"/>
            </w:tcMar>
            <w:shd w:fill="F1EFE5"/>
            <w:vAlign w:val="center"/>
          </w:tcPr>
          <w:p>
            <w:pPr>
              <w:spacing w:after="0"/>
            </w:pPr>
            <w:r>
              <w:rPr>
                <w:rFonts w:ascii="Arial" w:hAnsi="Arial"/>
                <w:color w:val="1B1B1C"/>
                <w:sz w:val="15"/>
              </w:rPr>
              <w:t>Structured diagnostic engagement.</w:t>
            </w:r>
          </w:p>
        </w:tc>
      </w:tr>
      <w:tr>
        <w:trPr>
          <w:cantSplit/>
        </w:trPr>
        <w:tc>
          <w:tcPr>
            <w:tcW w:type="dxa" w:w="1300"/>
            <w:tcMar>
              <w:top w:w="70" w:type="dxa"/>
              <w:start w:w="90" w:type="dxa"/>
              <w:bottom w:w="70" w:type="dxa"/>
              <w:end w:w="90" w:type="dxa"/>
            </w:tcMar>
            <w:vAlign w:val="center"/>
          </w:tcPr>
          <w:p>
            <w:pPr>
              <w:spacing w:after="0"/>
            </w:pPr>
            <w:r>
              <w:rPr>
                <w:rFonts w:ascii="Arial" w:hAnsi="Arial"/>
                <w:b/>
                <w:color w:val="0E2530"/>
                <w:sz w:val="15"/>
              </w:rPr>
              <w:t>3. Strategic roadmap</w:t>
            </w:r>
          </w:p>
        </w:tc>
        <w:tc>
          <w:tcPr>
            <w:tcW w:type="dxa" w:w="3000"/>
            <w:tcMar>
              <w:top w:w="70" w:type="dxa"/>
              <w:start w:w="90" w:type="dxa"/>
              <w:bottom w:w="70" w:type="dxa"/>
              <w:end w:w="90" w:type="dxa"/>
            </w:tcMar>
            <w:vAlign w:val="center"/>
          </w:tcPr>
          <w:p>
            <w:pPr>
              <w:spacing w:after="0"/>
            </w:pPr>
            <w:r>
              <w:rPr>
                <w:rFonts w:ascii="Arial" w:hAnsi="Arial"/>
                <w:color w:val="1B1B1C"/>
                <w:sz w:val="15"/>
              </w:rPr>
              <w:t>Owners, actions, dependencies, dates, cost range and decisions.</w:t>
            </w:r>
          </w:p>
        </w:tc>
        <w:tc>
          <w:tcPr>
            <w:tcW w:type="dxa" w:w="2600"/>
            <w:tcMar>
              <w:top w:w="70" w:type="dxa"/>
              <w:start w:w="90" w:type="dxa"/>
              <w:bottom w:w="70" w:type="dxa"/>
              <w:end w:w="90" w:type="dxa"/>
            </w:tcMar>
            <w:vAlign w:val="center"/>
          </w:tcPr>
          <w:p>
            <w:pPr>
              <w:spacing w:after="0"/>
            </w:pPr>
            <w:r>
              <w:rPr>
                <w:rFonts w:ascii="Arial" w:hAnsi="Arial"/>
                <w:color w:val="1B1B1C"/>
                <w:sz w:val="15"/>
              </w:rPr>
              <w:t>Funded plan and executive pack.</w:t>
            </w:r>
          </w:p>
        </w:tc>
        <w:tc>
          <w:tcPr>
            <w:tcW w:type="dxa" w:w="2400"/>
            <w:tcMar>
              <w:top w:w="70" w:type="dxa"/>
              <w:start w:w="90" w:type="dxa"/>
              <w:bottom w:w="70" w:type="dxa"/>
              <w:end w:w="90" w:type="dxa"/>
            </w:tcMar>
            <w:vAlign w:val="center"/>
          </w:tcPr>
          <w:p>
            <w:pPr>
              <w:spacing w:after="0"/>
            </w:pPr>
            <w:r>
              <w:rPr>
                <w:rFonts w:ascii="Arial" w:hAnsi="Arial"/>
                <w:color w:val="1B1B1C"/>
                <w:sz w:val="15"/>
              </w:rPr>
              <w:t>Consulting and program design.</w:t>
            </w:r>
          </w:p>
        </w:tc>
      </w:tr>
      <w:tr>
        <w:trPr>
          <w:cantSplit/>
        </w:trPr>
        <w:tc>
          <w:tcPr>
            <w:tcW w:type="dxa" w:w="1300"/>
            <w:tcMar>
              <w:top w:w="70" w:type="dxa"/>
              <w:start w:w="90" w:type="dxa"/>
              <w:bottom w:w="70" w:type="dxa"/>
              <w:end w:w="90" w:type="dxa"/>
            </w:tcMar>
            <w:shd w:fill="F1EFE5"/>
            <w:vAlign w:val="center"/>
          </w:tcPr>
          <w:p>
            <w:pPr>
              <w:spacing w:after="0"/>
            </w:pPr>
            <w:r>
              <w:rPr>
                <w:rFonts w:ascii="Arial" w:hAnsi="Arial"/>
                <w:b/>
                <w:color w:val="0E2530"/>
                <w:sz w:val="15"/>
              </w:rPr>
              <w:t>4. Implementation workspace</w:t>
            </w:r>
          </w:p>
        </w:tc>
        <w:tc>
          <w:tcPr>
            <w:tcW w:type="dxa" w:w="3000"/>
            <w:tcMar>
              <w:top w:w="70" w:type="dxa"/>
              <w:start w:w="90" w:type="dxa"/>
              <w:bottom w:w="70" w:type="dxa"/>
              <w:end w:w="90" w:type="dxa"/>
            </w:tcMar>
            <w:shd w:fill="F1EFE5"/>
            <w:vAlign w:val="center"/>
          </w:tcPr>
          <w:p>
            <w:pPr>
              <w:spacing w:after="0"/>
            </w:pPr>
            <w:r>
              <w:rPr>
                <w:rFonts w:ascii="Arial" w:hAnsi="Arial"/>
                <w:color w:val="1B1B1C"/>
                <w:sz w:val="15"/>
              </w:rPr>
              <w:t>Controls, data products, lineage samples, issues and closure proof.</w:t>
            </w:r>
          </w:p>
        </w:tc>
        <w:tc>
          <w:tcPr>
            <w:tcW w:type="dxa" w:w="2600"/>
            <w:tcMar>
              <w:top w:w="70" w:type="dxa"/>
              <w:start w:w="90" w:type="dxa"/>
              <w:bottom w:w="70" w:type="dxa"/>
              <w:end w:w="90" w:type="dxa"/>
            </w:tcMar>
            <w:shd w:fill="F1EFE5"/>
            <w:vAlign w:val="center"/>
          </w:tcPr>
          <w:p>
            <w:pPr>
              <w:spacing w:after="0"/>
            </w:pPr>
            <w:r>
              <w:rPr>
                <w:rFonts w:ascii="Arial" w:hAnsi="Arial"/>
                <w:color w:val="1B1B1C"/>
                <w:sz w:val="15"/>
              </w:rPr>
              <w:t>Operating model and measurable adoption.</w:t>
            </w:r>
          </w:p>
        </w:tc>
        <w:tc>
          <w:tcPr>
            <w:tcW w:type="dxa" w:w="2400"/>
            <w:tcMar>
              <w:top w:w="70" w:type="dxa"/>
              <w:start w:w="90" w:type="dxa"/>
              <w:bottom w:w="70" w:type="dxa"/>
              <w:end w:w="90" w:type="dxa"/>
            </w:tcMar>
            <w:shd w:fill="F1EFE5"/>
            <w:vAlign w:val="center"/>
          </w:tcPr>
          <w:p>
            <w:pPr>
              <w:spacing w:after="0"/>
            </w:pPr>
            <w:r>
              <w:rPr>
                <w:rFonts w:ascii="Arial" w:hAnsi="Arial"/>
                <w:color w:val="1B1B1C"/>
                <w:sz w:val="15"/>
              </w:rPr>
              <w:t>Implementation and change support.</w:t>
            </w:r>
          </w:p>
        </w:tc>
      </w:tr>
      <w:tr>
        <w:trPr>
          <w:cantSplit/>
        </w:trPr>
        <w:tc>
          <w:tcPr>
            <w:tcW w:type="dxa" w:w="1300"/>
            <w:tcMar>
              <w:top w:w="70" w:type="dxa"/>
              <w:start w:w="90" w:type="dxa"/>
              <w:bottom w:w="70" w:type="dxa"/>
              <w:end w:w="90" w:type="dxa"/>
            </w:tcMar>
            <w:vAlign w:val="center"/>
          </w:tcPr>
          <w:p>
            <w:pPr>
              <w:spacing w:after="0"/>
            </w:pPr>
            <w:r>
              <w:rPr>
                <w:rFonts w:ascii="Arial" w:hAnsi="Arial"/>
                <w:b/>
                <w:color w:val="0E2530"/>
                <w:sz w:val="15"/>
              </w:rPr>
              <w:t>5. Continuous assurance</w:t>
            </w:r>
          </w:p>
        </w:tc>
        <w:tc>
          <w:tcPr>
            <w:tcW w:type="dxa" w:w="3000"/>
            <w:tcMar>
              <w:top w:w="70" w:type="dxa"/>
              <w:start w:w="90" w:type="dxa"/>
              <w:bottom w:w="70" w:type="dxa"/>
              <w:end w:w="90" w:type="dxa"/>
            </w:tcMar>
            <w:vAlign w:val="center"/>
          </w:tcPr>
          <w:p>
            <w:pPr>
              <w:spacing w:after="0"/>
            </w:pPr>
            <w:r>
              <w:rPr>
                <w:rFonts w:ascii="Arial" w:hAnsi="Arial"/>
                <w:color w:val="1B1B1C"/>
                <w:sz w:val="15"/>
              </w:rPr>
              <w:t>Automated signals, source monitoring, recertification and board views.</w:t>
            </w:r>
          </w:p>
        </w:tc>
        <w:tc>
          <w:tcPr>
            <w:tcW w:type="dxa" w:w="2600"/>
            <w:tcMar>
              <w:top w:w="70" w:type="dxa"/>
              <w:start w:w="90" w:type="dxa"/>
              <w:bottom w:w="70" w:type="dxa"/>
              <w:end w:w="90" w:type="dxa"/>
            </w:tcMar>
            <w:vAlign w:val="center"/>
          </w:tcPr>
          <w:p>
            <w:pPr>
              <w:spacing w:after="0"/>
            </w:pPr>
            <w:r>
              <w:rPr>
                <w:rFonts w:ascii="Arial" w:hAnsi="Arial"/>
                <w:color w:val="1B1B1C"/>
                <w:sz w:val="15"/>
              </w:rPr>
              <w:t>Current control state and residual risk.</w:t>
            </w:r>
          </w:p>
        </w:tc>
        <w:tc>
          <w:tcPr>
            <w:tcW w:type="dxa" w:w="2400"/>
            <w:tcMar>
              <w:top w:w="70" w:type="dxa"/>
              <w:start w:w="90" w:type="dxa"/>
              <w:bottom w:w="70" w:type="dxa"/>
              <w:end w:w="90" w:type="dxa"/>
            </w:tcMar>
            <w:vAlign w:val="center"/>
          </w:tcPr>
          <w:p>
            <w:pPr>
              <w:spacing w:after="0"/>
            </w:pPr>
            <w:r>
              <w:rPr>
                <w:rFonts w:ascii="Arial" w:hAnsi="Arial"/>
                <w:color w:val="1B1B1C"/>
                <w:sz w:val="15"/>
              </w:rPr>
              <w:t>Recurring product and assurance service.</w:t>
            </w:r>
          </w:p>
        </w:tc>
      </w:tr>
    </w:tbl>
    <w:p>
      <w:pPr>
        <w:spacing w:after="0"/>
      </w:pPr>
    </w:p>
    <w:p>
      <w:pPr>
        <w:pStyle w:val="Heading2"/>
      </w:pPr>
      <w:r>
        <w:t>What the assessment application can look like</w:t>
      </w:r>
    </w:p>
    <w:p>
      <w:r>
        <w:t>The application should make the work visible without reducing it to a single maturity number. The first view tells an executive where the organization stands, which twin phase is supported by evidence and which decision chains need attention first.</w:t>
      </w:r>
    </w:p>
    <w:p>
      <w:r>
        <w:br w:type="page"/>
      </w:r>
    </w:p>
    <w:p>
      <w:pPr>
        <w:spacing w:before="120" w:after="0"/>
        <w:jc w:val="center"/>
      </w:pPr>
      <w:r>
        <w:drawing>
          <wp:inline xmlns:a="http://schemas.openxmlformats.org/drawingml/2006/main" xmlns:pic="http://schemas.openxmlformats.org/drawingml/2006/picture">
            <wp:extent cx="6126480" cy="4152392"/>
            <wp:docPr id="20" name="Picture 20" title="Figure 16. Assessment application concept: executive scorecard" descr="The executive view shows maturity, evidence confidence, the current twin phase, priority domains and the three decision chains that need attention first. The score is a starting point for action, not an assurance opinion."/>
            <wp:cNvGraphicFramePr>
              <a:graphicFrameLocks noChangeAspect="1"/>
            </wp:cNvGraphicFramePr>
            <a:graphic>
              <a:graphicData uri="http://schemas.openxmlformats.org/drawingml/2006/picture">
                <pic:pic>
                  <pic:nvPicPr>
                    <pic:cNvPr id="0" name="16_app_scorecard.png"/>
                    <pic:cNvPicPr/>
                  </pic:nvPicPr>
                  <pic:blipFill>
                    <a:blip r:embed="rId43"/>
                    <a:stretch>
                      <a:fillRect/>
                    </a:stretch>
                  </pic:blipFill>
                  <pic:spPr>
                    <a:xfrm>
                      <a:off x="0" y="0"/>
                      <a:ext cx="6126480" cy="4152392"/>
                    </a:xfrm>
                    <a:prstGeom prst="rect"/>
                  </pic:spPr>
                </pic:pic>
              </a:graphicData>
            </a:graphic>
          </wp:inline>
        </w:drawing>
      </w:r>
    </w:p>
    <w:p>
      <w:pPr>
        <w:pStyle w:val="Caption"/>
        <w:jc w:val="left"/>
      </w:pPr>
      <w:r>
        <w:t>Figure 16. Assessment application concept: executive scorecard</w:t>
      </w:r>
    </w:p>
    <w:p>
      <w:pPr>
        <w:spacing w:after="40"/>
      </w:pPr>
      <w:r>
        <w:rPr>
          <w:b/>
          <w:color w:val="2F7F9E"/>
        </w:rPr>
        <w:t xml:space="preserve">What this shows. </w:t>
      </w:r>
      <w:r>
        <w:t>The executive view shows maturity, evidence confidence, the current twin phase, priority domains and the three decision chains that need attention first. The score is a starting point for action, not an assurance opinion.</w:t>
      </w:r>
    </w:p>
    <w:p>
      <w:pPr>
        <w:spacing w:after="180"/>
      </w:pPr>
      <w:r>
        <w:rPr>
          <w:rFonts w:ascii="Arial" w:hAnsi="Arial"/>
          <w:i/>
          <w:color w:val="7D766A"/>
          <w:sz w:val="15"/>
        </w:rPr>
        <w:t>Source: APAS AI product concept.</w:t>
      </w:r>
    </w:p>
    <w:p>
      <w:r>
        <w:t>The workbench then opens every score. The assessor can see the question, sampled decision, systems in scope, required evidence, applicable authorities, finding, owner, target and closure proof.</w:t>
      </w:r>
    </w:p>
    <w:p>
      <w:pPr>
        <w:spacing w:before="120" w:after="0"/>
        <w:jc w:val="center"/>
      </w:pPr>
      <w:r>
        <w:drawing>
          <wp:inline xmlns:a="http://schemas.openxmlformats.org/drawingml/2006/main" xmlns:pic="http://schemas.openxmlformats.org/drawingml/2006/picture">
            <wp:extent cx="6126480" cy="4152392"/>
            <wp:docPr id="21" name="Picture 21" title="Figure 17. Assessment application concept: evidence workbench" descr="Each criterion connects the plain-language question to required evidence, applicable standards, sampled systems, findings, accountable owners and closure proof."/>
            <wp:cNvGraphicFramePr>
              <a:graphicFrameLocks noChangeAspect="1"/>
            </wp:cNvGraphicFramePr>
            <a:graphic>
              <a:graphicData uri="http://schemas.openxmlformats.org/drawingml/2006/picture">
                <pic:pic>
                  <pic:nvPicPr>
                    <pic:cNvPr id="0" name="17_app_workbench.png"/>
                    <pic:cNvPicPr/>
                  </pic:nvPicPr>
                  <pic:blipFill>
                    <a:blip r:embed="rId44"/>
                    <a:stretch>
                      <a:fillRect/>
                    </a:stretch>
                  </pic:blipFill>
                  <pic:spPr>
                    <a:xfrm>
                      <a:off x="0" y="0"/>
                      <a:ext cx="6126480" cy="4152392"/>
                    </a:xfrm>
                    <a:prstGeom prst="rect"/>
                  </pic:spPr>
                </pic:pic>
              </a:graphicData>
            </a:graphic>
          </wp:inline>
        </w:drawing>
      </w:r>
    </w:p>
    <w:p>
      <w:pPr>
        <w:pStyle w:val="Caption"/>
        <w:jc w:val="left"/>
      </w:pPr>
      <w:r>
        <w:t>Figure 17. Assessment application concept: evidence workbench</w:t>
      </w:r>
    </w:p>
    <w:p>
      <w:pPr>
        <w:spacing w:after="40"/>
      </w:pPr>
      <w:r>
        <w:rPr>
          <w:b/>
          <w:color w:val="2F7F9E"/>
        </w:rPr>
        <w:t xml:space="preserve">What this shows. </w:t>
      </w:r>
      <w:r>
        <w:t>Each criterion connects the plain-language question to required evidence, applicable standards, sampled systems, findings, accountable owners and closure proof.</w:t>
      </w:r>
    </w:p>
    <w:p>
      <w:pPr>
        <w:spacing w:after="180"/>
      </w:pPr>
      <w:r>
        <w:rPr>
          <w:rFonts w:ascii="Arial" w:hAnsi="Arial"/>
          <w:i/>
          <w:color w:val="7D766A"/>
          <w:sz w:val="15"/>
        </w:rPr>
        <w:t>Source: APAS AI product concept.</w:t>
      </w:r>
    </w:p>
    <w:p>
      <w:r>
        <w:t>The final view turns the assessment into continuous improvement. Baseline, target, implementation, retest and verified closure remain connected, so a utility can show progress without pretending that the work is ever permanently finished.</w:t>
      </w:r>
    </w:p>
    <w:p>
      <w:pPr>
        <w:spacing w:before="120" w:after="0"/>
        <w:jc w:val="center"/>
      </w:pPr>
      <w:r>
        <w:drawing>
          <wp:inline xmlns:a="http://schemas.openxmlformats.org/drawingml/2006/main" xmlns:pic="http://schemas.openxmlformats.org/drawingml/2006/picture">
            <wp:extent cx="6126480" cy="4152392"/>
            <wp:docPr id="22" name="Picture 22" title="Figure 18. Assessment application concept: continuous improvement" descr="The application keeps the assessment alive by showing baseline, target, control implementation, retesting, verified closure and the next review cycle."/>
            <wp:cNvGraphicFramePr>
              <a:graphicFrameLocks noChangeAspect="1"/>
            </wp:cNvGraphicFramePr>
            <a:graphic>
              <a:graphicData uri="http://schemas.openxmlformats.org/drawingml/2006/picture">
                <pic:pic>
                  <pic:nvPicPr>
                    <pic:cNvPr id="0" name="18_app_improvement.png"/>
                    <pic:cNvPicPr/>
                  </pic:nvPicPr>
                  <pic:blipFill>
                    <a:blip r:embed="rId45"/>
                    <a:stretch>
                      <a:fillRect/>
                    </a:stretch>
                  </pic:blipFill>
                  <pic:spPr>
                    <a:xfrm>
                      <a:off x="0" y="0"/>
                      <a:ext cx="6126480" cy="4152392"/>
                    </a:xfrm>
                    <a:prstGeom prst="rect"/>
                  </pic:spPr>
                </pic:pic>
              </a:graphicData>
            </a:graphic>
          </wp:inline>
        </w:drawing>
      </w:r>
    </w:p>
    <w:p>
      <w:pPr>
        <w:pStyle w:val="Caption"/>
        <w:jc w:val="left"/>
      </w:pPr>
      <w:r>
        <w:t>Figure 18. Assessment application concept: continuous improvement</w:t>
      </w:r>
    </w:p>
    <w:p>
      <w:pPr>
        <w:spacing w:after="40"/>
      </w:pPr>
      <w:r>
        <w:rPr>
          <w:b/>
          <w:color w:val="2F7F9E"/>
        </w:rPr>
        <w:t xml:space="preserve">What this shows. </w:t>
      </w:r>
      <w:r>
        <w:t>The application keeps the assessment alive by showing baseline, target, control implementation, retesting, verified closure and the next review cycle.</w:t>
      </w:r>
    </w:p>
    <w:p>
      <w:pPr>
        <w:spacing w:after="180"/>
      </w:pPr>
      <w:r>
        <w:rPr>
          <w:rFonts w:ascii="Arial" w:hAnsi="Arial"/>
          <w:i/>
          <w:color w:val="7D766A"/>
          <w:sz w:val="15"/>
        </w:rPr>
        <w:t>Source: APAS AI product concept.</w:t>
      </w:r>
    </w:p>
    <w:p>
      <w:pPr>
        <w:pStyle w:val="Heading2"/>
      </w:pPr>
      <w:r>
        <w:t>Product guardrails</w:t>
      </w:r>
    </w:p>
    <w:p>
      <w:pPr>
        <w:pStyle w:val="ListBullet"/>
      </w:pPr>
      <w:r>
        <w:t>The public scan must state that it is a screening result, not legal advice, certification or an audit opinion.</w:t>
      </w:r>
    </w:p>
    <w:p>
      <w:pPr>
        <w:pStyle w:val="ListBullet"/>
      </w:pPr>
      <w:r>
        <w:t>A high score must require evidence. Self-assertion alone cannot produce an assured rating.</w:t>
      </w:r>
    </w:p>
    <w:p>
      <w:pPr>
        <w:pStyle w:val="ListBullet"/>
      </w:pPr>
      <w:r>
        <w:t>The application should separate legal applicability, maturity, evidence confidence, consequence and urgency.</w:t>
      </w:r>
    </w:p>
    <w:p>
      <w:pPr>
        <w:pStyle w:val="ListBullet"/>
      </w:pPr>
      <w:r>
        <w:t>Connections to utility systems should begin read-only. Each connector needs purpose, scope, permission, logging and an exit path.</w:t>
      </w:r>
    </w:p>
    <w:p>
      <w:pPr>
        <w:pStyle w:val="ListBullet"/>
      </w:pPr>
      <w:r>
        <w:t>Sensitive operational, customer and security data should be minimized. The product should record evidence location and control result when copying the evidence is unnecessary.</w:t>
      </w:r>
    </w:p>
    <w:p>
      <w:pPr>
        <w:pStyle w:val="ListBullet"/>
      </w:pPr>
      <w:r>
        <w:t>Every recommendation should cite the authority, identify the owner, state the expected proof and explain why it matters to the utility.</w:t>
      </w:r>
    </w:p>
    <w:p>
      <w:pPr>
        <w:pStyle w:val="ListBullet"/>
      </w:pPr>
      <w:r>
        <w:t>The standards and legal register should be versioned, reviewed and visibly dated.</w:t>
      </w:r>
    </w:p>
    <w:p>
      <w:r>
        <w:br w:type="page"/>
      </w:r>
    </w:p>
    <w:p>
      <w:pPr>
        <w:pStyle w:val="Heading2"/>
      </w:pPr>
      <w:r>
        <w:t>The core information model</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4910"/>
        <w:gridCol w:w="4910"/>
      </w:tblGrid>
      <w:tr>
        <w:trPr>
          <w:tblHeader w:val="true"/>
          <w:cantSplit/>
        </w:trPr>
        <w:tc>
          <w:tcPr>
            <w:tcW w:type="dxa" w:w="2500"/>
            <w:tcMar>
              <w:top w:w="75" w:type="dxa"/>
              <w:start w:w="90" w:type="dxa"/>
              <w:bottom w:w="75" w:type="dxa"/>
              <w:end w:w="90" w:type="dxa"/>
            </w:tcMar>
            <w:shd w:fill="1B1B1C"/>
          </w:tcPr>
          <w:p>
            <w:pPr>
              <w:spacing w:after="0"/>
            </w:pPr>
            <w:r>
              <w:rPr>
                <w:rFonts w:ascii="Arial" w:hAnsi="Arial"/>
                <w:b/>
                <w:color w:val="FFFFFF"/>
                <w:sz w:val="16"/>
              </w:rPr>
              <w:t>Entity</w:t>
            </w:r>
          </w:p>
        </w:tc>
        <w:tc>
          <w:tcPr>
            <w:tcW w:type="dxa" w:w="6800"/>
            <w:tcMar>
              <w:top w:w="75" w:type="dxa"/>
              <w:start w:w="90" w:type="dxa"/>
              <w:bottom w:w="75" w:type="dxa"/>
              <w:end w:w="90" w:type="dxa"/>
            </w:tcMar>
            <w:shd w:fill="1B1B1C"/>
          </w:tcPr>
          <w:p>
            <w:pPr>
              <w:spacing w:after="0"/>
            </w:pPr>
            <w:r>
              <w:rPr>
                <w:rFonts w:ascii="Arial" w:hAnsi="Arial"/>
                <w:b/>
                <w:color w:val="FFFFFF"/>
                <w:sz w:val="16"/>
              </w:rPr>
              <w:t>Purpose</w:t>
            </w:r>
          </w:p>
        </w:tc>
      </w:tr>
      <w:tr>
        <w:trPr>
          <w:cantSplit/>
        </w:trPr>
        <w:tc>
          <w:tcPr>
            <w:tcW w:type="dxa" w:w="2500"/>
            <w:tcMar>
              <w:top w:w="70" w:type="dxa"/>
              <w:start w:w="90" w:type="dxa"/>
              <w:bottom w:w="70" w:type="dxa"/>
              <w:end w:w="90" w:type="dxa"/>
            </w:tcMar>
            <w:vAlign w:val="center"/>
          </w:tcPr>
          <w:p>
            <w:pPr>
              <w:spacing w:after="0"/>
            </w:pPr>
            <w:r>
              <w:rPr>
                <w:rFonts w:ascii="Arial" w:hAnsi="Arial"/>
                <w:b/>
                <w:color w:val="0E2530"/>
                <w:sz w:val="16"/>
              </w:rPr>
              <w:t>Organization and service</w:t>
            </w:r>
          </w:p>
        </w:tc>
        <w:tc>
          <w:tcPr>
            <w:tcW w:type="dxa" w:w="6800"/>
            <w:tcMar>
              <w:top w:w="70" w:type="dxa"/>
              <w:start w:w="90" w:type="dxa"/>
              <w:bottom w:w="70" w:type="dxa"/>
              <w:end w:w="90" w:type="dxa"/>
            </w:tcMar>
            <w:vAlign w:val="center"/>
          </w:tcPr>
          <w:p>
            <w:pPr>
              <w:spacing w:after="0"/>
            </w:pPr>
            <w:r>
              <w:rPr>
                <w:rFonts w:ascii="Arial" w:hAnsi="Arial"/>
                <w:color w:val="1B1B1C"/>
                <w:sz w:val="16"/>
              </w:rPr>
              <w:t>Ownership model, utility services, geography and critical functions.</w:t>
            </w:r>
          </w:p>
        </w:tc>
      </w:tr>
      <w:tr>
        <w:trPr>
          <w:cantSplit/>
        </w:trPr>
        <w:tc>
          <w:tcPr>
            <w:tcW w:type="dxa" w:w="2500"/>
            <w:tcMar>
              <w:top w:w="70" w:type="dxa"/>
              <w:start w:w="90" w:type="dxa"/>
              <w:bottom w:w="70" w:type="dxa"/>
              <w:end w:w="90" w:type="dxa"/>
            </w:tcMar>
            <w:shd w:fill="F1EFE5"/>
            <w:vAlign w:val="center"/>
          </w:tcPr>
          <w:p>
            <w:pPr>
              <w:spacing w:after="0"/>
            </w:pPr>
            <w:r>
              <w:rPr>
                <w:rFonts w:ascii="Arial" w:hAnsi="Arial"/>
                <w:b/>
                <w:color w:val="0E2530"/>
                <w:sz w:val="16"/>
              </w:rPr>
              <w:t>System, interface and dataset</w:t>
            </w:r>
          </w:p>
        </w:tc>
        <w:tc>
          <w:tcPr>
            <w:tcW w:type="dxa" w:w="6800"/>
            <w:tcMar>
              <w:top w:w="70" w:type="dxa"/>
              <w:start w:w="90" w:type="dxa"/>
              <w:bottom w:w="70" w:type="dxa"/>
              <w:end w:w="90" w:type="dxa"/>
            </w:tcMar>
            <w:shd w:fill="F1EFE5"/>
            <w:vAlign w:val="center"/>
          </w:tcPr>
          <w:p>
            <w:pPr>
              <w:spacing w:after="0"/>
            </w:pPr>
            <w:r>
              <w:rPr>
                <w:rFonts w:ascii="Arial" w:hAnsi="Arial"/>
                <w:color w:val="1B1B1C"/>
                <w:sz w:val="16"/>
              </w:rPr>
              <w:t>Inventory, owner, classification, location, criticality and lifecycle.</w:t>
            </w:r>
          </w:p>
        </w:tc>
      </w:tr>
      <w:tr>
        <w:trPr>
          <w:cantSplit/>
        </w:trPr>
        <w:tc>
          <w:tcPr>
            <w:tcW w:type="dxa" w:w="2500"/>
            <w:tcMar>
              <w:top w:w="70" w:type="dxa"/>
              <w:start w:w="90" w:type="dxa"/>
              <w:bottom w:w="70" w:type="dxa"/>
              <w:end w:w="90" w:type="dxa"/>
            </w:tcMar>
            <w:vAlign w:val="center"/>
          </w:tcPr>
          <w:p>
            <w:pPr>
              <w:spacing w:after="0"/>
            </w:pPr>
            <w:r>
              <w:rPr>
                <w:rFonts w:ascii="Arial" w:hAnsi="Arial"/>
                <w:b/>
                <w:color w:val="0E2530"/>
                <w:sz w:val="16"/>
              </w:rPr>
              <w:t>Decision and use case</w:t>
            </w:r>
          </w:p>
        </w:tc>
        <w:tc>
          <w:tcPr>
            <w:tcW w:type="dxa" w:w="6800"/>
            <w:tcMar>
              <w:top w:w="70" w:type="dxa"/>
              <w:start w:w="90" w:type="dxa"/>
              <w:bottom w:w="70" w:type="dxa"/>
              <w:end w:w="90" w:type="dxa"/>
            </w:tcMar>
            <w:vAlign w:val="center"/>
          </w:tcPr>
          <w:p>
            <w:pPr>
              <w:spacing w:after="0"/>
            </w:pPr>
            <w:r>
              <w:rPr>
                <w:rFonts w:ascii="Arial" w:hAnsi="Arial"/>
                <w:color w:val="1B1B1C"/>
                <w:sz w:val="16"/>
              </w:rPr>
              <w:t>Outcome, affected people or assets, consequence, human role and authority.</w:t>
            </w:r>
          </w:p>
        </w:tc>
      </w:tr>
      <w:tr>
        <w:trPr>
          <w:cantSplit/>
        </w:trPr>
        <w:tc>
          <w:tcPr>
            <w:tcW w:type="dxa" w:w="2500"/>
            <w:tcMar>
              <w:top w:w="70" w:type="dxa"/>
              <w:start w:w="90" w:type="dxa"/>
              <w:bottom w:w="70" w:type="dxa"/>
              <w:end w:w="90" w:type="dxa"/>
            </w:tcMar>
            <w:shd w:fill="F1EFE5"/>
            <w:vAlign w:val="center"/>
          </w:tcPr>
          <w:p>
            <w:pPr>
              <w:spacing w:after="0"/>
            </w:pPr>
            <w:r>
              <w:rPr>
                <w:rFonts w:ascii="Arial" w:hAnsi="Arial"/>
                <w:b/>
                <w:color w:val="0E2530"/>
                <w:sz w:val="16"/>
              </w:rPr>
              <w:t>Criterion and source</w:t>
            </w:r>
          </w:p>
        </w:tc>
        <w:tc>
          <w:tcPr>
            <w:tcW w:type="dxa" w:w="6800"/>
            <w:tcMar>
              <w:top w:w="70" w:type="dxa"/>
              <w:start w:w="90" w:type="dxa"/>
              <w:bottom w:w="70" w:type="dxa"/>
              <w:end w:w="90" w:type="dxa"/>
            </w:tcMar>
            <w:shd w:fill="F1EFE5"/>
            <w:vAlign w:val="center"/>
          </w:tcPr>
          <w:p>
            <w:pPr>
              <w:spacing w:after="0"/>
            </w:pPr>
            <w:r>
              <w:rPr>
                <w:rFonts w:ascii="Arial" w:hAnsi="Arial"/>
                <w:color w:val="1B1B1C"/>
                <w:sz w:val="16"/>
              </w:rPr>
              <w:t>Requirement, framework anchor, status, applicability and version.</w:t>
            </w:r>
          </w:p>
        </w:tc>
      </w:tr>
      <w:tr>
        <w:trPr>
          <w:cantSplit/>
        </w:trPr>
        <w:tc>
          <w:tcPr>
            <w:tcW w:type="dxa" w:w="2500"/>
            <w:tcMar>
              <w:top w:w="70" w:type="dxa"/>
              <w:start w:w="90" w:type="dxa"/>
              <w:bottom w:w="70" w:type="dxa"/>
              <w:end w:w="90" w:type="dxa"/>
            </w:tcMar>
            <w:vAlign w:val="center"/>
          </w:tcPr>
          <w:p>
            <w:pPr>
              <w:spacing w:after="0"/>
            </w:pPr>
            <w:r>
              <w:rPr>
                <w:rFonts w:ascii="Arial" w:hAnsi="Arial"/>
                <w:b/>
                <w:color w:val="0E2530"/>
                <w:sz w:val="16"/>
              </w:rPr>
              <w:t>Control and test</w:t>
            </w:r>
          </w:p>
        </w:tc>
        <w:tc>
          <w:tcPr>
            <w:tcW w:type="dxa" w:w="6800"/>
            <w:tcMar>
              <w:top w:w="70" w:type="dxa"/>
              <w:start w:w="90" w:type="dxa"/>
              <w:bottom w:w="70" w:type="dxa"/>
              <w:end w:w="90" w:type="dxa"/>
            </w:tcMar>
            <w:vAlign w:val="center"/>
          </w:tcPr>
          <w:p>
            <w:pPr>
              <w:spacing w:after="0"/>
            </w:pPr>
            <w:r>
              <w:rPr>
                <w:rFonts w:ascii="Arial" w:hAnsi="Arial"/>
                <w:color w:val="1B1B1C"/>
                <w:sz w:val="16"/>
              </w:rPr>
              <w:t>Design, owner, frequency, sample, result, exception and independent review.</w:t>
            </w:r>
          </w:p>
        </w:tc>
      </w:tr>
      <w:tr>
        <w:trPr>
          <w:cantSplit/>
        </w:trPr>
        <w:tc>
          <w:tcPr>
            <w:tcW w:type="dxa" w:w="2500"/>
            <w:tcMar>
              <w:top w:w="70" w:type="dxa"/>
              <w:start w:w="90" w:type="dxa"/>
              <w:bottom w:w="70" w:type="dxa"/>
              <w:end w:w="90" w:type="dxa"/>
            </w:tcMar>
            <w:shd w:fill="F1EFE5"/>
            <w:vAlign w:val="center"/>
          </w:tcPr>
          <w:p>
            <w:pPr>
              <w:spacing w:after="0"/>
            </w:pPr>
            <w:r>
              <w:rPr>
                <w:rFonts w:ascii="Arial" w:hAnsi="Arial"/>
                <w:b/>
                <w:color w:val="0E2530"/>
                <w:sz w:val="16"/>
              </w:rPr>
              <w:t>Evidence</w:t>
            </w:r>
          </w:p>
        </w:tc>
        <w:tc>
          <w:tcPr>
            <w:tcW w:type="dxa" w:w="6800"/>
            <w:tcMar>
              <w:top w:w="70" w:type="dxa"/>
              <w:start w:w="90" w:type="dxa"/>
              <w:bottom w:w="70" w:type="dxa"/>
              <w:end w:w="90" w:type="dxa"/>
            </w:tcMar>
            <w:shd w:fill="F1EFE5"/>
            <w:vAlign w:val="center"/>
          </w:tcPr>
          <w:p>
            <w:pPr>
              <w:spacing w:after="0"/>
            </w:pPr>
            <w:r>
              <w:rPr>
                <w:rFonts w:ascii="Arial" w:hAnsi="Arial"/>
                <w:color w:val="1B1B1C"/>
                <w:sz w:val="16"/>
              </w:rPr>
              <w:t>Type, location, period, identifier, integrity state and retention.</w:t>
            </w:r>
          </w:p>
        </w:tc>
      </w:tr>
      <w:tr>
        <w:trPr>
          <w:cantSplit/>
        </w:trPr>
        <w:tc>
          <w:tcPr>
            <w:tcW w:type="dxa" w:w="2500"/>
            <w:tcMar>
              <w:top w:w="70" w:type="dxa"/>
              <w:start w:w="90" w:type="dxa"/>
              <w:bottom w:w="70" w:type="dxa"/>
              <w:end w:w="90" w:type="dxa"/>
            </w:tcMar>
            <w:vAlign w:val="center"/>
          </w:tcPr>
          <w:p>
            <w:pPr>
              <w:spacing w:after="0"/>
            </w:pPr>
            <w:r>
              <w:rPr>
                <w:rFonts w:ascii="Arial" w:hAnsi="Arial"/>
                <w:b/>
                <w:color w:val="0E2530"/>
                <w:sz w:val="16"/>
              </w:rPr>
              <w:t>Finding and action</w:t>
            </w:r>
          </w:p>
        </w:tc>
        <w:tc>
          <w:tcPr>
            <w:tcW w:type="dxa" w:w="6800"/>
            <w:tcMar>
              <w:top w:w="70" w:type="dxa"/>
              <w:start w:w="90" w:type="dxa"/>
              <w:bottom w:w="70" w:type="dxa"/>
              <w:end w:w="90" w:type="dxa"/>
            </w:tcMar>
            <w:vAlign w:val="center"/>
          </w:tcPr>
          <w:p>
            <w:pPr>
              <w:spacing w:after="0"/>
            </w:pPr>
            <w:r>
              <w:rPr>
                <w:rFonts w:ascii="Arial" w:hAnsi="Arial"/>
                <w:color w:val="1B1B1C"/>
                <w:sz w:val="16"/>
              </w:rPr>
              <w:t>Gap, cause, risk, owner, due date, dependency, cost and closure proof.</w:t>
            </w:r>
          </w:p>
        </w:tc>
      </w:tr>
      <w:tr>
        <w:trPr>
          <w:cantSplit/>
        </w:trPr>
        <w:tc>
          <w:tcPr>
            <w:tcW w:type="dxa" w:w="2500"/>
            <w:tcMar>
              <w:top w:w="70" w:type="dxa"/>
              <w:start w:w="90" w:type="dxa"/>
              <w:bottom w:w="70" w:type="dxa"/>
              <w:end w:w="90" w:type="dxa"/>
            </w:tcMar>
            <w:shd w:fill="F1EFE5"/>
            <w:vAlign w:val="center"/>
          </w:tcPr>
          <w:p>
            <w:pPr>
              <w:spacing w:after="0"/>
            </w:pPr>
            <w:r>
              <w:rPr>
                <w:rFonts w:ascii="Arial" w:hAnsi="Arial"/>
                <w:b/>
                <w:color w:val="0E2530"/>
                <w:sz w:val="16"/>
              </w:rPr>
              <w:t>Data product and lineage</w:t>
            </w:r>
          </w:p>
        </w:tc>
        <w:tc>
          <w:tcPr>
            <w:tcW w:type="dxa" w:w="6800"/>
            <w:tcMar>
              <w:top w:w="70" w:type="dxa"/>
              <w:start w:w="90" w:type="dxa"/>
              <w:bottom w:w="70" w:type="dxa"/>
              <w:end w:w="90" w:type="dxa"/>
            </w:tcMar>
            <w:shd w:fill="F1EFE5"/>
            <w:vAlign w:val="center"/>
          </w:tcPr>
          <w:p>
            <w:pPr>
              <w:spacing w:after="0"/>
            </w:pPr>
            <w:r>
              <w:rPr>
                <w:rFonts w:ascii="Arial" w:hAnsi="Arial"/>
                <w:color w:val="1B1B1C"/>
                <w:sz w:val="16"/>
              </w:rPr>
              <w:t>Purpose, contract, source, transformation, consumer, quality and rights.</w:t>
            </w:r>
          </w:p>
        </w:tc>
      </w:tr>
    </w:tbl>
    <w:p>
      <w:pPr>
        <w:spacing w:after="0"/>
      </w:pPr>
    </w:p>
    <w:tbl>
      <w:tblPr>
        <w:tblW w:type="auto" w:w="0"/>
        <w:jc w:val="center"/>
        <w:tblLayout w:type="fixed"/>
        <w:tblLook w:firstColumn="1" w:firstRow="1" w:lastColumn="0" w:lastRow="0" w:noHBand="0" w:noVBand="1" w:val="04A0"/>
        <w:tblBorders>
          <w:top w:val="single" w:sz="10" w:space="0" w:color="E0A64A"/>
          <w:left w:val="single" w:sz="10" w:space="0" w:color="E0A64A"/>
          <w:bottom w:val="single" w:sz="10" w:space="0" w:color="E0A64A"/>
          <w:right w:val="single" w:sz="10" w:space="0" w:color="E0A64A"/>
          <w:insideH w:val="single" w:sz="10" w:space="0" w:color="E0A64A"/>
          <w:insideV w:val="single" w:sz="10" w:space="0" w:color="E0A64A"/>
        </w:tblBorders>
      </w:tblPr>
      <w:tblGrid>
        <w:gridCol w:w="9820"/>
      </w:tblGrid>
      <w:tr>
        <w:trPr>
          <w:cantSplit/>
        </w:trPr>
        <w:tc>
          <w:tcPr>
            <w:tcW w:type="dxa" w:w="9820"/>
            <w:shd w:fill="1B1B1C"/>
            <w:tcMar>
              <w:top w:w="140" w:type="dxa"/>
              <w:start w:w="170" w:type="dxa"/>
              <w:bottom w:w="140" w:type="dxa"/>
              <w:end w:w="170" w:type="dxa"/>
            </w:tcMar>
          </w:tcPr>
          <w:p>
            <w:pPr>
              <w:spacing w:after="80"/>
            </w:pPr>
            <w:r>
              <w:rPr>
                <w:rFonts w:ascii="Arial" w:hAnsi="Arial"/>
                <w:b/>
                <w:color w:val="E0A64A"/>
                <w:sz w:val="20"/>
              </w:rPr>
              <w:t>Commercial principle</w:t>
            </w:r>
          </w:p>
          <w:p>
            <w:pPr>
              <w:spacing w:after="0"/>
            </w:pPr>
            <w:r>
              <w:rPr>
                <w:rFonts w:ascii="Arial" w:hAnsi="Arial"/>
                <w:color w:val="FFFFFF"/>
                <w:sz w:val="20"/>
              </w:rPr>
              <w:t>The scan opens the door. The value comes from helping a utility change the way it owns, explains, tests and uses data. The product should support that change, not replace professional judgment with a score.</w:t>
            </w:r>
          </w:p>
        </w:tc>
      </w:tr>
    </w:tbl>
    <w:p>
      <w:pPr>
        <w:spacing w:after="0"/>
      </w:pPr>
    </w:p>
    <w:p>
      <w:pPr>
        <w:pStyle w:val="Heading2"/>
      </w:pPr>
      <w:r>
        <w:t>What the first result page must show</w:t>
      </w:r>
    </w:p>
    <w:p>
      <w:pPr>
        <w:pStyle w:val="ListBullet"/>
      </w:pPr>
      <w:r>
        <w:t>The three decisions or data flows that need attention first.</w:t>
      </w:r>
    </w:p>
    <w:p>
      <w:pPr>
        <w:pStyle w:val="ListBullet"/>
      </w:pPr>
      <w:r>
        <w:t>The difference between the user's answer and the evidence required to support it.</w:t>
      </w:r>
    </w:p>
    <w:p>
      <w:pPr>
        <w:pStyle w:val="ListBullet"/>
      </w:pPr>
      <w:r>
        <w:t>The relevant standards, law or utility obligation in plain language.</w:t>
      </w:r>
    </w:p>
    <w:p>
      <w:pPr>
        <w:pStyle w:val="ListBullet"/>
      </w:pPr>
      <w:r>
        <w:t>The accountable seat and the next practical action.</w:t>
      </w:r>
    </w:p>
    <w:p>
      <w:pPr>
        <w:pStyle w:val="ListBullet"/>
      </w:pPr>
      <w:r>
        <w:t>A clear invitation to save the result, bring the right people together and begin an evidence-backed consultation.</w:t>
      </w:r>
    </w:p>
    <w:p>
      <w:pPr>
        <w:pageBreakBefore/>
        <w:spacing w:after="100"/>
      </w:pPr>
      <w:r>
        <w:rPr>
          <w:rFonts w:ascii="Arial" w:hAnsi="Arial"/>
          <w:b/>
          <w:color w:val="2F7F9E"/>
          <w:sz w:val="17"/>
        </w:rPr>
        <w:t>APPLICATION PAPER</w:t>
      </w:r>
    </w:p>
    <w:p>
      <w:pPr>
        <w:pStyle w:val="Heading1"/>
      </w:pPr>
      <w:r>
        <w:t>10. The governance backbone for Pump OS, Pipe OS and Reg OS</w:t>
      </w:r>
    </w:p>
    <w:p>
      <w:pPr>
        <w:pStyle w:val="Subtitle"/>
        <w:spacing w:after="280"/>
      </w:pPr>
      <w:r>
        <w:rPr>
          <w:color w:val="3C3B36"/>
          <w:sz w:val="25"/>
        </w:rPr>
        <w:t>Three applications should use one governed language for assets, events, rules, evidence, decisions and outcomes.</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820"/>
      </w:tblGrid>
      <w:tr>
        <w:tc>
          <w:tcPr>
            <w:tcW w:type="dxa" w:w="1500"/>
            <w:shd w:fill="E0A64A"/>
            <w:tcMar>
              <w:top w:w="0" w:type="dxa"/>
              <w:start w:w="0" w:type="dxa"/>
              <w:bottom w:w="0" w:type="dxa"/>
              <w:end w:w="0" w:type="dxa"/>
            </w:tcMar>
          </w:tcPr>
          <w:p>
            <w:pPr>
              <w:spacing w:after="0"/>
            </w:pPr>
            <w:r>
              <w:rPr>
                <w:sz w:val="4"/>
              </w:rPr>
              <w:t xml:space="preserve"> </w:t>
            </w:r>
          </w:p>
        </w:tc>
      </w:tr>
    </w:tbl>
    <w:p>
      <w:pPr>
        <w:spacing w:after="200"/>
      </w:pPr>
      <w:r>
        <w:rPr>
          <w:rFonts w:ascii="Times New Roman" w:hAnsi="Times New Roman"/>
          <w:color w:val="1B1B1C"/>
          <w:sz w:val="25"/>
        </w:rPr>
        <w:t>This publication becomes useful to APAS when it controls how the applications are designed, released and improved. Pump OS, Pipe OS and Reg OS solve different utility problems. They should not create three different definitions of an asset, event, rule, owner, quality result or decision. The common governance spine below is the reusable product foundation.</w:t>
      </w:r>
    </w:p>
    <w:tbl>
      <w:tblPr>
        <w:tblW w:type="auto" w:w="0"/>
        <w:jc w:val="center"/>
        <w:tblLayout w:type="fixed"/>
        <w:tblLook w:firstColumn="1" w:firstRow="1" w:lastColumn="0" w:lastRow="0" w:noHBand="0" w:noVBand="1" w:val="04A0"/>
        <w:tblBorders>
          <w:top w:val="single" w:sz="10" w:space="0" w:color="E0A64A"/>
          <w:left w:val="single" w:sz="10" w:space="0" w:color="E0A64A"/>
          <w:bottom w:val="single" w:sz="10" w:space="0" w:color="E0A64A"/>
          <w:right w:val="single" w:sz="10" w:space="0" w:color="E0A64A"/>
          <w:insideH w:val="single" w:sz="10" w:space="0" w:color="E0A64A"/>
          <w:insideV w:val="single" w:sz="10" w:space="0" w:color="E0A64A"/>
        </w:tblBorders>
      </w:tblPr>
      <w:tblGrid>
        <w:gridCol w:w="9820"/>
      </w:tblGrid>
      <w:tr>
        <w:trPr>
          <w:cantSplit/>
        </w:trPr>
        <w:tc>
          <w:tcPr>
            <w:tcW w:type="dxa" w:w="9820"/>
            <w:shd w:fill="1B1B1C"/>
            <w:tcMar>
              <w:top w:w="140" w:type="dxa"/>
              <w:start w:w="170" w:type="dxa"/>
              <w:bottom w:w="140" w:type="dxa"/>
              <w:end w:w="170" w:type="dxa"/>
            </w:tcMar>
          </w:tcPr>
          <w:p>
            <w:pPr>
              <w:spacing w:after="80"/>
            </w:pPr>
            <w:r>
              <w:rPr>
                <w:rFonts w:ascii="Arial" w:hAnsi="Arial"/>
                <w:b/>
                <w:color w:val="E0A64A"/>
                <w:sz w:val="20"/>
              </w:rPr>
              <w:t>Product rule</w:t>
            </w:r>
          </w:p>
          <w:p>
            <w:pPr>
              <w:spacing w:after="0"/>
            </w:pPr>
            <w:r>
              <w:rPr>
                <w:rFonts w:ascii="Arial" w:hAnsi="Arial"/>
                <w:color w:val="FFFFFF"/>
                <w:sz w:val="20"/>
              </w:rPr>
              <w:t>Build a governed record once, connect it through stable identifiers and reuse it wherever the same physical asset, event, obligation or decision appears. A new application may add context. It should not silently create a competing truth.</w:t>
            </w:r>
          </w:p>
        </w:tc>
      </w:tr>
    </w:tbl>
    <w:p>
      <w:pPr>
        <w:spacing w:after="0"/>
      </w:pPr>
    </w:p>
    <w:p>
      <w:pPr>
        <w:spacing w:before="120" w:after="0"/>
        <w:jc w:val="center"/>
      </w:pPr>
      <w:r>
        <w:drawing>
          <wp:inline xmlns:a="http://schemas.openxmlformats.org/drawingml/2006/main" xmlns:pic="http://schemas.openxmlformats.org/drawingml/2006/picture">
            <wp:extent cx="6126480" cy="4016248"/>
            <wp:docPr id="23" name="Picture 23" title="Figure 19. One governance spine powers three utility operating systems" descr="Pump OS, Pipe OS and Reg OS use different operational views, but they should share governed identity, meaning, quality, lineage, rights, rules, evidence, decisions and outcomes. The shared spine prevents each product from rebuilding a different version of truth."/>
            <wp:cNvGraphicFramePr>
              <a:graphicFrameLocks noChangeAspect="1"/>
            </wp:cNvGraphicFramePr>
            <a:graphic>
              <a:graphicData uri="http://schemas.openxmlformats.org/drawingml/2006/picture">
                <pic:pic>
                  <pic:nvPicPr>
                    <pic:cNvPr id="0" name="19_product_spine.png"/>
                    <pic:cNvPicPr/>
                  </pic:nvPicPr>
                  <pic:blipFill>
                    <a:blip r:embed="rId46"/>
                    <a:stretch>
                      <a:fillRect/>
                    </a:stretch>
                  </pic:blipFill>
                  <pic:spPr>
                    <a:xfrm>
                      <a:off x="0" y="0"/>
                      <a:ext cx="6126480" cy="4016248"/>
                    </a:xfrm>
                    <a:prstGeom prst="rect"/>
                  </pic:spPr>
                </pic:pic>
              </a:graphicData>
            </a:graphic>
          </wp:inline>
        </w:drawing>
      </w:r>
    </w:p>
    <w:p>
      <w:pPr>
        <w:pStyle w:val="Caption"/>
        <w:jc w:val="left"/>
      </w:pPr>
      <w:r>
        <w:t>Figure 19. One governance spine powers three utility operating systems</w:t>
      </w:r>
    </w:p>
    <w:p>
      <w:pPr>
        <w:spacing w:after="40"/>
      </w:pPr>
      <w:r>
        <w:rPr>
          <w:b/>
          <w:color w:val="2F7F9E"/>
        </w:rPr>
        <w:t xml:space="preserve">What this shows. </w:t>
      </w:r>
      <w:r>
        <w:t>Pump OS, Pipe OS and Reg OS use different operational views, but they should share governed identity, meaning, quality, lineage, rights, rules, evidence, decisions and outcomes. The shared spine prevents each product from rebuilding a different version of truth.</w:t>
      </w:r>
    </w:p>
    <w:p>
      <w:pPr>
        <w:spacing w:after="180"/>
      </w:pPr>
      <w:r>
        <w:rPr>
          <w:rFonts w:ascii="Arial" w:hAnsi="Arial"/>
          <w:i/>
          <w:color w:val="7D766A"/>
          <w:sz w:val="15"/>
        </w:rPr>
        <w:t>Source: APAS AI product operating model.</w:t>
      </w:r>
    </w:p>
    <w:p>
      <w:pPr>
        <w:pStyle w:val="Heading2"/>
      </w:pPr>
      <w:r>
        <w:t>What each application operationalizes</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2455"/>
        <w:gridCol w:w="2455"/>
        <w:gridCol w:w="2455"/>
        <w:gridCol w:w="2455"/>
      </w:tblGrid>
      <w:tr>
        <w:trPr>
          <w:tblHeader w:val="true"/>
          <w:cantSplit/>
        </w:trPr>
        <w:tc>
          <w:tcPr>
            <w:tcW w:type="dxa" w:w="1200"/>
            <w:tcMar>
              <w:top w:w="75" w:type="dxa"/>
              <w:start w:w="90" w:type="dxa"/>
              <w:bottom w:w="75" w:type="dxa"/>
              <w:end w:w="90" w:type="dxa"/>
            </w:tcMar>
            <w:shd w:fill="1B1B1C"/>
          </w:tcPr>
          <w:p>
            <w:pPr>
              <w:spacing w:after="0"/>
            </w:pPr>
            <w:r>
              <w:rPr>
                <w:rFonts w:ascii="Arial" w:hAnsi="Arial"/>
                <w:b/>
                <w:color w:val="FFFFFF"/>
                <w:sz w:val="14"/>
              </w:rPr>
              <w:t>Application</w:t>
            </w:r>
          </w:p>
        </w:tc>
        <w:tc>
          <w:tcPr>
            <w:tcW w:type="dxa" w:w="2600"/>
            <w:tcMar>
              <w:top w:w="75" w:type="dxa"/>
              <w:start w:w="90" w:type="dxa"/>
              <w:bottom w:w="75" w:type="dxa"/>
              <w:end w:w="90" w:type="dxa"/>
            </w:tcMar>
            <w:shd w:fill="1B1B1C"/>
          </w:tcPr>
          <w:p>
            <w:pPr>
              <w:spacing w:after="0"/>
            </w:pPr>
            <w:r>
              <w:rPr>
                <w:rFonts w:ascii="Arial" w:hAnsi="Arial"/>
                <w:b/>
                <w:color w:val="FFFFFF"/>
                <w:sz w:val="14"/>
              </w:rPr>
              <w:t>Decisions it supports</w:t>
            </w:r>
          </w:p>
        </w:tc>
        <w:tc>
          <w:tcPr>
            <w:tcW w:type="dxa" w:w="3100"/>
            <w:tcMar>
              <w:top w:w="75" w:type="dxa"/>
              <w:start w:w="90" w:type="dxa"/>
              <w:bottom w:w="75" w:type="dxa"/>
              <w:end w:w="90" w:type="dxa"/>
            </w:tcMar>
            <w:shd w:fill="1B1B1C"/>
          </w:tcPr>
          <w:p>
            <w:pPr>
              <w:spacing w:after="0"/>
            </w:pPr>
            <w:r>
              <w:rPr>
                <w:rFonts w:ascii="Arial" w:hAnsi="Arial"/>
                <w:b/>
                <w:color w:val="FFFFFF"/>
                <w:sz w:val="14"/>
              </w:rPr>
              <w:t>Data that must connect</w:t>
            </w:r>
          </w:p>
        </w:tc>
        <w:tc>
          <w:tcPr>
            <w:tcW w:type="dxa" w:w="2400"/>
            <w:tcMar>
              <w:top w:w="75" w:type="dxa"/>
              <w:start w:w="90" w:type="dxa"/>
              <w:bottom w:w="75" w:type="dxa"/>
              <w:end w:w="90" w:type="dxa"/>
            </w:tcMar>
            <w:shd w:fill="1B1B1C"/>
          </w:tcPr>
          <w:p>
            <w:pPr>
              <w:spacing w:after="0"/>
            </w:pPr>
            <w:r>
              <w:rPr>
                <w:rFonts w:ascii="Arial" w:hAnsi="Arial"/>
                <w:b/>
                <w:color w:val="FFFFFF"/>
                <w:sz w:val="14"/>
              </w:rPr>
              <w:t>Governed output and proof</w:t>
            </w:r>
          </w:p>
        </w:tc>
      </w:tr>
      <w:tr>
        <w:trPr>
          <w:cantSplit/>
        </w:trPr>
        <w:tc>
          <w:tcPr>
            <w:tcW w:type="dxa" w:w="1200"/>
            <w:tcMar>
              <w:top w:w="70" w:type="dxa"/>
              <w:start w:w="90" w:type="dxa"/>
              <w:bottom w:w="70" w:type="dxa"/>
              <w:end w:w="90" w:type="dxa"/>
            </w:tcMar>
            <w:vAlign w:val="center"/>
          </w:tcPr>
          <w:p>
            <w:pPr>
              <w:spacing w:after="0"/>
            </w:pPr>
            <w:r>
              <w:rPr>
                <w:rFonts w:ascii="Arial" w:hAnsi="Arial"/>
                <w:b/>
                <w:color w:val="0E2530"/>
                <w:sz w:val="14"/>
              </w:rPr>
              <w:t>Pump OS</w:t>
            </w:r>
          </w:p>
        </w:tc>
        <w:tc>
          <w:tcPr>
            <w:tcW w:type="dxa" w:w="2600"/>
            <w:tcMar>
              <w:top w:w="70" w:type="dxa"/>
              <w:start w:w="90" w:type="dxa"/>
              <w:bottom w:w="70" w:type="dxa"/>
              <w:end w:w="90" w:type="dxa"/>
            </w:tcMar>
            <w:vAlign w:val="center"/>
          </w:tcPr>
          <w:p>
            <w:pPr>
              <w:spacing w:after="0"/>
            </w:pPr>
            <w:r>
              <w:rPr>
                <w:rFonts w:ascii="Arial" w:hAnsi="Arial"/>
                <w:color w:val="1B1B1C"/>
                <w:sz w:val="14"/>
              </w:rPr>
              <w:t>Is the pump available, healthy, efficient and safe to run? What work should happen next?</w:t>
            </w:r>
          </w:p>
        </w:tc>
        <w:tc>
          <w:tcPr>
            <w:tcW w:type="dxa" w:w="3100"/>
            <w:tcMar>
              <w:top w:w="70" w:type="dxa"/>
              <w:start w:w="90" w:type="dxa"/>
              <w:bottom w:w="70" w:type="dxa"/>
              <w:end w:w="90" w:type="dxa"/>
            </w:tcMar>
            <w:vAlign w:val="center"/>
          </w:tcPr>
          <w:p>
            <w:pPr>
              <w:spacing w:after="0"/>
            </w:pPr>
            <w:r>
              <w:rPr>
                <w:rFonts w:ascii="Arial" w:hAnsi="Arial"/>
                <w:color w:val="1B1B1C"/>
                <w:sz w:val="14"/>
              </w:rPr>
              <w:t>SCADA status and alarms; historian trends; energy; vibration and condition; CMMS or EAM work; asset specifications; operating rules; hydraulic or process model.</w:t>
            </w:r>
          </w:p>
        </w:tc>
        <w:tc>
          <w:tcPr>
            <w:tcW w:type="dxa" w:w="2400"/>
            <w:tcMar>
              <w:top w:w="70" w:type="dxa"/>
              <w:start w:w="90" w:type="dxa"/>
              <w:bottom w:w="70" w:type="dxa"/>
              <w:end w:w="90" w:type="dxa"/>
            </w:tcMar>
            <w:vAlign w:val="center"/>
          </w:tcPr>
          <w:p>
            <w:pPr>
              <w:spacing w:after="0"/>
            </w:pPr>
            <w:r>
              <w:rPr>
                <w:rFonts w:ascii="Arial" w:hAnsi="Arial"/>
                <w:color w:val="1B1B1C"/>
                <w:sz w:val="14"/>
              </w:rPr>
              <w:t>A current pump-state and risk product with asset identity, source tags, time, calibration, quality, rule version, work history, operator action and outcome.</w:t>
            </w:r>
          </w:p>
        </w:tc>
      </w:tr>
      <w:tr>
        <w:trPr>
          <w:cantSplit/>
        </w:trPr>
        <w:tc>
          <w:tcPr>
            <w:tcW w:type="dxa" w:w="1200"/>
            <w:tcMar>
              <w:top w:w="70" w:type="dxa"/>
              <w:start w:w="90" w:type="dxa"/>
              <w:bottom w:w="70" w:type="dxa"/>
              <w:end w:w="90" w:type="dxa"/>
            </w:tcMar>
            <w:shd w:fill="F1EFE5"/>
            <w:vAlign w:val="center"/>
          </w:tcPr>
          <w:p>
            <w:pPr>
              <w:spacing w:after="0"/>
            </w:pPr>
            <w:r>
              <w:rPr>
                <w:rFonts w:ascii="Arial" w:hAnsi="Arial"/>
                <w:b/>
                <w:color w:val="0E2530"/>
                <w:sz w:val="14"/>
              </w:rPr>
              <w:t>Pipe OS</w:t>
            </w:r>
          </w:p>
        </w:tc>
        <w:tc>
          <w:tcPr>
            <w:tcW w:type="dxa" w:w="2600"/>
            <w:tcMar>
              <w:top w:w="70" w:type="dxa"/>
              <w:start w:w="90" w:type="dxa"/>
              <w:bottom w:w="70" w:type="dxa"/>
              <w:end w:w="90" w:type="dxa"/>
            </w:tcMar>
            <w:shd w:fill="F1EFE5"/>
            <w:vAlign w:val="center"/>
          </w:tcPr>
          <w:p>
            <w:pPr>
              <w:spacing w:after="0"/>
            </w:pPr>
            <w:r>
              <w:rPr>
                <w:rFonts w:ascii="Arial" w:hAnsi="Arial"/>
                <w:color w:val="1B1B1C"/>
                <w:sz w:val="14"/>
              </w:rPr>
              <w:t>Where is failure, leakage, capacity or service risk? Which inspection, repair or renewal action creates the most value?</w:t>
            </w:r>
          </w:p>
        </w:tc>
        <w:tc>
          <w:tcPr>
            <w:tcW w:type="dxa" w:w="3100"/>
            <w:tcMar>
              <w:top w:w="70" w:type="dxa"/>
              <w:start w:w="90" w:type="dxa"/>
              <w:bottom w:w="70" w:type="dxa"/>
              <w:end w:w="90" w:type="dxa"/>
            </w:tcMar>
            <w:shd w:fill="F1EFE5"/>
            <w:vAlign w:val="center"/>
          </w:tcPr>
          <w:p>
            <w:pPr>
              <w:spacing w:after="0"/>
            </w:pPr>
            <w:r>
              <w:rPr>
                <w:rFonts w:ascii="Arial" w:hAnsi="Arial"/>
                <w:color w:val="1B1B1C"/>
                <w:sz w:val="14"/>
              </w:rPr>
              <w:t>GIS identity and geometry; materials and age; inspections; pressure and flow; breaks and leaks; work orders; hydraulic model; customer impact; cost and capital plan.</w:t>
            </w:r>
          </w:p>
        </w:tc>
        <w:tc>
          <w:tcPr>
            <w:tcW w:type="dxa" w:w="2400"/>
            <w:tcMar>
              <w:top w:w="70" w:type="dxa"/>
              <w:start w:w="90" w:type="dxa"/>
              <w:bottom w:w="70" w:type="dxa"/>
              <w:end w:w="90" w:type="dxa"/>
            </w:tcMar>
            <w:shd w:fill="F1EFE5"/>
            <w:vAlign w:val="center"/>
          </w:tcPr>
          <w:p>
            <w:pPr>
              <w:spacing w:after="0"/>
            </w:pPr>
            <w:r>
              <w:rPr>
                <w:rFonts w:ascii="Arial" w:hAnsi="Arial"/>
                <w:color w:val="1B1B1C"/>
                <w:sz w:val="14"/>
              </w:rPr>
              <w:t>A cited pipe condition and consequence product with location, version, evidence, uncertainty, model assumptions, priority decision, approved work and observed result.</w:t>
            </w:r>
          </w:p>
        </w:tc>
      </w:tr>
      <w:tr>
        <w:trPr>
          <w:cantSplit/>
        </w:trPr>
        <w:tc>
          <w:tcPr>
            <w:tcW w:type="dxa" w:w="1200"/>
            <w:tcMar>
              <w:top w:w="70" w:type="dxa"/>
              <w:start w:w="90" w:type="dxa"/>
              <w:bottom w:w="70" w:type="dxa"/>
              <w:end w:w="90" w:type="dxa"/>
            </w:tcMar>
            <w:vAlign w:val="center"/>
          </w:tcPr>
          <w:p>
            <w:pPr>
              <w:spacing w:after="0"/>
            </w:pPr>
            <w:r>
              <w:rPr>
                <w:rFonts w:ascii="Arial" w:hAnsi="Arial"/>
                <w:b/>
                <w:color w:val="0E2530"/>
                <w:sz w:val="14"/>
              </w:rPr>
              <w:t>Reg OS</w:t>
            </w:r>
          </w:p>
        </w:tc>
        <w:tc>
          <w:tcPr>
            <w:tcW w:type="dxa" w:w="2600"/>
            <w:tcMar>
              <w:top w:w="70" w:type="dxa"/>
              <w:start w:w="90" w:type="dxa"/>
              <w:bottom w:w="70" w:type="dxa"/>
              <w:end w:w="90" w:type="dxa"/>
            </w:tcMar>
            <w:vAlign w:val="center"/>
          </w:tcPr>
          <w:p>
            <w:pPr>
              <w:spacing w:after="0"/>
            </w:pPr>
            <w:r>
              <w:rPr>
                <w:rFonts w:ascii="Arial" w:hAnsi="Arial"/>
                <w:color w:val="1B1B1C"/>
                <w:sz w:val="14"/>
              </w:rPr>
              <w:t>Which obligation applies, are limits being met, what must be filed, and can the utility defend the answer?</w:t>
            </w:r>
          </w:p>
        </w:tc>
        <w:tc>
          <w:tcPr>
            <w:tcW w:type="dxa" w:w="3100"/>
            <w:tcMar>
              <w:top w:w="70" w:type="dxa"/>
              <w:start w:w="90" w:type="dxa"/>
              <w:bottom w:w="70" w:type="dxa"/>
              <w:end w:w="90" w:type="dxa"/>
            </w:tcMar>
            <w:vAlign w:val="center"/>
          </w:tcPr>
          <w:p>
            <w:pPr>
              <w:spacing w:after="0"/>
            </w:pPr>
            <w:r>
              <w:rPr>
                <w:rFonts w:ascii="Arial" w:hAnsi="Arial"/>
                <w:color w:val="1B1B1C"/>
                <w:sz w:val="14"/>
              </w:rPr>
              <w:t>Obligation register; permit or consent; limits; samples; LIMS; SCADA; calculations; exceptions; approvals; correspondence; filing and corrective action.</w:t>
            </w:r>
          </w:p>
        </w:tc>
        <w:tc>
          <w:tcPr>
            <w:tcW w:type="dxa" w:w="2400"/>
            <w:tcMar>
              <w:top w:w="70" w:type="dxa"/>
              <w:start w:w="90" w:type="dxa"/>
              <w:bottom w:w="70" w:type="dxa"/>
              <w:end w:w="90" w:type="dxa"/>
            </w:tcMar>
            <w:vAlign w:val="center"/>
          </w:tcPr>
          <w:p>
            <w:pPr>
              <w:spacing w:after="0"/>
            </w:pPr>
            <w:r>
              <w:rPr>
                <w:rFonts w:ascii="Arial" w:hAnsi="Arial"/>
                <w:color w:val="1B1B1C"/>
                <w:sz w:val="14"/>
              </w:rPr>
              <w:t>A current compliance-state and evidence package that links every reported answer to the rule, authoritative data, transformation, review, submission and closure proof.</w:t>
            </w:r>
          </w:p>
        </w:tc>
      </w:tr>
    </w:tbl>
    <w:p>
      <w:pPr>
        <w:spacing w:after="0"/>
      </w:pPr>
    </w:p>
    <w:p>
      <w:pPr>
        <w:pStyle w:val="Heading2"/>
      </w:pPr>
      <w:r>
        <w:t>The shared records every product should use</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3273"/>
        <w:gridCol w:w="3273"/>
        <w:gridCol w:w="3273"/>
      </w:tblGrid>
      <w:tr>
        <w:trPr>
          <w:tblHeader w:val="true"/>
          <w:cantSplit/>
        </w:trPr>
        <w:tc>
          <w:tcPr>
            <w:tcW w:type="dxa" w:w="1800"/>
            <w:tcMar>
              <w:top w:w="75" w:type="dxa"/>
              <w:start w:w="90" w:type="dxa"/>
              <w:bottom w:w="75" w:type="dxa"/>
              <w:end w:w="90" w:type="dxa"/>
            </w:tcMar>
            <w:shd w:fill="1B1B1C"/>
          </w:tcPr>
          <w:p>
            <w:pPr>
              <w:spacing w:after="0"/>
            </w:pPr>
            <w:r>
              <w:rPr>
                <w:rFonts w:ascii="Arial" w:hAnsi="Arial"/>
                <w:b/>
                <w:color w:val="FFFFFF"/>
                <w:sz w:val="15"/>
              </w:rPr>
              <w:t>Shared record</w:t>
            </w:r>
          </w:p>
        </w:tc>
        <w:tc>
          <w:tcPr>
            <w:tcW w:type="dxa" w:w="3200"/>
            <w:tcMar>
              <w:top w:w="75" w:type="dxa"/>
              <w:start w:w="90" w:type="dxa"/>
              <w:bottom w:w="75" w:type="dxa"/>
              <w:end w:w="90" w:type="dxa"/>
            </w:tcMar>
            <w:shd w:fill="1B1B1C"/>
          </w:tcPr>
          <w:p>
            <w:pPr>
              <w:spacing w:after="0"/>
            </w:pPr>
            <w:r>
              <w:rPr>
                <w:rFonts w:ascii="Arial" w:hAnsi="Arial"/>
                <w:b/>
                <w:color w:val="FFFFFF"/>
                <w:sz w:val="15"/>
              </w:rPr>
              <w:t>Simple meaning</w:t>
            </w:r>
          </w:p>
        </w:tc>
        <w:tc>
          <w:tcPr>
            <w:tcW w:type="dxa" w:w="4300"/>
            <w:tcMar>
              <w:top w:w="75" w:type="dxa"/>
              <w:start w:w="90" w:type="dxa"/>
              <w:bottom w:w="75" w:type="dxa"/>
              <w:end w:w="90" w:type="dxa"/>
            </w:tcMar>
            <w:shd w:fill="1B1B1C"/>
          </w:tcPr>
          <w:p>
            <w:pPr>
              <w:spacing w:after="0"/>
            </w:pPr>
            <w:r>
              <w:rPr>
                <w:rFonts w:ascii="Arial" w:hAnsi="Arial"/>
                <w:b/>
                <w:color w:val="FFFFFF"/>
                <w:sz w:val="15"/>
              </w:rPr>
              <w:t>Minimum fields</w:t>
            </w:r>
          </w:p>
        </w:tc>
      </w:tr>
      <w:tr>
        <w:trPr>
          <w:cantSplit/>
        </w:trPr>
        <w:tc>
          <w:tcPr>
            <w:tcW w:type="dxa" w:w="1800"/>
            <w:tcMar>
              <w:top w:w="70" w:type="dxa"/>
              <w:start w:w="90" w:type="dxa"/>
              <w:bottom w:w="70" w:type="dxa"/>
              <w:end w:w="90" w:type="dxa"/>
            </w:tcMar>
            <w:vAlign w:val="center"/>
          </w:tcPr>
          <w:p>
            <w:pPr>
              <w:spacing w:after="0"/>
            </w:pPr>
            <w:r>
              <w:rPr>
                <w:rFonts w:ascii="Arial" w:hAnsi="Arial"/>
                <w:b/>
                <w:color w:val="0E2530"/>
                <w:sz w:val="15"/>
              </w:rPr>
              <w:t>Asset</w:t>
            </w:r>
          </w:p>
        </w:tc>
        <w:tc>
          <w:tcPr>
            <w:tcW w:type="dxa" w:w="3200"/>
            <w:tcMar>
              <w:top w:w="70" w:type="dxa"/>
              <w:start w:w="90" w:type="dxa"/>
              <w:bottom w:w="70" w:type="dxa"/>
              <w:end w:w="90" w:type="dxa"/>
            </w:tcMar>
            <w:vAlign w:val="center"/>
          </w:tcPr>
          <w:p>
            <w:pPr>
              <w:spacing w:after="0"/>
            </w:pPr>
            <w:r>
              <w:rPr>
                <w:rFonts w:ascii="Arial" w:hAnsi="Arial"/>
                <w:color w:val="1B1B1C"/>
                <w:sz w:val="15"/>
              </w:rPr>
              <w:t>The physical thing being operated, maintained, modeled or regulated.</w:t>
            </w:r>
          </w:p>
        </w:tc>
        <w:tc>
          <w:tcPr>
            <w:tcW w:type="dxa" w:w="4300"/>
            <w:tcMar>
              <w:top w:w="70" w:type="dxa"/>
              <w:start w:w="90" w:type="dxa"/>
              <w:bottom w:w="70" w:type="dxa"/>
              <w:end w:w="90" w:type="dxa"/>
            </w:tcMar>
            <w:vAlign w:val="center"/>
          </w:tcPr>
          <w:p>
            <w:pPr>
              <w:spacing w:after="0"/>
            </w:pPr>
            <w:r>
              <w:rPr>
                <w:rFonts w:ascii="Arial" w:hAnsi="Arial"/>
                <w:color w:val="1B1B1C"/>
                <w:sz w:val="15"/>
              </w:rPr>
              <w:t>Stable identifier, type, location, owner, configuration, lifecycle state and source.</w:t>
            </w:r>
          </w:p>
        </w:tc>
      </w:tr>
      <w:tr>
        <w:trPr>
          <w:cantSplit/>
        </w:trPr>
        <w:tc>
          <w:tcPr>
            <w:tcW w:type="dxa" w:w="1800"/>
            <w:tcMar>
              <w:top w:w="70" w:type="dxa"/>
              <w:start w:w="90" w:type="dxa"/>
              <w:bottom w:w="70" w:type="dxa"/>
              <w:end w:w="90" w:type="dxa"/>
            </w:tcMar>
            <w:shd w:fill="F1EFE5"/>
            <w:vAlign w:val="center"/>
          </w:tcPr>
          <w:p>
            <w:pPr>
              <w:spacing w:after="0"/>
            </w:pPr>
            <w:r>
              <w:rPr>
                <w:rFonts w:ascii="Arial" w:hAnsi="Arial"/>
                <w:b/>
                <w:color w:val="0E2530"/>
                <w:sz w:val="15"/>
              </w:rPr>
              <w:t>Observation or event</w:t>
            </w:r>
          </w:p>
        </w:tc>
        <w:tc>
          <w:tcPr>
            <w:tcW w:type="dxa" w:w="3200"/>
            <w:tcMar>
              <w:top w:w="70" w:type="dxa"/>
              <w:start w:w="90" w:type="dxa"/>
              <w:bottom w:w="70" w:type="dxa"/>
              <w:end w:w="90" w:type="dxa"/>
            </w:tcMar>
            <w:shd w:fill="F1EFE5"/>
            <w:vAlign w:val="center"/>
          </w:tcPr>
          <w:p>
            <w:pPr>
              <w:spacing w:after="0"/>
            </w:pPr>
            <w:r>
              <w:rPr>
                <w:rFonts w:ascii="Arial" w:hAnsi="Arial"/>
                <w:color w:val="1B1B1C"/>
                <w:sz w:val="15"/>
              </w:rPr>
              <w:t>What a sensor, person, laboratory or system says happened.</w:t>
            </w:r>
          </w:p>
        </w:tc>
        <w:tc>
          <w:tcPr>
            <w:tcW w:type="dxa" w:w="4300"/>
            <w:tcMar>
              <w:top w:w="70" w:type="dxa"/>
              <w:start w:w="90" w:type="dxa"/>
              <w:bottom w:w="70" w:type="dxa"/>
              <w:end w:w="90" w:type="dxa"/>
            </w:tcMar>
            <w:shd w:fill="F1EFE5"/>
            <w:vAlign w:val="center"/>
          </w:tcPr>
          <w:p>
            <w:pPr>
              <w:spacing w:after="0"/>
            </w:pPr>
            <w:r>
              <w:rPr>
                <w:rFonts w:ascii="Arial" w:hAnsi="Arial"/>
                <w:color w:val="1B1B1C"/>
                <w:sz w:val="15"/>
              </w:rPr>
              <w:t>Source, asset or location, value, unit, time, method, quality state and version.</w:t>
            </w:r>
          </w:p>
        </w:tc>
      </w:tr>
      <w:tr>
        <w:trPr>
          <w:cantSplit/>
        </w:trPr>
        <w:tc>
          <w:tcPr>
            <w:tcW w:type="dxa" w:w="1800"/>
            <w:tcMar>
              <w:top w:w="70" w:type="dxa"/>
              <w:start w:w="90" w:type="dxa"/>
              <w:bottom w:w="70" w:type="dxa"/>
              <w:end w:w="90" w:type="dxa"/>
            </w:tcMar>
            <w:vAlign w:val="center"/>
          </w:tcPr>
          <w:p>
            <w:pPr>
              <w:spacing w:after="0"/>
            </w:pPr>
            <w:r>
              <w:rPr>
                <w:rFonts w:ascii="Arial" w:hAnsi="Arial"/>
                <w:b/>
                <w:color w:val="0E2530"/>
                <w:sz w:val="15"/>
              </w:rPr>
              <w:t>Work</w:t>
            </w:r>
          </w:p>
        </w:tc>
        <w:tc>
          <w:tcPr>
            <w:tcW w:type="dxa" w:w="3200"/>
            <w:tcMar>
              <w:top w:w="70" w:type="dxa"/>
              <w:start w:w="90" w:type="dxa"/>
              <w:bottom w:w="70" w:type="dxa"/>
              <w:end w:w="90" w:type="dxa"/>
            </w:tcMar>
            <w:vAlign w:val="center"/>
          </w:tcPr>
          <w:p>
            <w:pPr>
              <w:spacing w:after="0"/>
            </w:pPr>
            <w:r>
              <w:rPr>
                <w:rFonts w:ascii="Arial" w:hAnsi="Arial"/>
                <w:color w:val="1B1B1C"/>
                <w:sz w:val="15"/>
              </w:rPr>
              <w:t>The inspection, maintenance, response or change performed by people or systems.</w:t>
            </w:r>
          </w:p>
        </w:tc>
        <w:tc>
          <w:tcPr>
            <w:tcW w:type="dxa" w:w="4300"/>
            <w:tcMar>
              <w:top w:w="70" w:type="dxa"/>
              <w:start w:w="90" w:type="dxa"/>
              <w:bottom w:w="70" w:type="dxa"/>
              <w:end w:w="90" w:type="dxa"/>
            </w:tcMar>
            <w:vAlign w:val="center"/>
          </w:tcPr>
          <w:p>
            <w:pPr>
              <w:spacing w:after="0"/>
            </w:pPr>
            <w:r>
              <w:rPr>
                <w:rFonts w:ascii="Arial" w:hAnsi="Arial"/>
                <w:color w:val="1B1B1C"/>
                <w:sz w:val="15"/>
              </w:rPr>
              <w:t>Work identifier, asset, reason, owner, start, completion, result, parts, evidence and approval.</w:t>
            </w:r>
          </w:p>
        </w:tc>
      </w:tr>
      <w:tr>
        <w:trPr>
          <w:cantSplit/>
        </w:trPr>
        <w:tc>
          <w:tcPr>
            <w:tcW w:type="dxa" w:w="1800"/>
            <w:tcMar>
              <w:top w:w="70" w:type="dxa"/>
              <w:start w:w="90" w:type="dxa"/>
              <w:bottom w:w="70" w:type="dxa"/>
              <w:end w:w="90" w:type="dxa"/>
            </w:tcMar>
            <w:shd w:fill="F1EFE5"/>
            <w:vAlign w:val="center"/>
          </w:tcPr>
          <w:p>
            <w:pPr>
              <w:spacing w:after="0"/>
            </w:pPr>
            <w:r>
              <w:rPr>
                <w:rFonts w:ascii="Arial" w:hAnsi="Arial"/>
                <w:b/>
                <w:color w:val="0E2530"/>
                <w:sz w:val="15"/>
              </w:rPr>
              <w:t>Rule or obligation</w:t>
            </w:r>
          </w:p>
        </w:tc>
        <w:tc>
          <w:tcPr>
            <w:tcW w:type="dxa" w:w="3200"/>
            <w:tcMar>
              <w:top w:w="70" w:type="dxa"/>
              <w:start w:w="90" w:type="dxa"/>
              <w:bottom w:w="70" w:type="dxa"/>
              <w:end w:w="90" w:type="dxa"/>
            </w:tcMar>
            <w:shd w:fill="F1EFE5"/>
            <w:vAlign w:val="center"/>
          </w:tcPr>
          <w:p>
            <w:pPr>
              <w:spacing w:after="0"/>
            </w:pPr>
            <w:r>
              <w:rPr>
                <w:rFonts w:ascii="Arial" w:hAnsi="Arial"/>
                <w:color w:val="1B1B1C"/>
                <w:sz w:val="15"/>
              </w:rPr>
              <w:t>The requirement, limit, operating rule or decision condition that applies.</w:t>
            </w:r>
          </w:p>
        </w:tc>
        <w:tc>
          <w:tcPr>
            <w:tcW w:type="dxa" w:w="4300"/>
            <w:tcMar>
              <w:top w:w="70" w:type="dxa"/>
              <w:start w:w="90" w:type="dxa"/>
              <w:bottom w:w="70" w:type="dxa"/>
              <w:end w:w="90" w:type="dxa"/>
            </w:tcMar>
            <w:shd w:fill="F1EFE5"/>
            <w:vAlign w:val="center"/>
          </w:tcPr>
          <w:p>
            <w:pPr>
              <w:spacing w:after="0"/>
            </w:pPr>
            <w:r>
              <w:rPr>
                <w:rFonts w:ascii="Arial" w:hAnsi="Arial"/>
                <w:color w:val="1B1B1C"/>
                <w:sz w:val="15"/>
              </w:rPr>
              <w:t>Authority, citation, scope, effective date, owner, test, exception and review date.</w:t>
            </w:r>
          </w:p>
        </w:tc>
      </w:tr>
      <w:tr>
        <w:trPr>
          <w:cantSplit/>
        </w:trPr>
        <w:tc>
          <w:tcPr>
            <w:tcW w:type="dxa" w:w="1800"/>
            <w:tcMar>
              <w:top w:w="70" w:type="dxa"/>
              <w:start w:w="90" w:type="dxa"/>
              <w:bottom w:w="70" w:type="dxa"/>
              <w:end w:w="90" w:type="dxa"/>
            </w:tcMar>
            <w:vAlign w:val="center"/>
          </w:tcPr>
          <w:p>
            <w:pPr>
              <w:spacing w:after="0"/>
            </w:pPr>
            <w:r>
              <w:rPr>
                <w:rFonts w:ascii="Arial" w:hAnsi="Arial"/>
                <w:b/>
                <w:color w:val="0E2530"/>
                <w:sz w:val="15"/>
              </w:rPr>
              <w:t>Evidence</w:t>
            </w:r>
          </w:p>
        </w:tc>
        <w:tc>
          <w:tcPr>
            <w:tcW w:type="dxa" w:w="3200"/>
            <w:tcMar>
              <w:top w:w="70" w:type="dxa"/>
              <w:start w:w="90" w:type="dxa"/>
              <w:bottom w:w="70" w:type="dxa"/>
              <w:end w:w="90" w:type="dxa"/>
            </w:tcMar>
            <w:vAlign w:val="center"/>
          </w:tcPr>
          <w:p>
            <w:pPr>
              <w:spacing w:after="0"/>
            </w:pPr>
            <w:r>
              <w:rPr>
                <w:rFonts w:ascii="Arial" w:hAnsi="Arial"/>
                <w:color w:val="1B1B1C"/>
                <w:sz w:val="15"/>
              </w:rPr>
              <w:t>The retained proof that supports a fact, control, decision or outcome.</w:t>
            </w:r>
          </w:p>
        </w:tc>
        <w:tc>
          <w:tcPr>
            <w:tcW w:type="dxa" w:w="4300"/>
            <w:tcMar>
              <w:top w:w="70" w:type="dxa"/>
              <w:start w:w="90" w:type="dxa"/>
              <w:bottom w:w="70" w:type="dxa"/>
              <w:end w:w="90" w:type="dxa"/>
            </w:tcMar>
            <w:vAlign w:val="center"/>
          </w:tcPr>
          <w:p>
            <w:pPr>
              <w:spacing w:after="0"/>
            </w:pPr>
            <w:r>
              <w:rPr>
                <w:rFonts w:ascii="Arial" w:hAnsi="Arial"/>
                <w:color w:val="1B1B1C"/>
                <w:sz w:val="15"/>
              </w:rPr>
              <w:t>Identifier, type, source, period, custodian, integrity state, access, retention and linked decision.</w:t>
            </w:r>
          </w:p>
        </w:tc>
      </w:tr>
      <w:tr>
        <w:trPr>
          <w:cantSplit/>
        </w:trPr>
        <w:tc>
          <w:tcPr>
            <w:tcW w:type="dxa" w:w="1800"/>
            <w:tcMar>
              <w:top w:w="70" w:type="dxa"/>
              <w:start w:w="90" w:type="dxa"/>
              <w:bottom w:w="70" w:type="dxa"/>
              <w:end w:w="90" w:type="dxa"/>
            </w:tcMar>
            <w:shd w:fill="F1EFE5"/>
            <w:vAlign w:val="center"/>
          </w:tcPr>
          <w:p>
            <w:pPr>
              <w:spacing w:after="0"/>
            </w:pPr>
            <w:r>
              <w:rPr>
                <w:rFonts w:ascii="Arial" w:hAnsi="Arial"/>
                <w:b/>
                <w:color w:val="0E2530"/>
                <w:sz w:val="15"/>
              </w:rPr>
              <w:t>Decision</w:t>
            </w:r>
          </w:p>
        </w:tc>
        <w:tc>
          <w:tcPr>
            <w:tcW w:type="dxa" w:w="3200"/>
            <w:tcMar>
              <w:top w:w="70" w:type="dxa"/>
              <w:start w:w="90" w:type="dxa"/>
              <w:bottom w:w="70" w:type="dxa"/>
              <w:end w:w="90" w:type="dxa"/>
            </w:tcMar>
            <w:shd w:fill="F1EFE5"/>
            <w:vAlign w:val="center"/>
          </w:tcPr>
          <w:p>
            <w:pPr>
              <w:spacing w:after="0"/>
            </w:pPr>
            <w:r>
              <w:rPr>
                <w:rFonts w:ascii="Arial" w:hAnsi="Arial"/>
                <w:color w:val="1B1B1C"/>
                <w:sz w:val="15"/>
              </w:rPr>
              <w:t>The choice made, by whom, using which evidence and authority.</w:t>
            </w:r>
          </w:p>
        </w:tc>
        <w:tc>
          <w:tcPr>
            <w:tcW w:type="dxa" w:w="4300"/>
            <w:tcMar>
              <w:top w:w="70" w:type="dxa"/>
              <w:start w:w="90" w:type="dxa"/>
              <w:bottom w:w="70" w:type="dxa"/>
              <w:end w:w="90" w:type="dxa"/>
            </w:tcMar>
            <w:shd w:fill="F1EFE5"/>
            <w:vAlign w:val="center"/>
          </w:tcPr>
          <w:p>
            <w:pPr>
              <w:spacing w:after="0"/>
            </w:pPr>
            <w:r>
              <w:rPr>
                <w:rFonts w:ascii="Arial" w:hAnsi="Arial"/>
                <w:color w:val="1B1B1C"/>
                <w:sz w:val="15"/>
              </w:rPr>
              <w:t>Question, alternatives, recommendation, authority, approver, evidence, time, conditions and reason.</w:t>
            </w:r>
          </w:p>
        </w:tc>
      </w:tr>
      <w:tr>
        <w:trPr>
          <w:cantSplit/>
        </w:trPr>
        <w:tc>
          <w:tcPr>
            <w:tcW w:type="dxa" w:w="1800"/>
            <w:tcMar>
              <w:top w:w="70" w:type="dxa"/>
              <w:start w:w="90" w:type="dxa"/>
              <w:bottom w:w="70" w:type="dxa"/>
              <w:end w:w="90" w:type="dxa"/>
            </w:tcMar>
            <w:vAlign w:val="center"/>
          </w:tcPr>
          <w:p>
            <w:pPr>
              <w:spacing w:after="0"/>
            </w:pPr>
            <w:r>
              <w:rPr>
                <w:rFonts w:ascii="Arial" w:hAnsi="Arial"/>
                <w:b/>
                <w:color w:val="0E2530"/>
                <w:sz w:val="15"/>
              </w:rPr>
              <w:t>Outcome</w:t>
            </w:r>
          </w:p>
        </w:tc>
        <w:tc>
          <w:tcPr>
            <w:tcW w:type="dxa" w:w="3200"/>
            <w:tcMar>
              <w:top w:w="70" w:type="dxa"/>
              <w:start w:w="90" w:type="dxa"/>
              <w:bottom w:w="70" w:type="dxa"/>
              <w:end w:w="90" w:type="dxa"/>
            </w:tcMar>
            <w:vAlign w:val="center"/>
          </w:tcPr>
          <w:p>
            <w:pPr>
              <w:spacing w:after="0"/>
            </w:pPr>
            <w:r>
              <w:rPr>
                <w:rFonts w:ascii="Arial" w:hAnsi="Arial"/>
                <w:color w:val="1B1B1C"/>
                <w:sz w:val="15"/>
              </w:rPr>
              <w:t>What changed after the decision or action.</w:t>
            </w:r>
          </w:p>
        </w:tc>
        <w:tc>
          <w:tcPr>
            <w:tcW w:type="dxa" w:w="4300"/>
            <w:tcMar>
              <w:top w:w="70" w:type="dxa"/>
              <w:start w:w="90" w:type="dxa"/>
              <w:bottom w:w="70" w:type="dxa"/>
              <w:end w:w="90" w:type="dxa"/>
            </w:tcMar>
            <w:vAlign w:val="center"/>
          </w:tcPr>
          <w:p>
            <w:pPr>
              <w:spacing w:after="0"/>
            </w:pPr>
            <w:r>
              <w:rPr>
                <w:rFonts w:ascii="Arial" w:hAnsi="Arial"/>
                <w:color w:val="1B1B1C"/>
                <w:sz w:val="15"/>
              </w:rPr>
              <w:t>Service, safety, compliance, cost, customer or asset result; target; measure; period; lesson and next action.</w:t>
            </w:r>
          </w:p>
        </w:tc>
      </w:tr>
    </w:tbl>
    <w:p>
      <w:pPr>
        <w:spacing w:after="0"/>
      </w:pPr>
    </w:p>
    <w:p>
      <w:r>
        <w:br w:type="page"/>
      </w:r>
    </w:p>
    <w:p>
      <w:pPr>
        <w:pStyle w:val="Heading2"/>
      </w:pPr>
      <w:r>
        <w:t>The repeatable operating loop</w:t>
      </w:r>
    </w:p>
    <w:p>
      <w:pPr>
        <w:spacing w:before="120" w:after="0"/>
        <w:jc w:val="center"/>
      </w:pPr>
      <w:r>
        <w:drawing>
          <wp:inline xmlns:a="http://schemas.openxmlformats.org/drawingml/2006/main" xmlns:pic="http://schemas.openxmlformats.org/drawingml/2006/picture">
            <wp:extent cx="6126480" cy="4016248"/>
            <wp:docPr id="24" name="Picture 24" title="Figure 20. Operationalize one decision chain, then repeat" descr="The operating loop starts with a consequential decision, connects its evidence, puts controls into normal work, releases a governed product, monitors use and outcomes, and turns what is learned into the next improvement cycle."/>
            <wp:cNvGraphicFramePr>
              <a:graphicFrameLocks noChangeAspect="1"/>
            </wp:cNvGraphicFramePr>
            <a:graphic>
              <a:graphicData uri="http://schemas.openxmlformats.org/drawingml/2006/picture">
                <pic:pic>
                  <pic:nvPicPr>
                    <pic:cNvPr id="0" name="20_operational_loop.png"/>
                    <pic:cNvPicPr/>
                  </pic:nvPicPr>
                  <pic:blipFill>
                    <a:blip r:embed="rId47"/>
                    <a:stretch>
                      <a:fillRect/>
                    </a:stretch>
                  </pic:blipFill>
                  <pic:spPr>
                    <a:xfrm>
                      <a:off x="0" y="0"/>
                      <a:ext cx="6126480" cy="4016248"/>
                    </a:xfrm>
                    <a:prstGeom prst="rect"/>
                  </pic:spPr>
                </pic:pic>
              </a:graphicData>
            </a:graphic>
          </wp:inline>
        </w:drawing>
      </w:r>
    </w:p>
    <w:p>
      <w:pPr>
        <w:pStyle w:val="Caption"/>
        <w:jc w:val="left"/>
      </w:pPr>
      <w:r>
        <w:t>Figure 20. Operationalize one decision chain, then repeat</w:t>
      </w:r>
    </w:p>
    <w:p>
      <w:pPr>
        <w:spacing w:after="40"/>
      </w:pPr>
      <w:r>
        <w:rPr>
          <w:b/>
          <w:color w:val="2F7F9E"/>
        </w:rPr>
        <w:t xml:space="preserve">What this shows. </w:t>
      </w:r>
      <w:r>
        <w:t>The operating loop starts with a consequential decision, connects its evidence, puts controls into normal work, releases a governed product, monitors use and outcomes, and turns what is learned into the next improvement cycle.</w:t>
      </w:r>
    </w:p>
    <w:p>
      <w:pPr>
        <w:spacing w:after="180"/>
      </w:pPr>
      <w:r>
        <w:rPr>
          <w:rFonts w:ascii="Arial" w:hAnsi="Arial"/>
          <w:i/>
          <w:color w:val="7D766A"/>
          <w:sz w:val="15"/>
        </w:rPr>
        <w:t>Source: APAS AI implementation method.</w:t>
      </w:r>
    </w:p>
    <w:p>
      <w:pPr>
        <w:pStyle w:val="ListNumber"/>
        <w:numPr>
          <w:ilvl w:val="0"/>
          <w:numId w:val="12"/>
        </w:numPr>
      </w:pPr>
      <w:r>
        <w:t>Select one consequential decision. State the user, service outcome, consequence and current pain in plain English.</w:t>
      </w:r>
    </w:p>
    <w:p>
      <w:pPr>
        <w:pStyle w:val="ListNumber"/>
        <w:numPr>
          <w:ilvl w:val="0"/>
          <w:numId w:val="12"/>
        </w:numPr>
      </w:pPr>
      <w:r>
        <w:t>Map the evidence chain. Connect the physical source, system record, transformation, model, rule, person, action and outcome.</w:t>
      </w:r>
    </w:p>
    <w:p>
      <w:pPr>
        <w:pStyle w:val="ListNumber"/>
        <w:numPr>
          <w:ilvl w:val="0"/>
          <w:numId w:val="12"/>
        </w:numPr>
      </w:pPr>
      <w:r>
        <w:t>Define the data contract. Name the owner, identifiers, meaning, units, quality rules, approved use, access, freshness, retention and change process.</w:t>
      </w:r>
    </w:p>
    <w:p>
      <w:pPr>
        <w:pStyle w:val="ListNumber"/>
        <w:numPr>
          <w:ilvl w:val="0"/>
          <w:numId w:val="12"/>
        </w:numPr>
      </w:pPr>
      <w:r>
        <w:t>Put controls into normal work. Automate checks where practical and keep a clear human decision where judgment or public accountability is required.</w:t>
      </w:r>
    </w:p>
    <w:p>
      <w:pPr>
        <w:pStyle w:val="ListNumber"/>
        <w:numPr>
          <w:ilvl w:val="0"/>
          <w:numId w:val="12"/>
        </w:numPr>
      </w:pPr>
      <w:r>
        <w:t>Release the governed product. Show source, time, quality, limits and lineage to the user instead of hiding them in technical logs.</w:t>
      </w:r>
    </w:p>
    <w:p>
      <w:pPr>
        <w:pStyle w:val="ListNumber"/>
        <w:numPr>
          <w:ilvl w:val="0"/>
          <w:numId w:val="12"/>
        </w:numPr>
      </w:pPr>
      <w:r>
        <w:t>Measure adoption and outcome. Confirm that people use the product and that service, safety, compliance, affordability or delivery improves.</w:t>
      </w:r>
    </w:p>
    <w:p>
      <w:pPr>
        <w:pStyle w:val="ListNumber"/>
        <w:numPr>
          <w:ilvl w:val="0"/>
          <w:numId w:val="12"/>
        </w:numPr>
      </w:pPr>
      <w:r>
        <w:t>Retest the decision chain. Sample real cases, verify closure, record residual risk and decide what must change.</w:t>
      </w:r>
    </w:p>
    <w:p>
      <w:pPr>
        <w:pStyle w:val="ListNumber"/>
        <w:numPr>
          <w:ilvl w:val="0"/>
          <w:numId w:val="12"/>
        </w:numPr>
      </w:pPr>
      <w:r>
        <w:t>Reuse the pattern. Carry the same records, controls and evidence methods into the next Pump OS, Pipe OS or Reg OS use case.</w:t>
      </w:r>
    </w:p>
    <w:p>
      <w:pPr>
        <w:pStyle w:val="Heading2"/>
      </w:pPr>
      <w:r>
        <w:t>Release gates for a usable APAS application</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3273"/>
        <w:gridCol w:w="3273"/>
        <w:gridCol w:w="3273"/>
      </w:tblGrid>
      <w:tr>
        <w:trPr>
          <w:tblHeader w:val="true"/>
          <w:cantSplit/>
        </w:trPr>
        <w:tc>
          <w:tcPr>
            <w:tcW w:type="dxa" w:w="1200"/>
            <w:tcMar>
              <w:top w:w="75" w:type="dxa"/>
              <w:start w:w="90" w:type="dxa"/>
              <w:bottom w:w="75" w:type="dxa"/>
              <w:end w:w="90" w:type="dxa"/>
            </w:tcMar>
            <w:shd w:fill="1B1B1C"/>
          </w:tcPr>
          <w:p>
            <w:pPr>
              <w:spacing w:after="0"/>
            </w:pPr>
            <w:r>
              <w:rPr>
                <w:rFonts w:ascii="Arial" w:hAnsi="Arial"/>
                <w:b/>
                <w:color w:val="FFFFFF"/>
                <w:sz w:val="15"/>
              </w:rPr>
              <w:t>Gate</w:t>
            </w:r>
          </w:p>
        </w:tc>
        <w:tc>
          <w:tcPr>
            <w:tcW w:type="dxa" w:w="4000"/>
            <w:tcMar>
              <w:top w:w="75" w:type="dxa"/>
              <w:start w:w="90" w:type="dxa"/>
              <w:bottom w:w="75" w:type="dxa"/>
              <w:end w:w="90" w:type="dxa"/>
            </w:tcMar>
            <w:shd w:fill="1B1B1C"/>
          </w:tcPr>
          <w:p>
            <w:pPr>
              <w:spacing w:after="0"/>
            </w:pPr>
            <w:r>
              <w:rPr>
                <w:rFonts w:ascii="Arial" w:hAnsi="Arial"/>
                <w:b/>
                <w:color w:val="FFFFFF"/>
                <w:sz w:val="15"/>
              </w:rPr>
              <w:t>Question before release</w:t>
            </w:r>
          </w:p>
        </w:tc>
        <w:tc>
          <w:tcPr>
            <w:tcW w:type="dxa" w:w="4100"/>
            <w:tcMar>
              <w:top w:w="75" w:type="dxa"/>
              <w:start w:w="90" w:type="dxa"/>
              <w:bottom w:w="75" w:type="dxa"/>
              <w:end w:w="90" w:type="dxa"/>
            </w:tcMar>
            <w:shd w:fill="1B1B1C"/>
          </w:tcPr>
          <w:p>
            <w:pPr>
              <w:spacing w:after="0"/>
            </w:pPr>
            <w:r>
              <w:rPr>
                <w:rFonts w:ascii="Arial" w:hAnsi="Arial"/>
                <w:b/>
                <w:color w:val="FFFFFF"/>
                <w:sz w:val="15"/>
              </w:rPr>
              <w:t>Evidence required</w:t>
            </w:r>
          </w:p>
        </w:tc>
      </w:tr>
      <w:tr>
        <w:trPr>
          <w:cantSplit/>
        </w:trPr>
        <w:tc>
          <w:tcPr>
            <w:tcW w:type="dxa" w:w="1200"/>
            <w:tcMar>
              <w:top w:w="70" w:type="dxa"/>
              <w:start w:w="90" w:type="dxa"/>
              <w:bottom w:w="70" w:type="dxa"/>
              <w:end w:w="90" w:type="dxa"/>
            </w:tcMar>
            <w:vAlign w:val="center"/>
          </w:tcPr>
          <w:p>
            <w:pPr>
              <w:spacing w:after="0"/>
            </w:pPr>
            <w:r>
              <w:rPr>
                <w:rFonts w:ascii="Arial" w:hAnsi="Arial"/>
                <w:b/>
                <w:color w:val="0E2530"/>
                <w:sz w:val="15"/>
              </w:rPr>
              <w:t>Purpose</w:t>
            </w:r>
          </w:p>
        </w:tc>
        <w:tc>
          <w:tcPr>
            <w:tcW w:type="dxa" w:w="4000"/>
            <w:tcMar>
              <w:top w:w="70" w:type="dxa"/>
              <w:start w:w="90" w:type="dxa"/>
              <w:bottom w:w="70" w:type="dxa"/>
              <w:end w:w="90" w:type="dxa"/>
            </w:tcMar>
            <w:vAlign w:val="center"/>
          </w:tcPr>
          <w:p>
            <w:pPr>
              <w:spacing w:after="0"/>
            </w:pPr>
            <w:r>
              <w:rPr>
                <w:rFonts w:ascii="Arial" w:hAnsi="Arial"/>
                <w:color w:val="1B1B1C"/>
                <w:sz w:val="15"/>
              </w:rPr>
              <w:t>Can a utility user explain the decision this feature improves and the harm it helps prevent?</w:t>
            </w:r>
          </w:p>
        </w:tc>
        <w:tc>
          <w:tcPr>
            <w:tcW w:type="dxa" w:w="4100"/>
            <w:tcMar>
              <w:top w:w="70" w:type="dxa"/>
              <w:start w:w="90" w:type="dxa"/>
              <w:bottom w:w="70" w:type="dxa"/>
              <w:end w:w="90" w:type="dxa"/>
            </w:tcMar>
            <w:vAlign w:val="center"/>
          </w:tcPr>
          <w:p>
            <w:pPr>
              <w:spacing w:after="0"/>
            </w:pPr>
            <w:r>
              <w:rPr>
                <w:rFonts w:ascii="Arial" w:hAnsi="Arial"/>
                <w:color w:val="1B1B1C"/>
                <w:sz w:val="15"/>
              </w:rPr>
              <w:t>Named user, decision statement, outcome, consequence and product owner.</w:t>
            </w:r>
          </w:p>
        </w:tc>
      </w:tr>
      <w:tr>
        <w:trPr>
          <w:cantSplit/>
        </w:trPr>
        <w:tc>
          <w:tcPr>
            <w:tcW w:type="dxa" w:w="1200"/>
            <w:tcMar>
              <w:top w:w="70" w:type="dxa"/>
              <w:start w:w="90" w:type="dxa"/>
              <w:bottom w:w="70" w:type="dxa"/>
              <w:end w:w="90" w:type="dxa"/>
            </w:tcMar>
            <w:shd w:fill="F1EFE5"/>
            <w:vAlign w:val="center"/>
          </w:tcPr>
          <w:p>
            <w:pPr>
              <w:spacing w:after="0"/>
            </w:pPr>
            <w:r>
              <w:rPr>
                <w:rFonts w:ascii="Arial" w:hAnsi="Arial"/>
                <w:b/>
                <w:color w:val="0E2530"/>
                <w:sz w:val="15"/>
              </w:rPr>
              <w:t>Data</w:t>
            </w:r>
          </w:p>
        </w:tc>
        <w:tc>
          <w:tcPr>
            <w:tcW w:type="dxa" w:w="4000"/>
            <w:tcMar>
              <w:top w:w="70" w:type="dxa"/>
              <w:start w:w="90" w:type="dxa"/>
              <w:bottom w:w="70" w:type="dxa"/>
              <w:end w:w="90" w:type="dxa"/>
            </w:tcMar>
            <w:shd w:fill="F1EFE5"/>
            <w:vAlign w:val="center"/>
          </w:tcPr>
          <w:p>
            <w:pPr>
              <w:spacing w:after="0"/>
            </w:pPr>
            <w:r>
              <w:rPr>
                <w:rFonts w:ascii="Arial" w:hAnsi="Arial"/>
                <w:color w:val="1B1B1C"/>
                <w:sz w:val="15"/>
              </w:rPr>
              <w:t>Can the team explain every important input in simple English and connect it to an approved source?</w:t>
            </w:r>
          </w:p>
        </w:tc>
        <w:tc>
          <w:tcPr>
            <w:tcW w:type="dxa" w:w="4100"/>
            <w:tcMar>
              <w:top w:w="70" w:type="dxa"/>
              <w:start w:w="90" w:type="dxa"/>
              <w:bottom w:w="70" w:type="dxa"/>
              <w:end w:w="90" w:type="dxa"/>
            </w:tcMar>
            <w:shd w:fill="F1EFE5"/>
            <w:vAlign w:val="center"/>
          </w:tcPr>
          <w:p>
            <w:pPr>
              <w:spacing w:after="0"/>
            </w:pPr>
            <w:r>
              <w:rPr>
                <w:rFonts w:ascii="Arial" w:hAnsi="Arial"/>
                <w:color w:val="1B1B1C"/>
                <w:sz w:val="15"/>
              </w:rPr>
              <w:t>Data contract, identifier map, source register, quality rules, rights and lineage.</w:t>
            </w:r>
          </w:p>
        </w:tc>
      </w:tr>
      <w:tr>
        <w:trPr>
          <w:cantSplit/>
        </w:trPr>
        <w:tc>
          <w:tcPr>
            <w:tcW w:type="dxa" w:w="1200"/>
            <w:tcMar>
              <w:top w:w="70" w:type="dxa"/>
              <w:start w:w="90" w:type="dxa"/>
              <w:bottom w:w="70" w:type="dxa"/>
              <w:end w:w="90" w:type="dxa"/>
            </w:tcMar>
            <w:vAlign w:val="center"/>
          </w:tcPr>
          <w:p>
            <w:pPr>
              <w:spacing w:after="0"/>
            </w:pPr>
            <w:r>
              <w:rPr>
                <w:rFonts w:ascii="Arial" w:hAnsi="Arial"/>
                <w:b/>
                <w:color w:val="0E2530"/>
                <w:sz w:val="15"/>
              </w:rPr>
              <w:t>Control</w:t>
            </w:r>
          </w:p>
        </w:tc>
        <w:tc>
          <w:tcPr>
            <w:tcW w:type="dxa" w:w="4000"/>
            <w:tcMar>
              <w:top w:w="70" w:type="dxa"/>
              <w:start w:w="90" w:type="dxa"/>
              <w:bottom w:w="70" w:type="dxa"/>
              <w:end w:w="90" w:type="dxa"/>
            </w:tcMar>
            <w:vAlign w:val="center"/>
          </w:tcPr>
          <w:p>
            <w:pPr>
              <w:spacing w:after="0"/>
            </w:pPr>
            <w:r>
              <w:rPr>
                <w:rFonts w:ascii="Arial" w:hAnsi="Arial"/>
                <w:color w:val="1B1B1C"/>
                <w:sz w:val="15"/>
              </w:rPr>
              <w:t>Does the feature detect bad, missing, late, changed or unauthorized data before it misleads a user?</w:t>
            </w:r>
          </w:p>
        </w:tc>
        <w:tc>
          <w:tcPr>
            <w:tcW w:type="dxa" w:w="4100"/>
            <w:tcMar>
              <w:top w:w="70" w:type="dxa"/>
              <w:start w:w="90" w:type="dxa"/>
              <w:bottom w:w="70" w:type="dxa"/>
              <w:end w:w="90" w:type="dxa"/>
            </w:tcMar>
            <w:vAlign w:val="center"/>
          </w:tcPr>
          <w:p>
            <w:pPr>
              <w:spacing w:after="0"/>
            </w:pPr>
            <w:r>
              <w:rPr>
                <w:rFonts w:ascii="Arial" w:hAnsi="Arial"/>
                <w:color w:val="1B1B1C"/>
                <w:sz w:val="15"/>
              </w:rPr>
              <w:t>Control design, owner, test results, exceptions, alerts and recovery procedure.</w:t>
            </w:r>
          </w:p>
        </w:tc>
      </w:tr>
      <w:tr>
        <w:trPr>
          <w:cantSplit/>
        </w:trPr>
        <w:tc>
          <w:tcPr>
            <w:tcW w:type="dxa" w:w="1200"/>
            <w:tcMar>
              <w:top w:w="70" w:type="dxa"/>
              <w:start w:w="90" w:type="dxa"/>
              <w:bottom w:w="70" w:type="dxa"/>
              <w:end w:w="90" w:type="dxa"/>
            </w:tcMar>
            <w:shd w:fill="F1EFE5"/>
            <w:vAlign w:val="center"/>
          </w:tcPr>
          <w:p>
            <w:pPr>
              <w:spacing w:after="0"/>
            </w:pPr>
            <w:r>
              <w:rPr>
                <w:rFonts w:ascii="Arial" w:hAnsi="Arial"/>
                <w:b/>
                <w:color w:val="0E2530"/>
                <w:sz w:val="15"/>
              </w:rPr>
              <w:t>Decision</w:t>
            </w:r>
          </w:p>
        </w:tc>
        <w:tc>
          <w:tcPr>
            <w:tcW w:type="dxa" w:w="4000"/>
            <w:tcMar>
              <w:top w:w="70" w:type="dxa"/>
              <w:start w:w="90" w:type="dxa"/>
              <w:bottom w:w="70" w:type="dxa"/>
              <w:end w:w="90" w:type="dxa"/>
            </w:tcMar>
            <w:shd w:fill="F1EFE5"/>
            <w:vAlign w:val="center"/>
          </w:tcPr>
          <w:p>
            <w:pPr>
              <w:spacing w:after="0"/>
            </w:pPr>
            <w:r>
              <w:rPr>
                <w:rFonts w:ascii="Arial" w:hAnsi="Arial"/>
                <w:color w:val="1B1B1C"/>
                <w:sz w:val="15"/>
              </w:rPr>
              <w:t>Is the recommendation separate from the person or rule that has authority to act?</w:t>
            </w:r>
          </w:p>
        </w:tc>
        <w:tc>
          <w:tcPr>
            <w:tcW w:type="dxa" w:w="4100"/>
            <w:tcMar>
              <w:top w:w="70" w:type="dxa"/>
              <w:start w:w="90" w:type="dxa"/>
              <w:bottom w:w="70" w:type="dxa"/>
              <w:end w:w="90" w:type="dxa"/>
            </w:tcMar>
            <w:shd w:fill="F1EFE5"/>
            <w:vAlign w:val="center"/>
          </w:tcPr>
          <w:p>
            <w:pPr>
              <w:spacing w:after="0"/>
            </w:pPr>
            <w:r>
              <w:rPr>
                <w:rFonts w:ascii="Arial" w:hAnsi="Arial"/>
                <w:color w:val="1B1B1C"/>
                <w:sz w:val="15"/>
              </w:rPr>
              <w:t>Decision rights, human review, approval record, override reason and escalation path.</w:t>
            </w:r>
          </w:p>
        </w:tc>
      </w:tr>
      <w:tr>
        <w:trPr>
          <w:cantSplit/>
        </w:trPr>
        <w:tc>
          <w:tcPr>
            <w:tcW w:type="dxa" w:w="1200"/>
            <w:tcMar>
              <w:top w:w="70" w:type="dxa"/>
              <w:start w:w="90" w:type="dxa"/>
              <w:bottom w:w="70" w:type="dxa"/>
              <w:end w:w="90" w:type="dxa"/>
            </w:tcMar>
            <w:vAlign w:val="center"/>
          </w:tcPr>
          <w:p>
            <w:pPr>
              <w:spacing w:after="0"/>
            </w:pPr>
            <w:r>
              <w:rPr>
                <w:rFonts w:ascii="Arial" w:hAnsi="Arial"/>
                <w:b/>
                <w:color w:val="0E2530"/>
                <w:sz w:val="15"/>
              </w:rPr>
              <w:t>Evidence</w:t>
            </w:r>
          </w:p>
        </w:tc>
        <w:tc>
          <w:tcPr>
            <w:tcW w:type="dxa" w:w="4000"/>
            <w:tcMar>
              <w:top w:w="70" w:type="dxa"/>
              <w:start w:w="90" w:type="dxa"/>
              <w:bottom w:w="70" w:type="dxa"/>
              <w:end w:w="90" w:type="dxa"/>
            </w:tcMar>
            <w:vAlign w:val="center"/>
          </w:tcPr>
          <w:p>
            <w:pPr>
              <w:spacing w:after="0"/>
            </w:pPr>
            <w:r>
              <w:rPr>
                <w:rFonts w:ascii="Arial" w:hAnsi="Arial"/>
                <w:color w:val="1B1B1C"/>
                <w:sz w:val="15"/>
              </w:rPr>
              <w:t>Could the utility reconstruct the answer during an incident, audit or regulatory challenge?</w:t>
            </w:r>
          </w:p>
        </w:tc>
        <w:tc>
          <w:tcPr>
            <w:tcW w:type="dxa" w:w="4100"/>
            <w:tcMar>
              <w:top w:w="70" w:type="dxa"/>
              <w:start w:w="90" w:type="dxa"/>
              <w:bottom w:w="70" w:type="dxa"/>
              <w:end w:w="90" w:type="dxa"/>
            </w:tcMar>
            <w:vAlign w:val="center"/>
          </w:tcPr>
          <w:p>
            <w:pPr>
              <w:spacing w:after="0"/>
            </w:pPr>
            <w:r>
              <w:rPr>
                <w:rFonts w:ascii="Arial" w:hAnsi="Arial"/>
                <w:color w:val="1B1B1C"/>
                <w:sz w:val="15"/>
              </w:rPr>
              <w:t>Retained source, transformation, model or rule version, user action and integrity record.</w:t>
            </w:r>
          </w:p>
        </w:tc>
      </w:tr>
      <w:tr>
        <w:trPr>
          <w:cantSplit/>
        </w:trPr>
        <w:tc>
          <w:tcPr>
            <w:tcW w:type="dxa" w:w="1200"/>
            <w:tcMar>
              <w:top w:w="70" w:type="dxa"/>
              <w:start w:w="90" w:type="dxa"/>
              <w:bottom w:w="70" w:type="dxa"/>
              <w:end w:w="90" w:type="dxa"/>
            </w:tcMar>
            <w:shd w:fill="F1EFE5"/>
            <w:vAlign w:val="center"/>
          </w:tcPr>
          <w:p>
            <w:pPr>
              <w:spacing w:after="0"/>
            </w:pPr>
            <w:r>
              <w:rPr>
                <w:rFonts w:ascii="Arial" w:hAnsi="Arial"/>
                <w:b/>
                <w:color w:val="0E2530"/>
                <w:sz w:val="15"/>
              </w:rPr>
              <w:t>Outcome</w:t>
            </w:r>
          </w:p>
        </w:tc>
        <w:tc>
          <w:tcPr>
            <w:tcW w:type="dxa" w:w="4000"/>
            <w:tcMar>
              <w:top w:w="70" w:type="dxa"/>
              <w:start w:w="90" w:type="dxa"/>
              <w:bottom w:w="70" w:type="dxa"/>
              <w:end w:w="90" w:type="dxa"/>
            </w:tcMar>
            <w:shd w:fill="F1EFE5"/>
            <w:vAlign w:val="center"/>
          </w:tcPr>
          <w:p>
            <w:pPr>
              <w:spacing w:after="0"/>
            </w:pPr>
            <w:r>
              <w:rPr>
                <w:rFonts w:ascii="Arial" w:hAnsi="Arial"/>
                <w:color w:val="1B1B1C"/>
                <w:sz w:val="15"/>
              </w:rPr>
              <w:t>Does the team know whether the feature is used and whether it improves the utility result?</w:t>
            </w:r>
          </w:p>
        </w:tc>
        <w:tc>
          <w:tcPr>
            <w:tcW w:type="dxa" w:w="4100"/>
            <w:tcMar>
              <w:top w:w="70" w:type="dxa"/>
              <w:start w:w="90" w:type="dxa"/>
              <w:bottom w:w="70" w:type="dxa"/>
              <w:end w:w="90" w:type="dxa"/>
            </w:tcMar>
            <w:shd w:fill="F1EFE5"/>
            <w:vAlign w:val="center"/>
          </w:tcPr>
          <w:p>
            <w:pPr>
              <w:spacing w:after="0"/>
            </w:pPr>
            <w:r>
              <w:rPr>
                <w:rFonts w:ascii="Arial" w:hAnsi="Arial"/>
                <w:color w:val="1B1B1C"/>
                <w:sz w:val="15"/>
              </w:rPr>
              <w:t>Adoption measure, outcome measure, baseline, target, review cycle and product decision.</w:t>
            </w:r>
          </w:p>
        </w:tc>
      </w:tr>
    </w:tbl>
    <w:p>
      <w:pPr>
        <w:spacing w:after="0"/>
      </w:pPr>
    </w:p>
    <w:p>
      <w:pPr>
        <w:pStyle w:val="Heading2"/>
      </w:pPr>
      <w:r>
        <w:t>Definition of done</w:t>
      </w:r>
    </w:p>
    <w:p>
      <w:pPr>
        <w:pStyle w:val="ListBullet"/>
      </w:pPr>
      <w:r>
        <w:t>A utility user can understand the feature, its data and its limits without a data-science translator.</w:t>
      </w:r>
    </w:p>
    <w:p>
      <w:pPr>
        <w:pStyle w:val="ListBullet"/>
      </w:pPr>
      <w:r>
        <w:t>The same asset, event, rule and decision identifiers work across the three products where the records overlap.</w:t>
      </w:r>
    </w:p>
    <w:p>
      <w:pPr>
        <w:pStyle w:val="ListBullet"/>
      </w:pPr>
      <w:r>
        <w:t>Every important answer displays its source, time, quality state and approved purpose.</w:t>
      </w:r>
    </w:p>
    <w:p>
      <w:pPr>
        <w:pStyle w:val="ListBullet"/>
      </w:pPr>
      <w:r>
        <w:t>The responsible, accountable, consulted and informed (RACI) roles are named for product ownership, data ownership, control operation, approval and support.</w:t>
      </w:r>
    </w:p>
    <w:p>
      <w:pPr>
        <w:pStyle w:val="ListBullet"/>
      </w:pPr>
      <w:r>
        <w:t>A failed control creates an owned action, a due date, closure proof and a retest.</w:t>
      </w:r>
    </w:p>
    <w:p>
      <w:pPr>
        <w:pStyle w:val="ListBullet"/>
      </w:pPr>
      <w:r>
        <w:t>A release has adoption and utility-outcome measures, not only technical completion measures.</w:t>
      </w:r>
    </w:p>
    <w:p>
      <w:pPr>
        <w:pStyle w:val="ListBullet"/>
      </w:pPr>
      <w:r>
        <w:t>Support, incident response, data correction, model rollback, supplier exit and record retention are tested before scale.</w:t>
      </w:r>
    </w:p>
    <w:tbl>
      <w:tblPr>
        <w:tblW w:type="auto" w:w="0"/>
        <w:jc w:val="center"/>
        <w:tblLayout w:type="fixed"/>
        <w:tblLook w:firstColumn="1" w:firstRow="1" w:lastColumn="0" w:lastRow="0" w:noHBand="0" w:noVBand="1" w:val="04A0"/>
        <w:tblBorders>
          <w:top w:val="single" w:sz="10" w:space="0" w:color="2F7F9E"/>
          <w:left w:val="single" w:sz="10" w:space="0" w:color="2F7F9E"/>
          <w:bottom w:val="single" w:sz="10" w:space="0" w:color="2F7F9E"/>
          <w:right w:val="single" w:sz="10" w:space="0" w:color="2F7F9E"/>
          <w:insideH w:val="single" w:sz="10" w:space="0" w:color="2F7F9E"/>
          <w:insideV w:val="single" w:sz="10" w:space="0" w:color="2F7F9E"/>
        </w:tblBorders>
      </w:tblPr>
      <w:tblGrid>
        <w:gridCol w:w="9820"/>
      </w:tblGrid>
      <w:tr>
        <w:trPr>
          <w:cantSplit/>
        </w:trPr>
        <w:tc>
          <w:tcPr>
            <w:tcW w:type="dxa" w:w="9820"/>
            <w:shd w:fill="EAF6FB"/>
            <w:tcMar>
              <w:top w:w="140" w:type="dxa"/>
              <w:start w:w="170" w:type="dxa"/>
              <w:bottom w:w="140" w:type="dxa"/>
              <w:end w:w="170" w:type="dxa"/>
            </w:tcMar>
          </w:tcPr>
          <w:p>
            <w:pPr>
              <w:spacing w:after="80"/>
            </w:pPr>
            <w:r>
              <w:rPr>
                <w:rFonts w:ascii="Arial" w:hAnsi="Arial"/>
                <w:b/>
                <w:color w:val="2F7F9E"/>
                <w:sz w:val="20"/>
              </w:rPr>
              <w:t>The usefulness test</w:t>
            </w:r>
          </w:p>
          <w:p>
            <w:pPr>
              <w:spacing w:after="0"/>
            </w:pPr>
            <w:r>
              <w:rPr>
                <w:rFonts w:ascii="Arial" w:hAnsi="Arial"/>
                <w:color w:val="1B1B1C"/>
                <w:sz w:val="20"/>
              </w:rPr>
              <w:t>If a page, score, model or feature does not help a named utility person make, explain, control or improve a real decision, it is not finished. Operational usefulness is the release standard.</w:t>
            </w:r>
          </w:p>
        </w:tc>
      </w:tr>
    </w:tbl>
    <w:p>
      <w:pPr>
        <w:spacing w:after="0"/>
      </w:pPr>
    </w:p>
    <w:p>
      <w:r>
        <w:br w:type="page"/>
      </w:r>
    </w:p>
    <w:p>
      <w:pPr>
        <w:pStyle w:val="Heading2"/>
      </w:pPr>
      <w:r>
        <w:t>Backbone deliverables to maintain</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3273"/>
        <w:gridCol w:w="3273"/>
        <w:gridCol w:w="3273"/>
      </w:tblGrid>
      <w:tr>
        <w:trPr>
          <w:tblHeader w:val="true"/>
          <w:cantSplit/>
        </w:trPr>
        <w:tc>
          <w:tcPr>
            <w:tcW w:type="dxa" w:w="2100"/>
            <w:tcMar>
              <w:top w:w="75" w:type="dxa"/>
              <w:start w:w="90" w:type="dxa"/>
              <w:bottom w:w="75" w:type="dxa"/>
              <w:end w:w="90" w:type="dxa"/>
            </w:tcMar>
            <w:shd w:fill="1B1B1C"/>
          </w:tcPr>
          <w:p>
            <w:pPr>
              <w:spacing w:after="0"/>
            </w:pPr>
            <w:r>
              <w:rPr>
                <w:rFonts w:ascii="Arial" w:hAnsi="Arial"/>
                <w:b/>
                <w:color w:val="FFFFFF"/>
                <w:sz w:val="15"/>
              </w:rPr>
              <w:t>Reusable asset</w:t>
            </w:r>
          </w:p>
        </w:tc>
        <w:tc>
          <w:tcPr>
            <w:tcW w:type="dxa" w:w="3900"/>
            <w:tcMar>
              <w:top w:w="75" w:type="dxa"/>
              <w:start w:w="90" w:type="dxa"/>
              <w:bottom w:w="75" w:type="dxa"/>
              <w:end w:w="90" w:type="dxa"/>
            </w:tcMar>
            <w:shd w:fill="1B1B1C"/>
          </w:tcPr>
          <w:p>
            <w:pPr>
              <w:spacing w:after="0"/>
            </w:pPr>
            <w:r>
              <w:rPr>
                <w:rFonts w:ascii="Arial" w:hAnsi="Arial"/>
                <w:b/>
                <w:color w:val="FFFFFF"/>
                <w:sz w:val="15"/>
              </w:rPr>
              <w:t>What APAS maintains</w:t>
            </w:r>
          </w:p>
        </w:tc>
        <w:tc>
          <w:tcPr>
            <w:tcW w:type="dxa" w:w="3300"/>
            <w:tcMar>
              <w:top w:w="75" w:type="dxa"/>
              <w:start w:w="90" w:type="dxa"/>
              <w:bottom w:w="75" w:type="dxa"/>
              <w:end w:w="90" w:type="dxa"/>
            </w:tcMar>
            <w:shd w:fill="1B1B1C"/>
          </w:tcPr>
          <w:p>
            <w:pPr>
              <w:spacing w:after="0"/>
            </w:pPr>
            <w:r>
              <w:rPr>
                <w:rFonts w:ascii="Arial" w:hAnsi="Arial"/>
                <w:b/>
                <w:color w:val="FFFFFF"/>
                <w:sz w:val="15"/>
              </w:rPr>
              <w:t>Release evidence</w:t>
            </w:r>
          </w:p>
        </w:tc>
      </w:tr>
      <w:tr>
        <w:trPr>
          <w:cantSplit/>
        </w:trPr>
        <w:tc>
          <w:tcPr>
            <w:tcW w:type="dxa" w:w="2100"/>
            <w:tcMar>
              <w:top w:w="70" w:type="dxa"/>
              <w:start w:w="90" w:type="dxa"/>
              <w:bottom w:w="70" w:type="dxa"/>
              <w:end w:w="90" w:type="dxa"/>
            </w:tcMar>
            <w:vAlign w:val="center"/>
          </w:tcPr>
          <w:p>
            <w:pPr>
              <w:spacing w:after="0"/>
            </w:pPr>
            <w:r>
              <w:rPr>
                <w:rFonts w:ascii="Arial" w:hAnsi="Arial"/>
                <w:b/>
                <w:color w:val="0E2530"/>
                <w:sz w:val="15"/>
              </w:rPr>
              <w:t>Common information model</w:t>
            </w:r>
          </w:p>
        </w:tc>
        <w:tc>
          <w:tcPr>
            <w:tcW w:type="dxa" w:w="3900"/>
            <w:tcMar>
              <w:top w:w="70" w:type="dxa"/>
              <w:start w:w="90" w:type="dxa"/>
              <w:bottom w:w="70" w:type="dxa"/>
              <w:end w:w="90" w:type="dxa"/>
            </w:tcMar>
            <w:vAlign w:val="center"/>
          </w:tcPr>
          <w:p>
            <w:pPr>
              <w:spacing w:after="0"/>
            </w:pPr>
            <w:r>
              <w:rPr>
                <w:rFonts w:ascii="Arial" w:hAnsi="Arial"/>
                <w:color w:val="1B1B1C"/>
                <w:sz w:val="15"/>
              </w:rPr>
              <w:t>Shared objects, identifiers, definitions, ownership and approved change rules.</w:t>
            </w:r>
          </w:p>
        </w:tc>
        <w:tc>
          <w:tcPr>
            <w:tcW w:type="dxa" w:w="3300"/>
            <w:tcMar>
              <w:top w:w="70" w:type="dxa"/>
              <w:start w:w="90" w:type="dxa"/>
              <w:bottom w:w="70" w:type="dxa"/>
              <w:end w:w="90" w:type="dxa"/>
            </w:tcMar>
            <w:vAlign w:val="center"/>
          </w:tcPr>
          <w:p>
            <w:pPr>
              <w:spacing w:after="0"/>
            </w:pPr>
            <w:r>
              <w:rPr>
                <w:rFonts w:ascii="Arial" w:hAnsi="Arial"/>
                <w:color w:val="1B1B1C"/>
                <w:sz w:val="15"/>
              </w:rPr>
              <w:t>Approved schema and term changes, plus a completed mapping test.</w:t>
            </w:r>
          </w:p>
        </w:tc>
      </w:tr>
      <w:tr>
        <w:trPr>
          <w:cantSplit/>
        </w:trPr>
        <w:tc>
          <w:tcPr>
            <w:tcW w:type="dxa" w:w="2100"/>
            <w:tcMar>
              <w:top w:w="70" w:type="dxa"/>
              <w:start w:w="90" w:type="dxa"/>
              <w:bottom w:w="70" w:type="dxa"/>
              <w:end w:w="90" w:type="dxa"/>
            </w:tcMar>
            <w:shd w:fill="F1EFE5"/>
            <w:vAlign w:val="center"/>
          </w:tcPr>
          <w:p>
            <w:pPr>
              <w:spacing w:after="0"/>
            </w:pPr>
            <w:r>
              <w:rPr>
                <w:rFonts w:ascii="Arial" w:hAnsi="Arial"/>
                <w:b/>
                <w:color w:val="0E2530"/>
                <w:sz w:val="15"/>
              </w:rPr>
              <w:t>Connector pattern</w:t>
            </w:r>
          </w:p>
        </w:tc>
        <w:tc>
          <w:tcPr>
            <w:tcW w:type="dxa" w:w="3900"/>
            <w:tcMar>
              <w:top w:w="70" w:type="dxa"/>
              <w:start w:w="90" w:type="dxa"/>
              <w:bottom w:w="70" w:type="dxa"/>
              <w:end w:w="90" w:type="dxa"/>
            </w:tcMar>
            <w:shd w:fill="F1EFE5"/>
            <w:vAlign w:val="center"/>
          </w:tcPr>
          <w:p>
            <w:pPr>
              <w:spacing w:after="0"/>
            </w:pPr>
            <w:r>
              <w:rPr>
                <w:rFonts w:ascii="Arial" w:hAnsi="Arial"/>
                <w:color w:val="1B1B1C"/>
                <w:sz w:val="15"/>
              </w:rPr>
              <w:t>Read-only source mapping, security, quality, lineage, recovery and exit requirements.</w:t>
            </w:r>
          </w:p>
        </w:tc>
        <w:tc>
          <w:tcPr>
            <w:tcW w:type="dxa" w:w="3300"/>
            <w:tcMar>
              <w:top w:w="70" w:type="dxa"/>
              <w:start w:w="90" w:type="dxa"/>
              <w:bottom w:w="70" w:type="dxa"/>
              <w:end w:w="90" w:type="dxa"/>
            </w:tcMar>
            <w:shd w:fill="F1EFE5"/>
            <w:vAlign w:val="center"/>
          </w:tcPr>
          <w:p>
            <w:pPr>
              <w:spacing w:after="0"/>
            </w:pPr>
            <w:r>
              <w:rPr>
                <w:rFonts w:ascii="Arial" w:hAnsi="Arial"/>
                <w:color w:val="1B1B1C"/>
                <w:sz w:val="15"/>
              </w:rPr>
              <w:t>Connector test, permission record, source reconciliation and recovery result.</w:t>
            </w:r>
          </w:p>
        </w:tc>
      </w:tr>
      <w:tr>
        <w:trPr>
          <w:cantSplit/>
        </w:trPr>
        <w:tc>
          <w:tcPr>
            <w:tcW w:type="dxa" w:w="2100"/>
            <w:tcMar>
              <w:top w:w="70" w:type="dxa"/>
              <w:start w:w="90" w:type="dxa"/>
              <w:bottom w:w="70" w:type="dxa"/>
              <w:end w:w="90" w:type="dxa"/>
            </w:tcMar>
            <w:vAlign w:val="center"/>
          </w:tcPr>
          <w:p>
            <w:pPr>
              <w:spacing w:after="0"/>
            </w:pPr>
            <w:r>
              <w:rPr>
                <w:rFonts w:ascii="Arial" w:hAnsi="Arial"/>
                <w:b/>
                <w:color w:val="0E2530"/>
                <w:sz w:val="15"/>
              </w:rPr>
              <w:t>Decision pattern</w:t>
            </w:r>
          </w:p>
        </w:tc>
        <w:tc>
          <w:tcPr>
            <w:tcW w:type="dxa" w:w="3900"/>
            <w:tcMar>
              <w:top w:w="70" w:type="dxa"/>
              <w:start w:w="90" w:type="dxa"/>
              <w:bottom w:w="70" w:type="dxa"/>
              <w:end w:w="90" w:type="dxa"/>
            </w:tcMar>
            <w:vAlign w:val="center"/>
          </w:tcPr>
          <w:p>
            <w:pPr>
              <w:spacing w:after="0"/>
            </w:pPr>
            <w:r>
              <w:rPr>
                <w:rFonts w:ascii="Arial" w:hAnsi="Arial"/>
                <w:color w:val="1B1B1C"/>
                <w:sz w:val="15"/>
              </w:rPr>
              <w:t>Question, rule, evidence, recommendation, human authority, action and outcome.</w:t>
            </w:r>
          </w:p>
        </w:tc>
        <w:tc>
          <w:tcPr>
            <w:tcW w:type="dxa" w:w="3300"/>
            <w:tcMar>
              <w:top w:w="70" w:type="dxa"/>
              <w:start w:w="90" w:type="dxa"/>
              <w:bottom w:w="70" w:type="dxa"/>
              <w:end w:w="90" w:type="dxa"/>
            </w:tcMar>
            <w:vAlign w:val="center"/>
          </w:tcPr>
          <w:p>
            <w:pPr>
              <w:spacing w:after="0"/>
            </w:pPr>
            <w:r>
              <w:rPr>
                <w:rFonts w:ascii="Arial" w:hAnsi="Arial"/>
                <w:color w:val="1B1B1C"/>
                <w:sz w:val="15"/>
              </w:rPr>
              <w:t>Decision trace, approval, override record and outcome review.</w:t>
            </w:r>
          </w:p>
        </w:tc>
      </w:tr>
      <w:tr>
        <w:trPr>
          <w:cantSplit/>
        </w:trPr>
        <w:tc>
          <w:tcPr>
            <w:tcW w:type="dxa" w:w="2100"/>
            <w:tcMar>
              <w:top w:w="70" w:type="dxa"/>
              <w:start w:w="90" w:type="dxa"/>
              <w:bottom w:w="70" w:type="dxa"/>
              <w:end w:w="90" w:type="dxa"/>
            </w:tcMar>
            <w:shd w:fill="F1EFE5"/>
            <w:vAlign w:val="center"/>
          </w:tcPr>
          <w:p>
            <w:pPr>
              <w:spacing w:after="0"/>
            </w:pPr>
            <w:r>
              <w:rPr>
                <w:rFonts w:ascii="Arial" w:hAnsi="Arial"/>
                <w:b/>
                <w:color w:val="0E2530"/>
                <w:sz w:val="15"/>
              </w:rPr>
              <w:t>Release evidence pack</w:t>
            </w:r>
          </w:p>
        </w:tc>
        <w:tc>
          <w:tcPr>
            <w:tcW w:type="dxa" w:w="3900"/>
            <w:tcMar>
              <w:top w:w="70" w:type="dxa"/>
              <w:start w:w="90" w:type="dxa"/>
              <w:bottom w:w="70" w:type="dxa"/>
              <w:end w:w="90" w:type="dxa"/>
            </w:tcMar>
            <w:shd w:fill="F1EFE5"/>
            <w:vAlign w:val="center"/>
          </w:tcPr>
          <w:p>
            <w:pPr>
              <w:spacing w:after="0"/>
            </w:pPr>
            <w:r>
              <w:rPr>
                <w:rFonts w:ascii="Arial" w:hAnsi="Arial"/>
                <w:color w:val="1B1B1C"/>
                <w:sz w:val="15"/>
              </w:rPr>
              <w:t>Tests, known limits, approvals, rollback, support and retained versions.</w:t>
            </w:r>
          </w:p>
        </w:tc>
        <w:tc>
          <w:tcPr>
            <w:tcW w:type="dxa" w:w="3300"/>
            <w:tcMar>
              <w:top w:w="70" w:type="dxa"/>
              <w:start w:w="90" w:type="dxa"/>
              <w:bottom w:w="70" w:type="dxa"/>
              <w:end w:w="90" w:type="dxa"/>
            </w:tcMar>
            <w:shd w:fill="F1EFE5"/>
            <w:vAlign w:val="center"/>
          </w:tcPr>
          <w:p>
            <w:pPr>
              <w:spacing w:after="0"/>
            </w:pPr>
            <w:r>
              <w:rPr>
                <w:rFonts w:ascii="Arial" w:hAnsi="Arial"/>
                <w:color w:val="1B1B1C"/>
                <w:sz w:val="15"/>
              </w:rPr>
              <w:t>Signed release gate, test results, runbook and rollback proof.</w:t>
            </w:r>
          </w:p>
        </w:tc>
      </w:tr>
      <w:tr>
        <w:trPr>
          <w:cantSplit/>
        </w:trPr>
        <w:tc>
          <w:tcPr>
            <w:tcW w:type="dxa" w:w="2100"/>
            <w:tcMar>
              <w:top w:w="70" w:type="dxa"/>
              <w:start w:w="90" w:type="dxa"/>
              <w:bottom w:w="70" w:type="dxa"/>
              <w:end w:w="90" w:type="dxa"/>
            </w:tcMar>
            <w:vAlign w:val="center"/>
          </w:tcPr>
          <w:p>
            <w:pPr>
              <w:spacing w:after="0"/>
            </w:pPr>
            <w:r>
              <w:rPr>
                <w:rFonts w:ascii="Arial" w:hAnsi="Arial"/>
                <w:b/>
                <w:color w:val="0E2530"/>
                <w:sz w:val="15"/>
              </w:rPr>
              <w:t>Product measures</w:t>
            </w:r>
          </w:p>
        </w:tc>
        <w:tc>
          <w:tcPr>
            <w:tcW w:type="dxa" w:w="3900"/>
            <w:tcMar>
              <w:top w:w="70" w:type="dxa"/>
              <w:start w:w="90" w:type="dxa"/>
              <w:bottom w:w="70" w:type="dxa"/>
              <w:end w:w="90" w:type="dxa"/>
            </w:tcMar>
            <w:vAlign w:val="center"/>
          </w:tcPr>
          <w:p>
            <w:pPr>
              <w:spacing w:after="0"/>
            </w:pPr>
            <w:r>
              <w:rPr>
                <w:rFonts w:ascii="Arial" w:hAnsi="Arial"/>
                <w:color w:val="1B1B1C"/>
                <w:sz w:val="15"/>
              </w:rPr>
              <w:t>Adoption, control health, utility outcomes, exceptions and incidents.</w:t>
            </w:r>
          </w:p>
        </w:tc>
        <w:tc>
          <w:tcPr>
            <w:tcW w:type="dxa" w:w="3300"/>
            <w:tcMar>
              <w:top w:w="70" w:type="dxa"/>
              <w:start w:w="90" w:type="dxa"/>
              <w:bottom w:w="70" w:type="dxa"/>
              <w:end w:w="90" w:type="dxa"/>
            </w:tcMar>
            <w:vAlign w:val="center"/>
          </w:tcPr>
          <w:p>
            <w:pPr>
              <w:spacing w:after="0"/>
            </w:pPr>
            <w:r>
              <w:rPr>
                <w:rFonts w:ascii="Arial" w:hAnsi="Arial"/>
                <w:color w:val="1B1B1C"/>
                <w:sz w:val="15"/>
              </w:rPr>
              <w:t>Baseline, target, current trend and recorded product decision.</w:t>
            </w:r>
          </w:p>
        </w:tc>
      </w:tr>
    </w:tbl>
    <w:p>
      <w:pPr>
        <w:pageBreakBefore/>
        <w:spacing w:after="100"/>
      </w:pPr>
      <w:r>
        <w:rPr>
          <w:rFonts w:ascii="Arial" w:hAnsi="Arial"/>
          <w:b/>
          <w:color w:val="2F7F9E"/>
          <w:sz w:val="17"/>
        </w:rPr>
        <w:t>APPLICATION PAPER</w:t>
      </w:r>
    </w:p>
    <w:p>
      <w:pPr>
        <w:pStyle w:val="Heading1"/>
      </w:pPr>
      <w:r>
        <w:t>11. A practical 90-day start</w:t>
      </w:r>
    </w:p>
    <w:p>
      <w:pPr>
        <w:pStyle w:val="Subtitle"/>
        <w:spacing w:after="280"/>
      </w:pPr>
      <w:r>
        <w:rPr>
          <w:color w:val="3C3B36"/>
          <w:sz w:val="25"/>
        </w:rPr>
        <w:t>Begin with consequential decisions, visible ownership and proof that can be reviewed.</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820"/>
      </w:tblGrid>
      <w:tr>
        <w:tc>
          <w:tcPr>
            <w:tcW w:type="dxa" w:w="1500"/>
            <w:shd w:fill="E0A64A"/>
            <w:tcMar>
              <w:top w:w="0" w:type="dxa"/>
              <w:start w:w="0" w:type="dxa"/>
              <w:bottom w:w="0" w:type="dxa"/>
              <w:end w:w="0" w:type="dxa"/>
            </w:tcMar>
          </w:tcPr>
          <w:p>
            <w:pPr>
              <w:spacing w:after="0"/>
            </w:pPr>
            <w:r>
              <w:rPr>
                <w:sz w:val="4"/>
              </w:rPr>
              <w:t xml:space="preserve"> </w:t>
            </w:r>
          </w:p>
        </w:tc>
      </w:tr>
    </w:tbl>
    <w:p>
      <w:pPr>
        <w:pStyle w:val="Heading2"/>
      </w:pPr>
      <w:r>
        <w:t>Days 1 to 30 | Frame and select</w:t>
      </w:r>
    </w:p>
    <w:p>
      <w:pPr>
        <w:pStyle w:val="ListBullet"/>
      </w:pPr>
      <w:r>
        <w:t>Appoint an executive sponsor and a working owner with authority across operations, data, security, legal and AI.</w:t>
      </w:r>
    </w:p>
    <w:p>
      <w:pPr>
        <w:pStyle w:val="ListBullet"/>
      </w:pPr>
      <w:r>
        <w:t>Select three to five material decisions: one operational, one regulatory, one customer, one capital and one AI or analytics use case where applicable.</w:t>
      </w:r>
    </w:p>
    <w:p>
      <w:pPr>
        <w:pStyle w:val="ListBullet"/>
      </w:pPr>
      <w:r>
        <w:t>Create the first system, data, interface and owner map for those decisions.</w:t>
      </w:r>
    </w:p>
    <w:p>
      <w:pPr>
        <w:pStyle w:val="ListBullet"/>
      </w:pPr>
      <w:r>
        <w:t>Inventory current AI use cases and suppliers. Do not limit the inventory to centrally approved tools.</w:t>
      </w:r>
    </w:p>
    <w:p>
      <w:pPr>
        <w:pStyle w:val="ListBullet"/>
      </w:pPr>
      <w:r>
        <w:t>Record immediate legal, regulatory, contract and records obligations for the selected scope.</w:t>
      </w:r>
    </w:p>
    <w:p>
      <w:r>
        <w:br w:type="page"/>
      </w:r>
    </w:p>
    <w:p>
      <w:pPr>
        <w:pStyle w:val="Heading2"/>
      </w:pPr>
      <w:r>
        <w:t>Days 31 to 60 | Trace and test</w:t>
      </w:r>
    </w:p>
    <w:p>
      <w:pPr>
        <w:pStyle w:val="ListBullet"/>
      </w:pPr>
      <w:r>
        <w:t>Trace each selected decision from source to outcome and identify manual steps, spreadsheets, estimates and unowned changes.</w:t>
      </w:r>
    </w:p>
    <w:p>
      <w:pPr>
        <w:pStyle w:val="ListBullet"/>
      </w:pPr>
      <w:r>
        <w:t>Test identity, meaning, quality, lineage, access, retention and approval evidence at each handoff.</w:t>
      </w:r>
    </w:p>
    <w:p>
      <w:pPr>
        <w:pStyle w:val="ListBullet"/>
      </w:pPr>
      <w:r>
        <w:t>Name an owner and steward for each critical data product or domain in scope.</w:t>
      </w:r>
    </w:p>
    <w:p>
      <w:pPr>
        <w:pStyle w:val="ListBullet"/>
      </w:pPr>
      <w:r>
        <w:t>Define the quality requirements by use and consequence, then run the first recurring measures.</w:t>
      </w:r>
    </w:p>
    <w:p>
      <w:pPr>
        <w:pStyle w:val="ListBullet"/>
      </w:pPr>
      <w:r>
        <w:t>Review supplier data rights, training-use restrictions, locations, assurance and exit terms.</w:t>
      </w:r>
    </w:p>
    <w:p>
      <w:pPr>
        <w:pStyle w:val="Heading2"/>
      </w:pPr>
      <w:r>
        <w:t>Days 61 to 90 | Decide and fund</w:t>
      </w:r>
    </w:p>
    <w:p>
      <w:pPr>
        <w:pStyle w:val="ListBullet"/>
      </w:pPr>
      <w:r>
        <w:t>Score the selected scope using maturity and evidence confidence. Challenge unsupported ratings.</w:t>
      </w:r>
    </w:p>
    <w:p>
      <w:pPr>
        <w:pStyle w:val="ListBullet"/>
      </w:pPr>
      <w:r>
        <w:t>Separate immediate control fixes from operating-model changes and platform work.</w:t>
      </w:r>
    </w:p>
    <w:p>
      <w:pPr>
        <w:pStyle w:val="ListBullet"/>
      </w:pPr>
      <w:r>
        <w:t>Approve a 12-month roadmap with owners, dependencies, funding, decision dates and closure evidence.</w:t>
      </w:r>
    </w:p>
    <w:p>
      <w:pPr>
        <w:pStyle w:val="ListBullet"/>
      </w:pPr>
      <w:r>
        <w:t>Publish a small executive dashboard: critical decisions covered, evidence gaps, open high-consequence findings, issue age and control results.</w:t>
      </w:r>
    </w:p>
    <w:p>
      <w:pPr>
        <w:pStyle w:val="ListBullet"/>
      </w:pPr>
      <w:r>
        <w:t>Schedule the next evidence review and select the next set of decisions to bring into the pattern.</w:t>
      </w:r>
    </w:p>
    <w:p>
      <w:pPr>
        <w:pStyle w:val="Heading2"/>
      </w:pPr>
      <w:r>
        <w:t>Questions for the executive team</w:t>
      </w:r>
    </w:p>
    <w:p>
      <w:pPr>
        <w:pStyle w:val="ListNumber"/>
        <w:numPr>
          <w:ilvl w:val="0"/>
          <w:numId w:val="13"/>
        </w:numPr>
      </w:pPr>
      <w:r>
        <w:t>Which utility decisions would cause the most harm if the underlying data were wrong, late or used outside its purpose?</w:t>
      </w:r>
    </w:p>
    <w:p>
      <w:pPr>
        <w:pStyle w:val="ListNumber"/>
        <w:numPr>
          <w:ilvl w:val="0"/>
          <w:numId w:val="13"/>
        </w:numPr>
      </w:pPr>
      <w:r>
        <w:t>Can we trace those decisions to authoritative sources and reconstruct what happened?</w:t>
      </w:r>
    </w:p>
    <w:p>
      <w:pPr>
        <w:pStyle w:val="ListNumber"/>
        <w:numPr>
          <w:ilvl w:val="0"/>
          <w:numId w:val="13"/>
        </w:numPr>
      </w:pPr>
      <w:r>
        <w:t>Which person owns the fitness of each critical dataset, not only the system that stores it?</w:t>
      </w:r>
    </w:p>
    <w:p>
      <w:pPr>
        <w:pStyle w:val="ListNumber"/>
        <w:numPr>
          <w:ilvl w:val="0"/>
          <w:numId w:val="13"/>
        </w:numPr>
      </w:pPr>
      <w:r>
        <w:t>Where are manual transformations and local spreadsheets part of the official decision chain?</w:t>
      </w:r>
    </w:p>
    <w:p>
      <w:pPr>
        <w:pStyle w:val="ListNumber"/>
        <w:numPr>
          <w:ilvl w:val="0"/>
          <w:numId w:val="13"/>
        </w:numPr>
      </w:pPr>
      <w:r>
        <w:t>Which AI uses could affect service, safety, customers, employees, capital or regulatory outcomes?</w:t>
      </w:r>
    </w:p>
    <w:p>
      <w:pPr>
        <w:pStyle w:val="ListNumber"/>
        <w:numPr>
          <w:ilvl w:val="0"/>
          <w:numId w:val="13"/>
        </w:numPr>
      </w:pPr>
      <w:r>
        <w:t>What evidence would we need if a regulator, auditor, customer or incident team challenged the decision tomorrow?</w:t>
      </w:r>
    </w:p>
    <w:p>
      <w:pPr>
        <w:pStyle w:val="ListNumber"/>
        <w:numPr>
          <w:ilvl w:val="0"/>
          <w:numId w:val="13"/>
        </w:numPr>
      </w:pPr>
      <w:r>
        <w:t>Which actions will change the operating system of the utility, and which actions merely close a task?</w:t>
      </w:r>
    </w:p>
    <w:p>
      <w:pPr>
        <w:pStyle w:val="Heading2"/>
      </w:pPr>
      <w:r>
        <w:t>The 90-day deliverables</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4910"/>
        <w:gridCol w:w="4910"/>
      </w:tblGrid>
      <w:tr>
        <w:trPr>
          <w:tblHeader w:val="true"/>
          <w:cantSplit/>
        </w:trPr>
        <w:tc>
          <w:tcPr>
            <w:tcW w:type="dxa" w:w="3000"/>
            <w:tcMar>
              <w:top w:w="75" w:type="dxa"/>
              <w:start w:w="90" w:type="dxa"/>
              <w:bottom w:w="75" w:type="dxa"/>
              <w:end w:w="90" w:type="dxa"/>
            </w:tcMar>
            <w:shd w:fill="1B1B1C"/>
          </w:tcPr>
          <w:p>
            <w:pPr>
              <w:spacing w:after="0"/>
            </w:pPr>
            <w:r>
              <w:rPr>
                <w:rFonts w:ascii="Arial" w:hAnsi="Arial"/>
                <w:b/>
                <w:color w:val="FFFFFF"/>
                <w:sz w:val="16"/>
              </w:rPr>
              <w:t>Deliverable</w:t>
            </w:r>
          </w:p>
        </w:tc>
        <w:tc>
          <w:tcPr>
            <w:tcW w:type="dxa" w:w="6300"/>
            <w:tcMar>
              <w:top w:w="75" w:type="dxa"/>
              <w:start w:w="90" w:type="dxa"/>
              <w:bottom w:w="75" w:type="dxa"/>
              <w:end w:w="90" w:type="dxa"/>
            </w:tcMar>
            <w:shd w:fill="1B1B1C"/>
          </w:tcPr>
          <w:p>
            <w:pPr>
              <w:spacing w:after="0"/>
            </w:pPr>
            <w:r>
              <w:rPr>
                <w:rFonts w:ascii="Arial" w:hAnsi="Arial"/>
                <w:b/>
                <w:color w:val="FFFFFF"/>
                <w:sz w:val="16"/>
              </w:rPr>
              <w:t>Management use</w:t>
            </w:r>
          </w:p>
        </w:tc>
      </w:tr>
      <w:tr>
        <w:trPr>
          <w:cantSplit/>
        </w:trPr>
        <w:tc>
          <w:tcPr>
            <w:tcW w:type="dxa" w:w="3000"/>
            <w:tcMar>
              <w:top w:w="70" w:type="dxa"/>
              <w:start w:w="90" w:type="dxa"/>
              <w:bottom w:w="70" w:type="dxa"/>
              <w:end w:w="90" w:type="dxa"/>
            </w:tcMar>
            <w:vAlign w:val="center"/>
          </w:tcPr>
          <w:p>
            <w:pPr>
              <w:spacing w:after="0"/>
            </w:pPr>
            <w:r>
              <w:rPr>
                <w:rFonts w:ascii="Arial" w:hAnsi="Arial"/>
                <w:b/>
                <w:color w:val="0E2530"/>
                <w:sz w:val="16"/>
              </w:rPr>
              <w:t>Decision and data map</w:t>
            </w:r>
          </w:p>
        </w:tc>
        <w:tc>
          <w:tcPr>
            <w:tcW w:type="dxa" w:w="6300"/>
            <w:tcMar>
              <w:top w:w="70" w:type="dxa"/>
              <w:start w:w="90" w:type="dxa"/>
              <w:bottom w:w="70" w:type="dxa"/>
              <w:end w:w="90" w:type="dxa"/>
            </w:tcMar>
            <w:vAlign w:val="center"/>
          </w:tcPr>
          <w:p>
            <w:pPr>
              <w:spacing w:after="0"/>
            </w:pPr>
            <w:r>
              <w:rPr>
                <w:rFonts w:ascii="Arial" w:hAnsi="Arial"/>
                <w:color w:val="1B1B1C"/>
                <w:sz w:val="16"/>
              </w:rPr>
              <w:t>Shows critical sources, handoffs, owners, suppliers and evidence gaps.</w:t>
            </w:r>
          </w:p>
        </w:tc>
      </w:tr>
      <w:tr>
        <w:trPr>
          <w:cantSplit/>
        </w:trPr>
        <w:tc>
          <w:tcPr>
            <w:tcW w:type="dxa" w:w="3000"/>
            <w:tcMar>
              <w:top w:w="70" w:type="dxa"/>
              <w:start w:w="90" w:type="dxa"/>
              <w:bottom w:w="70" w:type="dxa"/>
              <w:end w:w="90" w:type="dxa"/>
            </w:tcMar>
            <w:shd w:fill="F1EFE5"/>
            <w:vAlign w:val="center"/>
          </w:tcPr>
          <w:p>
            <w:pPr>
              <w:spacing w:after="0"/>
            </w:pPr>
            <w:r>
              <w:rPr>
                <w:rFonts w:ascii="Arial" w:hAnsi="Arial"/>
                <w:b/>
                <w:color w:val="0E2530"/>
                <w:sz w:val="16"/>
              </w:rPr>
              <w:t>AI and analytics inventory</w:t>
            </w:r>
          </w:p>
        </w:tc>
        <w:tc>
          <w:tcPr>
            <w:tcW w:type="dxa" w:w="6300"/>
            <w:tcMar>
              <w:top w:w="70" w:type="dxa"/>
              <w:start w:w="90" w:type="dxa"/>
              <w:bottom w:w="70" w:type="dxa"/>
              <w:end w:w="90" w:type="dxa"/>
            </w:tcMar>
            <w:shd w:fill="F1EFE5"/>
            <w:vAlign w:val="center"/>
          </w:tcPr>
          <w:p>
            <w:pPr>
              <w:spacing w:after="0"/>
            </w:pPr>
            <w:r>
              <w:rPr>
                <w:rFonts w:ascii="Arial" w:hAnsi="Arial"/>
                <w:color w:val="1B1B1C"/>
                <w:sz w:val="16"/>
              </w:rPr>
              <w:t>Shows use, consequence, owner, data source, human role and review state.</w:t>
            </w:r>
          </w:p>
        </w:tc>
      </w:tr>
      <w:tr>
        <w:trPr>
          <w:cantSplit/>
        </w:trPr>
        <w:tc>
          <w:tcPr>
            <w:tcW w:type="dxa" w:w="3000"/>
            <w:tcMar>
              <w:top w:w="70" w:type="dxa"/>
              <w:start w:w="90" w:type="dxa"/>
              <w:bottom w:w="70" w:type="dxa"/>
              <w:end w:w="90" w:type="dxa"/>
            </w:tcMar>
            <w:vAlign w:val="center"/>
          </w:tcPr>
          <w:p>
            <w:pPr>
              <w:spacing w:after="0"/>
            </w:pPr>
            <w:r>
              <w:rPr>
                <w:rFonts w:ascii="Arial" w:hAnsi="Arial"/>
                <w:b/>
                <w:color w:val="0E2530"/>
                <w:sz w:val="16"/>
              </w:rPr>
              <w:t>Evidence-backed scorecard</w:t>
            </w:r>
          </w:p>
        </w:tc>
        <w:tc>
          <w:tcPr>
            <w:tcW w:type="dxa" w:w="6300"/>
            <w:tcMar>
              <w:top w:w="70" w:type="dxa"/>
              <w:start w:w="90" w:type="dxa"/>
              <w:bottom w:w="70" w:type="dxa"/>
              <w:end w:w="90" w:type="dxa"/>
            </w:tcMar>
            <w:vAlign w:val="center"/>
          </w:tcPr>
          <w:p>
            <w:pPr>
              <w:spacing w:after="0"/>
            </w:pPr>
            <w:r>
              <w:rPr>
                <w:rFonts w:ascii="Arial" w:hAnsi="Arial"/>
                <w:color w:val="1B1B1C"/>
                <w:sz w:val="16"/>
              </w:rPr>
              <w:t>Separates maturity from evidence confidence and makes disagreement visible.</w:t>
            </w:r>
          </w:p>
        </w:tc>
      </w:tr>
      <w:tr>
        <w:trPr>
          <w:cantSplit/>
        </w:trPr>
        <w:tc>
          <w:tcPr>
            <w:tcW w:type="dxa" w:w="3000"/>
            <w:tcMar>
              <w:top w:w="70" w:type="dxa"/>
              <w:start w:w="90" w:type="dxa"/>
              <w:bottom w:w="70" w:type="dxa"/>
              <w:end w:w="90" w:type="dxa"/>
            </w:tcMar>
            <w:shd w:fill="F1EFE5"/>
            <w:vAlign w:val="center"/>
          </w:tcPr>
          <w:p>
            <w:pPr>
              <w:spacing w:after="0"/>
            </w:pPr>
            <w:r>
              <w:rPr>
                <w:rFonts w:ascii="Arial" w:hAnsi="Arial"/>
                <w:b/>
                <w:color w:val="0E2530"/>
                <w:sz w:val="16"/>
              </w:rPr>
              <w:t>Immediate control plan</w:t>
            </w:r>
          </w:p>
        </w:tc>
        <w:tc>
          <w:tcPr>
            <w:tcW w:type="dxa" w:w="6300"/>
            <w:tcMar>
              <w:top w:w="70" w:type="dxa"/>
              <w:start w:w="90" w:type="dxa"/>
              <w:bottom w:w="70" w:type="dxa"/>
              <w:end w:w="90" w:type="dxa"/>
            </w:tcMar>
            <w:shd w:fill="F1EFE5"/>
            <w:vAlign w:val="center"/>
          </w:tcPr>
          <w:p>
            <w:pPr>
              <w:spacing w:after="0"/>
            </w:pPr>
            <w:r>
              <w:rPr>
                <w:rFonts w:ascii="Arial" w:hAnsi="Arial"/>
                <w:color w:val="1B1B1C"/>
                <w:sz w:val="16"/>
              </w:rPr>
              <w:t>Names high-consequence fixes, owners, dates and closure proof.</w:t>
            </w:r>
          </w:p>
        </w:tc>
      </w:tr>
      <w:tr>
        <w:trPr>
          <w:cantSplit/>
        </w:trPr>
        <w:tc>
          <w:tcPr>
            <w:tcW w:type="dxa" w:w="3000"/>
            <w:tcMar>
              <w:top w:w="70" w:type="dxa"/>
              <w:start w:w="90" w:type="dxa"/>
              <w:bottom w:w="70" w:type="dxa"/>
              <w:end w:w="90" w:type="dxa"/>
            </w:tcMar>
            <w:vAlign w:val="center"/>
          </w:tcPr>
          <w:p>
            <w:pPr>
              <w:spacing w:after="0"/>
            </w:pPr>
            <w:r>
              <w:rPr>
                <w:rFonts w:ascii="Arial" w:hAnsi="Arial"/>
                <w:b/>
                <w:color w:val="0E2530"/>
                <w:sz w:val="16"/>
              </w:rPr>
              <w:t>Twelve-month roadmap</w:t>
            </w:r>
          </w:p>
        </w:tc>
        <w:tc>
          <w:tcPr>
            <w:tcW w:type="dxa" w:w="6300"/>
            <w:tcMar>
              <w:top w:w="70" w:type="dxa"/>
              <w:start w:w="90" w:type="dxa"/>
              <w:bottom w:w="70" w:type="dxa"/>
              <w:end w:w="90" w:type="dxa"/>
            </w:tcMar>
            <w:vAlign w:val="center"/>
          </w:tcPr>
          <w:p>
            <w:pPr>
              <w:spacing w:after="0"/>
            </w:pPr>
            <w:r>
              <w:rPr>
                <w:rFonts w:ascii="Arial" w:hAnsi="Arial"/>
                <w:color w:val="1B1B1C"/>
                <w:sz w:val="16"/>
              </w:rPr>
              <w:t>Sequences operating model, data products, controls, platforms, adoption and assurance.</w:t>
            </w:r>
          </w:p>
        </w:tc>
      </w:tr>
      <w:tr>
        <w:trPr>
          <w:cantSplit/>
        </w:trPr>
        <w:tc>
          <w:tcPr>
            <w:tcW w:type="dxa" w:w="3000"/>
            <w:tcMar>
              <w:top w:w="70" w:type="dxa"/>
              <w:start w:w="90" w:type="dxa"/>
              <w:bottom w:w="70" w:type="dxa"/>
              <w:end w:w="90" w:type="dxa"/>
            </w:tcMar>
            <w:shd w:fill="F1EFE5"/>
            <w:vAlign w:val="center"/>
          </w:tcPr>
          <w:p>
            <w:pPr>
              <w:spacing w:after="0"/>
            </w:pPr>
            <w:r>
              <w:rPr>
                <w:rFonts w:ascii="Arial" w:hAnsi="Arial"/>
                <w:b/>
                <w:color w:val="0E2530"/>
                <w:sz w:val="16"/>
              </w:rPr>
              <w:t>Executive risk decision</w:t>
            </w:r>
          </w:p>
        </w:tc>
        <w:tc>
          <w:tcPr>
            <w:tcW w:type="dxa" w:w="6300"/>
            <w:tcMar>
              <w:top w:w="70" w:type="dxa"/>
              <w:start w:w="90" w:type="dxa"/>
              <w:bottom w:w="70" w:type="dxa"/>
              <w:end w:w="90" w:type="dxa"/>
            </w:tcMar>
            <w:shd w:fill="F1EFE5"/>
            <w:vAlign w:val="center"/>
          </w:tcPr>
          <w:p>
            <w:pPr>
              <w:spacing w:after="0"/>
            </w:pPr>
            <w:r>
              <w:rPr>
                <w:rFonts w:ascii="Arial" w:hAnsi="Arial"/>
                <w:color w:val="1B1B1C"/>
                <w:sz w:val="16"/>
              </w:rPr>
              <w:t>Records what is funded, accepted, stopped, transferred or scheduled for more work.</w:t>
            </w:r>
          </w:p>
        </w:tc>
      </w:tr>
    </w:tbl>
    <w:p>
      <w:pPr>
        <w:pageBreakBefore/>
        <w:spacing w:after="100"/>
      </w:pPr>
      <w:r>
        <w:rPr>
          <w:rFonts w:ascii="Arial" w:hAnsi="Arial"/>
          <w:b/>
          <w:color w:val="2F7F9E"/>
          <w:sz w:val="17"/>
        </w:rPr>
        <w:t>APPLICATION PAPER</w:t>
      </w:r>
    </w:p>
    <w:p>
      <w:pPr>
        <w:pStyle w:val="Heading1"/>
      </w:pPr>
      <w:r>
        <w:t>Closing | The work is to make data usable and accountable</w:t>
      </w:r>
    </w:p>
    <w:p>
      <w:pPr>
        <w:pStyle w:val="Subtitle"/>
        <w:spacing w:after="280"/>
      </w:pPr>
      <w:r>
        <w:rPr>
          <w:color w:val="3C3B36"/>
          <w:sz w:val="25"/>
        </w:rPr>
        <w:t>Transformation begins when a utility can explain the decision before it has to defend the incident.</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820"/>
      </w:tblGrid>
      <w:tr>
        <w:tc>
          <w:tcPr>
            <w:tcW w:type="dxa" w:w="1500"/>
            <w:shd w:fill="E0A64A"/>
            <w:tcMar>
              <w:top w:w="0" w:type="dxa"/>
              <w:start w:w="0" w:type="dxa"/>
              <w:bottom w:w="0" w:type="dxa"/>
              <w:end w:w="0" w:type="dxa"/>
            </w:tcMar>
          </w:tcPr>
          <w:p>
            <w:pPr>
              <w:spacing w:after="0"/>
            </w:pPr>
            <w:r>
              <w:rPr>
                <w:sz w:val="4"/>
              </w:rPr>
              <w:t xml:space="preserve"> </w:t>
            </w:r>
          </w:p>
        </w:tc>
      </w:tr>
    </w:tbl>
    <w:p>
      <w:pPr>
        <w:spacing w:after="200"/>
      </w:pPr>
      <w:r>
        <w:rPr>
          <w:rFonts w:ascii="Times New Roman" w:hAnsi="Times New Roman"/>
          <w:color w:val="1B1B1C"/>
          <w:sz w:val="25"/>
        </w:rPr>
        <w:t>The opportunity in front of utilities is real. AI can help people see patterns, reach information and act with greater speed. The opportunity will not be realized by placing AI on top of data that the organization cannot explain.</w:t>
      </w:r>
    </w:p>
    <w:p>
      <w:r>
        <w:t>Data governance is how a utility turns responsibility into a repeatable system. It gives the operator context, the engineer traceability, the customer a fair process, the executive a clear risk decision, the regulator evidence and the AI system a controlled foundation.</w:t>
      </w:r>
    </w:p>
    <w:p>
      <w:r>
        <w:t>This is not a one-time project. Standards will change. Laws will change. Systems, suppliers, people and risks will change. The living document, the assessment and the application must change with them. The constant is the discipline: write the decision, act through the control, keep the proof and close the gap.</w:t>
      </w:r>
    </w:p>
    <w:tbl>
      <w:tblPr>
        <w:tblW w:type="auto" w:w="0"/>
        <w:jc w:val="center"/>
        <w:tblLayout w:type="fixed"/>
        <w:tblLook w:firstColumn="1" w:firstRow="1" w:lastColumn="0" w:lastRow="0" w:noHBand="0" w:noVBand="1" w:val="04A0"/>
        <w:tblBorders>
          <w:top w:val="single" w:sz="10" w:space="0" w:color="E0A64A"/>
          <w:left w:val="single" w:sz="10" w:space="0" w:color="E0A64A"/>
          <w:bottom w:val="single" w:sz="10" w:space="0" w:color="E0A64A"/>
          <w:right w:val="single" w:sz="10" w:space="0" w:color="E0A64A"/>
          <w:insideH w:val="single" w:sz="10" w:space="0" w:color="E0A64A"/>
          <w:insideV w:val="single" w:sz="10" w:space="0" w:color="E0A64A"/>
        </w:tblBorders>
      </w:tblPr>
      <w:tblGrid>
        <w:gridCol w:w="9820"/>
      </w:tblGrid>
      <w:tr>
        <w:trPr>
          <w:cantSplit/>
        </w:trPr>
        <w:tc>
          <w:tcPr>
            <w:tcW w:type="dxa" w:w="9820"/>
            <w:shd w:fill="1B1B1C"/>
            <w:tcMar>
              <w:top w:w="140" w:type="dxa"/>
              <w:start w:w="170" w:type="dxa"/>
              <w:bottom w:w="140" w:type="dxa"/>
              <w:end w:w="170" w:type="dxa"/>
            </w:tcMar>
          </w:tcPr>
          <w:p>
            <w:pPr>
              <w:spacing w:after="80"/>
            </w:pPr>
            <w:r>
              <w:rPr>
                <w:rFonts w:ascii="Arial" w:hAnsi="Arial"/>
                <w:b/>
                <w:color w:val="E0A64A"/>
                <w:sz w:val="20"/>
              </w:rPr>
              <w:t>The commitment</w:t>
            </w:r>
          </w:p>
          <w:p>
            <w:pPr>
              <w:spacing w:after="0"/>
            </w:pPr>
            <w:r>
              <w:rPr>
                <w:rFonts w:ascii="Arial" w:hAnsi="Arial"/>
                <w:color w:val="FFFFFF"/>
                <w:sz w:val="20"/>
              </w:rPr>
              <w:t>We will keep trying to build transformational solutions because the public work deserves more than disconnected transactions. Data-ready before AI-ready. Evidence before assurance. Accountability before scale.</w:t>
            </w:r>
          </w:p>
        </w:tc>
      </w:tr>
    </w:tbl>
    <w:p>
      <w:pPr>
        <w:pageBreakBefore/>
        <w:spacing w:after="100"/>
      </w:pPr>
      <w:r>
        <w:rPr>
          <w:rFonts w:ascii="Arial" w:hAnsi="Arial"/>
          <w:b/>
          <w:color w:val="2F7F9E"/>
          <w:sz w:val="17"/>
        </w:rPr>
        <w:t>APPLICATION PAPER</w:t>
      </w:r>
    </w:p>
    <w:p>
      <w:pPr>
        <w:pStyle w:val="Heading1"/>
      </w:pPr>
      <w:r>
        <w:t>Appendix A | The 60 assessment criteria</w:t>
      </w:r>
    </w:p>
    <w:p>
      <w:pPr>
        <w:pStyle w:val="Subtitle"/>
        <w:spacing w:after="280"/>
      </w:pPr>
      <w:r>
        <w:rPr>
          <w:color w:val="3C3B36"/>
          <w:sz w:val="25"/>
        </w:rPr>
        <w:t>Each criterion is written as an operating statement and paired with the evidence needed to test it.</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820"/>
      </w:tblGrid>
      <w:tr>
        <w:tc>
          <w:tcPr>
            <w:tcW w:type="dxa" w:w="1500"/>
            <w:shd w:fill="E0A64A"/>
            <w:tcMar>
              <w:top w:w="0" w:type="dxa"/>
              <w:start w:w="0" w:type="dxa"/>
              <w:bottom w:w="0" w:type="dxa"/>
              <w:end w:w="0" w:type="dxa"/>
            </w:tcMar>
          </w:tcPr>
          <w:p>
            <w:pPr>
              <w:spacing w:after="0"/>
            </w:pPr>
            <w:r>
              <w:rPr>
                <w:sz w:val="4"/>
              </w:rPr>
              <w:t xml:space="preserve"> </w:t>
            </w:r>
          </w:p>
        </w:tc>
      </w:tr>
    </w:tbl>
    <w:p>
      <w:r>
        <w:t>The criteria form the working core of the assessment. Not-applicable decisions require a documented scope reason. Source IDs map to Appendix B. The full assessment also records maturity, evidence confidence, consequence, urgency, owner, finding and action.</w:t>
      </w:r>
    </w:p>
    <w:p>
      <w:pPr>
        <w:pStyle w:val="Heading2"/>
      </w:pPr>
      <w:r>
        <w:t>D01 | Strategy, value and decision rights</w:t>
      </w:r>
    </w:p>
    <w:p>
      <w:r>
        <w:t>Scope: Governance scope, value outcomes, risk appetite, funding and decision escalation Primary anchors: I01,I08,F02,F04,US06</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2455"/>
        <w:gridCol w:w="2455"/>
        <w:gridCol w:w="2455"/>
        <w:gridCol w:w="2455"/>
      </w:tblGrid>
      <w:tr>
        <w:trPr>
          <w:tblHeader w:val="true"/>
          <w:cantSplit/>
        </w:trPr>
        <w:tc>
          <w:tcPr>
            <w:tcW w:type="dxa" w:w="750"/>
            <w:tcMar>
              <w:top w:w="75" w:type="dxa"/>
              <w:start w:w="90" w:type="dxa"/>
              <w:bottom w:w="75" w:type="dxa"/>
              <w:end w:w="90" w:type="dxa"/>
            </w:tcMar>
            <w:shd w:fill="1B1B1C"/>
          </w:tcPr>
          <w:p>
            <w:pPr>
              <w:spacing w:after="0"/>
            </w:pPr>
            <w:r>
              <w:rPr>
                <w:rFonts w:ascii="Arial" w:hAnsi="Arial"/>
                <w:b/>
                <w:color w:val="FFFFFF"/>
                <w:sz w:val="14"/>
              </w:rPr>
              <w:t>ID</w:t>
            </w:r>
          </w:p>
        </w:tc>
        <w:tc>
          <w:tcPr>
            <w:tcW w:type="dxa" w:w="4500"/>
            <w:tcMar>
              <w:top w:w="75" w:type="dxa"/>
              <w:start w:w="90" w:type="dxa"/>
              <w:bottom w:w="75" w:type="dxa"/>
              <w:end w:w="90" w:type="dxa"/>
            </w:tcMar>
            <w:shd w:fill="1B1B1C"/>
          </w:tcPr>
          <w:p>
            <w:pPr>
              <w:spacing w:after="0"/>
            </w:pPr>
            <w:r>
              <w:rPr>
                <w:rFonts w:ascii="Arial" w:hAnsi="Arial"/>
                <w:b/>
                <w:color w:val="FFFFFF"/>
                <w:sz w:val="14"/>
              </w:rPr>
              <w:t>Criterion</w:t>
            </w:r>
          </w:p>
        </w:tc>
        <w:tc>
          <w:tcPr>
            <w:tcW w:type="dxa" w:w="3000"/>
            <w:tcMar>
              <w:top w:w="75" w:type="dxa"/>
              <w:start w:w="90" w:type="dxa"/>
              <w:bottom w:w="75" w:type="dxa"/>
              <w:end w:w="90" w:type="dxa"/>
            </w:tcMar>
            <w:shd w:fill="1B1B1C"/>
          </w:tcPr>
          <w:p>
            <w:pPr>
              <w:spacing w:after="0"/>
            </w:pPr>
            <w:r>
              <w:rPr>
                <w:rFonts w:ascii="Arial" w:hAnsi="Arial"/>
                <w:b/>
                <w:color w:val="FFFFFF"/>
                <w:sz w:val="14"/>
              </w:rPr>
              <w:t>Evidence examples</w:t>
            </w:r>
          </w:p>
        </w:tc>
        <w:tc>
          <w:tcPr>
            <w:tcW w:type="dxa" w:w="1050"/>
            <w:tcMar>
              <w:top w:w="75" w:type="dxa"/>
              <w:start w:w="90" w:type="dxa"/>
              <w:bottom w:w="75" w:type="dxa"/>
              <w:end w:w="90" w:type="dxa"/>
            </w:tcMar>
            <w:shd w:fill="1B1B1C"/>
          </w:tcPr>
          <w:p>
            <w:pPr>
              <w:spacing w:after="0"/>
            </w:pPr>
            <w:r>
              <w:rPr>
                <w:rFonts w:ascii="Arial" w:hAnsi="Arial"/>
                <w:b/>
                <w:color w:val="FFFFFF"/>
                <w:sz w:val="14"/>
              </w:rPr>
              <w:t>Sources</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D01.1</w:t>
            </w:r>
          </w:p>
        </w:tc>
        <w:tc>
          <w:tcPr>
            <w:tcW w:type="dxa" w:w="4500"/>
            <w:tcMar>
              <w:top w:w="70" w:type="dxa"/>
              <w:start w:w="90" w:type="dxa"/>
              <w:bottom w:w="70" w:type="dxa"/>
              <w:end w:w="90" w:type="dxa"/>
            </w:tcMar>
            <w:vAlign w:val="center"/>
          </w:tcPr>
          <w:p>
            <w:pPr>
              <w:spacing w:after="0"/>
            </w:pPr>
            <w:r>
              <w:rPr>
                <w:rFonts w:ascii="Arial" w:hAnsi="Arial"/>
                <w:color w:val="1B1B1C"/>
                <w:sz w:val="14"/>
              </w:rPr>
              <w:t>The governing body has approved the scope and principles for data governance across IT, OT, analytics and AI.</w:t>
            </w:r>
          </w:p>
        </w:tc>
        <w:tc>
          <w:tcPr>
            <w:tcW w:type="dxa" w:w="3000"/>
            <w:tcMar>
              <w:top w:w="70" w:type="dxa"/>
              <w:start w:w="90" w:type="dxa"/>
              <w:bottom w:w="70" w:type="dxa"/>
              <w:end w:w="90" w:type="dxa"/>
            </w:tcMar>
            <w:vAlign w:val="center"/>
          </w:tcPr>
          <w:p>
            <w:pPr>
              <w:spacing w:after="0"/>
            </w:pPr>
            <w:r>
              <w:rPr>
                <w:rFonts w:ascii="Arial" w:hAnsi="Arial"/>
                <w:color w:val="1B1B1C"/>
                <w:sz w:val="14"/>
              </w:rPr>
              <w:t>Approved charter; board minutes; scope map</w:t>
            </w:r>
          </w:p>
        </w:tc>
        <w:tc>
          <w:tcPr>
            <w:tcW w:type="dxa" w:w="1050"/>
            <w:tcMar>
              <w:top w:w="70" w:type="dxa"/>
              <w:start w:w="90" w:type="dxa"/>
              <w:bottom w:w="70" w:type="dxa"/>
              <w:end w:w="90" w:type="dxa"/>
            </w:tcMar>
            <w:vAlign w:val="center"/>
          </w:tcPr>
          <w:p>
            <w:pPr>
              <w:spacing w:after="0"/>
            </w:pPr>
            <w:r>
              <w:rPr>
                <w:rFonts w:ascii="Arial" w:hAnsi="Arial"/>
                <w:color w:val="1B1B1C"/>
                <w:sz w:val="14"/>
              </w:rPr>
              <w:t>I01,I08</w:t>
            </w:r>
          </w:p>
        </w:tc>
      </w:tr>
      <w:tr>
        <w:trPr>
          <w:cantSplit/>
        </w:trPr>
        <w:tc>
          <w:tcPr>
            <w:tcW w:type="dxa" w:w="750"/>
            <w:tcMar>
              <w:top w:w="70" w:type="dxa"/>
              <w:start w:w="90" w:type="dxa"/>
              <w:bottom w:w="70" w:type="dxa"/>
              <w:end w:w="90" w:type="dxa"/>
            </w:tcMar>
            <w:shd w:fill="F1EFE5"/>
            <w:vAlign w:val="center"/>
          </w:tcPr>
          <w:p>
            <w:pPr>
              <w:spacing w:after="0"/>
            </w:pPr>
            <w:r>
              <w:rPr>
                <w:rFonts w:ascii="Arial" w:hAnsi="Arial"/>
                <w:b/>
                <w:color w:val="0E2530"/>
                <w:sz w:val="14"/>
              </w:rPr>
              <w:t>D01.2</w:t>
            </w:r>
          </w:p>
        </w:tc>
        <w:tc>
          <w:tcPr>
            <w:tcW w:type="dxa" w:w="4500"/>
            <w:tcMar>
              <w:top w:w="70" w:type="dxa"/>
              <w:start w:w="90" w:type="dxa"/>
              <w:bottom w:w="70" w:type="dxa"/>
              <w:end w:w="90" w:type="dxa"/>
            </w:tcMar>
            <w:shd w:fill="F1EFE5"/>
            <w:vAlign w:val="center"/>
          </w:tcPr>
          <w:p>
            <w:pPr>
              <w:spacing w:after="0"/>
            </w:pPr>
            <w:r>
              <w:rPr>
                <w:rFonts w:ascii="Arial" w:hAnsi="Arial"/>
                <w:color w:val="1B1B1C"/>
                <w:sz w:val="14"/>
              </w:rPr>
              <w:t>Data-governance outcomes are tied to utility value, service reliability, safety, affordability, resilience and regulatory commitments.</w:t>
            </w:r>
          </w:p>
        </w:tc>
        <w:tc>
          <w:tcPr>
            <w:tcW w:type="dxa" w:w="3000"/>
            <w:tcMar>
              <w:top w:w="70" w:type="dxa"/>
              <w:start w:w="90" w:type="dxa"/>
              <w:bottom w:w="70" w:type="dxa"/>
              <w:end w:w="90" w:type="dxa"/>
            </w:tcMar>
            <w:shd w:fill="F1EFE5"/>
            <w:vAlign w:val="center"/>
          </w:tcPr>
          <w:p>
            <w:pPr>
              <w:spacing w:after="0"/>
            </w:pPr>
            <w:r>
              <w:rPr>
                <w:rFonts w:ascii="Arial" w:hAnsi="Arial"/>
                <w:color w:val="1B1B1C"/>
                <w:sz w:val="14"/>
              </w:rPr>
              <w:t>Outcome map; benefit measures; investment cases</w:t>
            </w:r>
          </w:p>
        </w:tc>
        <w:tc>
          <w:tcPr>
            <w:tcW w:type="dxa" w:w="1050"/>
            <w:tcMar>
              <w:top w:w="70" w:type="dxa"/>
              <w:start w:w="90" w:type="dxa"/>
              <w:bottom w:w="70" w:type="dxa"/>
              <w:end w:w="90" w:type="dxa"/>
            </w:tcMar>
            <w:shd w:fill="F1EFE5"/>
            <w:vAlign w:val="center"/>
          </w:tcPr>
          <w:p>
            <w:pPr>
              <w:spacing w:after="0"/>
            </w:pPr>
            <w:r>
              <w:rPr>
                <w:rFonts w:ascii="Arial" w:hAnsi="Arial"/>
                <w:color w:val="1B1B1C"/>
                <w:sz w:val="14"/>
              </w:rPr>
              <w:t>I01,I23</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D01.3</w:t>
            </w:r>
          </w:p>
        </w:tc>
        <w:tc>
          <w:tcPr>
            <w:tcW w:type="dxa" w:w="4500"/>
            <w:tcMar>
              <w:top w:w="70" w:type="dxa"/>
              <w:start w:w="90" w:type="dxa"/>
              <w:bottom w:w="70" w:type="dxa"/>
              <w:end w:w="90" w:type="dxa"/>
            </w:tcMar>
            <w:vAlign w:val="center"/>
          </w:tcPr>
          <w:p>
            <w:pPr>
              <w:spacing w:after="0"/>
            </w:pPr>
            <w:r>
              <w:rPr>
                <w:rFonts w:ascii="Arial" w:hAnsi="Arial"/>
                <w:color w:val="1B1B1C"/>
                <w:sz w:val="14"/>
              </w:rPr>
              <w:t>Risk appetite and escalation thresholds exist for data quality, integrity, privacy, sharing and AI.</w:t>
            </w:r>
          </w:p>
        </w:tc>
        <w:tc>
          <w:tcPr>
            <w:tcW w:type="dxa" w:w="3000"/>
            <w:tcMar>
              <w:top w:w="70" w:type="dxa"/>
              <w:start w:w="90" w:type="dxa"/>
              <w:bottom w:w="70" w:type="dxa"/>
              <w:end w:w="90" w:type="dxa"/>
            </w:tcMar>
            <w:vAlign w:val="center"/>
          </w:tcPr>
          <w:p>
            <w:pPr>
              <w:spacing w:after="0"/>
            </w:pPr>
            <w:r>
              <w:rPr>
                <w:rFonts w:ascii="Arial" w:hAnsi="Arial"/>
                <w:color w:val="1B1B1C"/>
                <w:sz w:val="14"/>
              </w:rPr>
              <w:t>Risk appetite; thresholds; accepted-risk register</w:t>
            </w:r>
          </w:p>
        </w:tc>
        <w:tc>
          <w:tcPr>
            <w:tcW w:type="dxa" w:w="1050"/>
            <w:tcMar>
              <w:top w:w="70" w:type="dxa"/>
              <w:start w:w="90" w:type="dxa"/>
              <w:bottom w:w="70" w:type="dxa"/>
              <w:end w:w="90" w:type="dxa"/>
            </w:tcMar>
            <w:vAlign w:val="center"/>
          </w:tcPr>
          <w:p>
            <w:pPr>
              <w:spacing w:after="0"/>
            </w:pPr>
            <w:r>
              <w:rPr>
                <w:rFonts w:ascii="Arial" w:hAnsi="Arial"/>
                <w:color w:val="1B1B1C"/>
                <w:sz w:val="14"/>
              </w:rPr>
              <w:t>N01,N06,I18</w:t>
            </w:r>
          </w:p>
        </w:tc>
      </w:tr>
      <w:tr>
        <w:trPr>
          <w:cantSplit/>
        </w:trPr>
        <w:tc>
          <w:tcPr>
            <w:tcW w:type="dxa" w:w="750"/>
            <w:tcMar>
              <w:top w:w="70" w:type="dxa"/>
              <w:start w:w="90" w:type="dxa"/>
              <w:bottom w:w="70" w:type="dxa"/>
              <w:end w:w="90" w:type="dxa"/>
            </w:tcMar>
            <w:shd w:fill="F1EFE5"/>
            <w:vAlign w:val="center"/>
          </w:tcPr>
          <w:p>
            <w:pPr>
              <w:spacing w:after="0"/>
            </w:pPr>
            <w:r>
              <w:rPr>
                <w:rFonts w:ascii="Arial" w:hAnsi="Arial"/>
                <w:b/>
                <w:color w:val="0E2530"/>
                <w:sz w:val="14"/>
              </w:rPr>
              <w:t>D01.4</w:t>
            </w:r>
          </w:p>
        </w:tc>
        <w:tc>
          <w:tcPr>
            <w:tcW w:type="dxa" w:w="4500"/>
            <w:tcMar>
              <w:top w:w="70" w:type="dxa"/>
              <w:start w:w="90" w:type="dxa"/>
              <w:bottom w:w="70" w:type="dxa"/>
              <w:end w:w="90" w:type="dxa"/>
            </w:tcMar>
            <w:shd w:fill="F1EFE5"/>
            <w:vAlign w:val="center"/>
          </w:tcPr>
          <w:p>
            <w:pPr>
              <w:spacing w:after="0"/>
            </w:pPr>
            <w:r>
              <w:rPr>
                <w:rFonts w:ascii="Arial" w:hAnsi="Arial"/>
                <w:color w:val="1B1B1C"/>
                <w:sz w:val="14"/>
              </w:rPr>
              <w:t>Decision rights distinguish governing, owning, stewarding, operating, assuring and legal accountabilities.</w:t>
            </w:r>
          </w:p>
        </w:tc>
        <w:tc>
          <w:tcPr>
            <w:tcW w:type="dxa" w:w="3000"/>
            <w:tcMar>
              <w:top w:w="70" w:type="dxa"/>
              <w:start w:w="90" w:type="dxa"/>
              <w:bottom w:w="70" w:type="dxa"/>
              <w:end w:w="90" w:type="dxa"/>
            </w:tcMar>
            <w:shd w:fill="F1EFE5"/>
            <w:vAlign w:val="center"/>
          </w:tcPr>
          <w:p>
            <w:pPr>
              <w:spacing w:after="0"/>
            </w:pPr>
            <w:r>
              <w:rPr>
                <w:rFonts w:ascii="Arial" w:hAnsi="Arial"/>
                <w:color w:val="1B1B1C"/>
                <w:sz w:val="14"/>
              </w:rPr>
              <w:t>Decision-rights matrix; delegations</w:t>
            </w:r>
          </w:p>
        </w:tc>
        <w:tc>
          <w:tcPr>
            <w:tcW w:type="dxa" w:w="1050"/>
            <w:tcMar>
              <w:top w:w="70" w:type="dxa"/>
              <w:start w:w="90" w:type="dxa"/>
              <w:bottom w:w="70" w:type="dxa"/>
              <w:end w:w="90" w:type="dxa"/>
            </w:tcMar>
            <w:shd w:fill="F1EFE5"/>
            <w:vAlign w:val="center"/>
          </w:tcPr>
          <w:p>
            <w:pPr>
              <w:spacing w:after="0"/>
            </w:pPr>
            <w:r>
              <w:rPr>
                <w:rFonts w:ascii="Arial" w:hAnsi="Arial"/>
                <w:color w:val="1B1B1C"/>
                <w:sz w:val="14"/>
              </w:rPr>
              <w:t>I01,I02,F04</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D01.5</w:t>
            </w:r>
          </w:p>
        </w:tc>
        <w:tc>
          <w:tcPr>
            <w:tcW w:type="dxa" w:w="4500"/>
            <w:tcMar>
              <w:top w:w="70" w:type="dxa"/>
              <w:start w:w="90" w:type="dxa"/>
              <w:bottom w:w="70" w:type="dxa"/>
              <w:end w:w="90" w:type="dxa"/>
            </w:tcMar>
            <w:vAlign w:val="center"/>
          </w:tcPr>
          <w:p>
            <w:pPr>
              <w:spacing w:after="0"/>
            </w:pPr>
            <w:r>
              <w:rPr>
                <w:rFonts w:ascii="Arial" w:hAnsi="Arial"/>
                <w:color w:val="1B1B1C"/>
                <w:sz w:val="14"/>
              </w:rPr>
              <w:t>A funded, sequenced roadmap is reviewed against measurable outcomes and regulatory change.</w:t>
            </w:r>
          </w:p>
        </w:tc>
        <w:tc>
          <w:tcPr>
            <w:tcW w:type="dxa" w:w="3000"/>
            <w:tcMar>
              <w:top w:w="70" w:type="dxa"/>
              <w:start w:w="90" w:type="dxa"/>
              <w:bottom w:w="70" w:type="dxa"/>
              <w:end w:w="90" w:type="dxa"/>
            </w:tcMar>
            <w:vAlign w:val="center"/>
          </w:tcPr>
          <w:p>
            <w:pPr>
              <w:spacing w:after="0"/>
            </w:pPr>
            <w:r>
              <w:rPr>
                <w:rFonts w:ascii="Arial" w:hAnsi="Arial"/>
                <w:color w:val="1B1B1C"/>
                <w:sz w:val="14"/>
              </w:rPr>
              <w:t>Portfolio; funding; quarterly review pack</w:t>
            </w:r>
          </w:p>
        </w:tc>
        <w:tc>
          <w:tcPr>
            <w:tcW w:type="dxa" w:w="1050"/>
            <w:tcMar>
              <w:top w:w="70" w:type="dxa"/>
              <w:start w:w="90" w:type="dxa"/>
              <w:bottom w:w="70" w:type="dxa"/>
              <w:end w:w="90" w:type="dxa"/>
            </w:tcMar>
            <w:vAlign w:val="center"/>
          </w:tcPr>
          <w:p>
            <w:pPr>
              <w:spacing w:after="0"/>
            </w:pPr>
            <w:r>
              <w:rPr>
                <w:rFonts w:ascii="Arial" w:hAnsi="Arial"/>
                <w:color w:val="1B1B1C"/>
                <w:sz w:val="14"/>
              </w:rPr>
              <w:t>F02,US11</w:t>
            </w:r>
          </w:p>
        </w:tc>
      </w:tr>
    </w:tbl>
    <w:p>
      <w:pPr>
        <w:spacing w:after="0"/>
      </w:pPr>
    </w:p>
    <w:p>
      <w:pPr>
        <w:pStyle w:val="Heading2"/>
      </w:pPr>
      <w:r>
        <w:t>D02 | Accountability and stewardship</w:t>
      </w:r>
    </w:p>
    <w:p>
      <w:r>
        <w:t>Scope: Named owners/stewards/custodians, councils, segregation of duties and competence Primary anchors: I01,I02,F01,N04</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2455"/>
        <w:gridCol w:w="2455"/>
        <w:gridCol w:w="2455"/>
        <w:gridCol w:w="2455"/>
      </w:tblGrid>
      <w:tr>
        <w:trPr>
          <w:tblHeader w:val="true"/>
          <w:cantSplit/>
        </w:trPr>
        <w:tc>
          <w:tcPr>
            <w:tcW w:type="dxa" w:w="750"/>
            <w:tcMar>
              <w:top w:w="75" w:type="dxa"/>
              <w:start w:w="90" w:type="dxa"/>
              <w:bottom w:w="75" w:type="dxa"/>
              <w:end w:w="90" w:type="dxa"/>
            </w:tcMar>
            <w:shd w:fill="1B1B1C"/>
          </w:tcPr>
          <w:p>
            <w:pPr>
              <w:spacing w:after="0"/>
            </w:pPr>
            <w:r>
              <w:rPr>
                <w:rFonts w:ascii="Arial" w:hAnsi="Arial"/>
                <w:b/>
                <w:color w:val="FFFFFF"/>
                <w:sz w:val="14"/>
              </w:rPr>
              <w:t>ID</w:t>
            </w:r>
          </w:p>
        </w:tc>
        <w:tc>
          <w:tcPr>
            <w:tcW w:type="dxa" w:w="4500"/>
            <w:tcMar>
              <w:top w:w="75" w:type="dxa"/>
              <w:start w:w="90" w:type="dxa"/>
              <w:bottom w:w="75" w:type="dxa"/>
              <w:end w:w="90" w:type="dxa"/>
            </w:tcMar>
            <w:shd w:fill="1B1B1C"/>
          </w:tcPr>
          <w:p>
            <w:pPr>
              <w:spacing w:after="0"/>
            </w:pPr>
            <w:r>
              <w:rPr>
                <w:rFonts w:ascii="Arial" w:hAnsi="Arial"/>
                <w:b/>
                <w:color w:val="FFFFFF"/>
                <w:sz w:val="14"/>
              </w:rPr>
              <w:t>Criterion</w:t>
            </w:r>
          </w:p>
        </w:tc>
        <w:tc>
          <w:tcPr>
            <w:tcW w:type="dxa" w:w="3000"/>
            <w:tcMar>
              <w:top w:w="75" w:type="dxa"/>
              <w:start w:w="90" w:type="dxa"/>
              <w:bottom w:w="75" w:type="dxa"/>
              <w:end w:w="90" w:type="dxa"/>
            </w:tcMar>
            <w:shd w:fill="1B1B1C"/>
          </w:tcPr>
          <w:p>
            <w:pPr>
              <w:spacing w:after="0"/>
            </w:pPr>
            <w:r>
              <w:rPr>
                <w:rFonts w:ascii="Arial" w:hAnsi="Arial"/>
                <w:b/>
                <w:color w:val="FFFFFF"/>
                <w:sz w:val="14"/>
              </w:rPr>
              <w:t>Evidence examples</w:t>
            </w:r>
          </w:p>
        </w:tc>
        <w:tc>
          <w:tcPr>
            <w:tcW w:type="dxa" w:w="1050"/>
            <w:tcMar>
              <w:top w:w="75" w:type="dxa"/>
              <w:start w:w="90" w:type="dxa"/>
              <w:bottom w:w="75" w:type="dxa"/>
              <w:end w:w="90" w:type="dxa"/>
            </w:tcMar>
            <w:shd w:fill="1B1B1C"/>
          </w:tcPr>
          <w:p>
            <w:pPr>
              <w:spacing w:after="0"/>
            </w:pPr>
            <w:r>
              <w:rPr>
                <w:rFonts w:ascii="Arial" w:hAnsi="Arial"/>
                <w:b/>
                <w:color w:val="FFFFFF"/>
                <w:sz w:val="14"/>
              </w:rPr>
              <w:t>Sources</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D02.1</w:t>
            </w:r>
          </w:p>
        </w:tc>
        <w:tc>
          <w:tcPr>
            <w:tcW w:type="dxa" w:w="4500"/>
            <w:tcMar>
              <w:top w:w="70" w:type="dxa"/>
              <w:start w:w="90" w:type="dxa"/>
              <w:bottom w:w="70" w:type="dxa"/>
              <w:end w:w="90" w:type="dxa"/>
            </w:tcMar>
            <w:vAlign w:val="center"/>
          </w:tcPr>
          <w:p>
            <w:pPr>
              <w:spacing w:after="0"/>
            </w:pPr>
            <w:r>
              <w:rPr>
                <w:rFonts w:ascii="Arial" w:hAnsi="Arial"/>
                <w:color w:val="1B1B1C"/>
                <w:sz w:val="14"/>
              </w:rPr>
              <w:t>Every critical data domain and product has an accountable owner and an operational steward.</w:t>
            </w:r>
          </w:p>
        </w:tc>
        <w:tc>
          <w:tcPr>
            <w:tcW w:type="dxa" w:w="3000"/>
            <w:tcMar>
              <w:top w:w="70" w:type="dxa"/>
              <w:start w:w="90" w:type="dxa"/>
              <w:bottom w:w="70" w:type="dxa"/>
              <w:end w:w="90" w:type="dxa"/>
            </w:tcMar>
            <w:vAlign w:val="center"/>
          </w:tcPr>
          <w:p>
            <w:pPr>
              <w:spacing w:after="0"/>
            </w:pPr>
            <w:r>
              <w:rPr>
                <w:rFonts w:ascii="Arial" w:hAnsi="Arial"/>
                <w:color w:val="1B1B1C"/>
                <w:sz w:val="14"/>
              </w:rPr>
              <w:t>Catalog ownership fields; role letters</w:t>
            </w:r>
          </w:p>
        </w:tc>
        <w:tc>
          <w:tcPr>
            <w:tcW w:type="dxa" w:w="1050"/>
            <w:tcMar>
              <w:top w:w="70" w:type="dxa"/>
              <w:start w:w="90" w:type="dxa"/>
              <w:bottom w:w="70" w:type="dxa"/>
              <w:end w:w="90" w:type="dxa"/>
            </w:tcMar>
            <w:vAlign w:val="center"/>
          </w:tcPr>
          <w:p>
            <w:pPr>
              <w:spacing w:after="0"/>
            </w:pPr>
            <w:r>
              <w:rPr>
                <w:rFonts w:ascii="Arial" w:hAnsi="Arial"/>
                <w:color w:val="1B1B1C"/>
                <w:sz w:val="14"/>
              </w:rPr>
              <w:t>F01,I02</w:t>
            </w:r>
          </w:p>
        </w:tc>
      </w:tr>
      <w:tr>
        <w:trPr>
          <w:cantSplit/>
        </w:trPr>
        <w:tc>
          <w:tcPr>
            <w:tcW w:type="dxa" w:w="750"/>
            <w:tcMar>
              <w:top w:w="70" w:type="dxa"/>
              <w:start w:w="90" w:type="dxa"/>
              <w:bottom w:w="70" w:type="dxa"/>
              <w:end w:w="90" w:type="dxa"/>
            </w:tcMar>
            <w:shd w:fill="F1EFE5"/>
            <w:vAlign w:val="center"/>
          </w:tcPr>
          <w:p>
            <w:pPr>
              <w:spacing w:after="0"/>
            </w:pPr>
            <w:r>
              <w:rPr>
                <w:rFonts w:ascii="Arial" w:hAnsi="Arial"/>
                <w:b/>
                <w:color w:val="0E2530"/>
                <w:sz w:val="14"/>
              </w:rPr>
              <w:t>D02.2</w:t>
            </w:r>
          </w:p>
        </w:tc>
        <w:tc>
          <w:tcPr>
            <w:tcW w:type="dxa" w:w="4500"/>
            <w:tcMar>
              <w:top w:w="70" w:type="dxa"/>
              <w:start w:w="90" w:type="dxa"/>
              <w:bottom w:w="70" w:type="dxa"/>
              <w:end w:w="90" w:type="dxa"/>
            </w:tcMar>
            <w:shd w:fill="F1EFE5"/>
            <w:vAlign w:val="center"/>
          </w:tcPr>
          <w:p>
            <w:pPr>
              <w:spacing w:after="0"/>
            </w:pPr>
            <w:r>
              <w:rPr>
                <w:rFonts w:ascii="Arial" w:hAnsi="Arial"/>
                <w:color w:val="1B1B1C"/>
                <w:sz w:val="14"/>
              </w:rPr>
              <w:t>Stewards have defined authority, time, competence, performance measures and escalation routes.</w:t>
            </w:r>
          </w:p>
        </w:tc>
        <w:tc>
          <w:tcPr>
            <w:tcW w:type="dxa" w:w="3000"/>
            <w:tcMar>
              <w:top w:w="70" w:type="dxa"/>
              <w:start w:w="90" w:type="dxa"/>
              <w:bottom w:w="70" w:type="dxa"/>
              <w:end w:w="90" w:type="dxa"/>
            </w:tcMar>
            <w:shd w:fill="F1EFE5"/>
            <w:vAlign w:val="center"/>
          </w:tcPr>
          <w:p>
            <w:pPr>
              <w:spacing w:after="0"/>
            </w:pPr>
            <w:r>
              <w:rPr>
                <w:rFonts w:ascii="Arial" w:hAnsi="Arial"/>
                <w:color w:val="1B1B1C"/>
                <w:sz w:val="14"/>
              </w:rPr>
              <w:t>Role profile; training; objectives</w:t>
            </w:r>
          </w:p>
        </w:tc>
        <w:tc>
          <w:tcPr>
            <w:tcW w:type="dxa" w:w="1050"/>
            <w:tcMar>
              <w:top w:w="70" w:type="dxa"/>
              <w:start w:w="90" w:type="dxa"/>
              <w:bottom w:w="70" w:type="dxa"/>
              <w:end w:w="90" w:type="dxa"/>
            </w:tcMar>
            <w:shd w:fill="F1EFE5"/>
            <w:vAlign w:val="center"/>
          </w:tcPr>
          <w:p>
            <w:pPr>
              <w:spacing w:after="0"/>
            </w:pPr>
            <w:r>
              <w:rPr>
                <w:rFonts w:ascii="Arial" w:hAnsi="Arial"/>
                <w:color w:val="1B1B1C"/>
                <w:sz w:val="14"/>
              </w:rPr>
              <w:t>F01,I01</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D02.3</w:t>
            </w:r>
          </w:p>
        </w:tc>
        <w:tc>
          <w:tcPr>
            <w:tcW w:type="dxa" w:w="4500"/>
            <w:tcMar>
              <w:top w:w="70" w:type="dxa"/>
              <w:start w:w="90" w:type="dxa"/>
              <w:bottom w:w="70" w:type="dxa"/>
              <w:end w:w="90" w:type="dxa"/>
            </w:tcMar>
            <w:vAlign w:val="center"/>
          </w:tcPr>
          <w:p>
            <w:pPr>
              <w:spacing w:after="0"/>
            </w:pPr>
            <w:r>
              <w:rPr>
                <w:rFonts w:ascii="Arial" w:hAnsi="Arial"/>
                <w:color w:val="1B1B1C"/>
                <w:sz w:val="14"/>
              </w:rPr>
              <w:t>Cross-functional forums resolve data decisions involving operations, security, privacy, legal and analytics.</w:t>
            </w:r>
          </w:p>
        </w:tc>
        <w:tc>
          <w:tcPr>
            <w:tcW w:type="dxa" w:w="3000"/>
            <w:tcMar>
              <w:top w:w="70" w:type="dxa"/>
              <w:start w:w="90" w:type="dxa"/>
              <w:bottom w:w="70" w:type="dxa"/>
              <w:end w:w="90" w:type="dxa"/>
            </w:tcMar>
            <w:vAlign w:val="center"/>
          </w:tcPr>
          <w:p>
            <w:pPr>
              <w:spacing w:after="0"/>
            </w:pPr>
            <w:r>
              <w:rPr>
                <w:rFonts w:ascii="Arial" w:hAnsi="Arial"/>
                <w:color w:val="1B1B1C"/>
                <w:sz w:val="14"/>
              </w:rPr>
              <w:t>Terms of reference; decision log</w:t>
            </w:r>
          </w:p>
        </w:tc>
        <w:tc>
          <w:tcPr>
            <w:tcW w:type="dxa" w:w="1050"/>
            <w:tcMar>
              <w:top w:w="70" w:type="dxa"/>
              <w:start w:w="90" w:type="dxa"/>
              <w:bottom w:w="70" w:type="dxa"/>
              <w:end w:w="90" w:type="dxa"/>
            </w:tcMar>
            <w:vAlign w:val="center"/>
          </w:tcPr>
          <w:p>
            <w:pPr>
              <w:spacing w:after="0"/>
            </w:pPr>
            <w:r>
              <w:rPr>
                <w:rFonts w:ascii="Arial" w:hAnsi="Arial"/>
                <w:color w:val="1B1B1C"/>
                <w:sz w:val="14"/>
              </w:rPr>
              <w:t>I01,N01</w:t>
            </w:r>
          </w:p>
        </w:tc>
      </w:tr>
      <w:tr>
        <w:trPr>
          <w:cantSplit/>
        </w:trPr>
        <w:tc>
          <w:tcPr>
            <w:tcW w:type="dxa" w:w="750"/>
            <w:tcMar>
              <w:top w:w="70" w:type="dxa"/>
              <w:start w:w="90" w:type="dxa"/>
              <w:bottom w:w="70" w:type="dxa"/>
              <w:end w:w="90" w:type="dxa"/>
            </w:tcMar>
            <w:shd w:fill="F1EFE5"/>
            <w:vAlign w:val="center"/>
          </w:tcPr>
          <w:p>
            <w:pPr>
              <w:spacing w:after="0"/>
            </w:pPr>
            <w:r>
              <w:rPr>
                <w:rFonts w:ascii="Arial" w:hAnsi="Arial"/>
                <w:b/>
                <w:color w:val="0E2530"/>
                <w:sz w:val="14"/>
              </w:rPr>
              <w:t>D02.4</w:t>
            </w:r>
          </w:p>
        </w:tc>
        <w:tc>
          <w:tcPr>
            <w:tcW w:type="dxa" w:w="4500"/>
            <w:tcMar>
              <w:top w:w="70" w:type="dxa"/>
              <w:start w:w="90" w:type="dxa"/>
              <w:bottom w:w="70" w:type="dxa"/>
              <w:end w:w="90" w:type="dxa"/>
            </w:tcMar>
            <w:shd w:fill="F1EFE5"/>
            <w:vAlign w:val="center"/>
          </w:tcPr>
          <w:p>
            <w:pPr>
              <w:spacing w:after="0"/>
            </w:pPr>
            <w:r>
              <w:rPr>
                <w:rFonts w:ascii="Arial" w:hAnsi="Arial"/>
                <w:color w:val="1B1B1C"/>
                <w:sz w:val="14"/>
              </w:rPr>
              <w:t>Conflicting duties are segregated for data creation, approval, release, change and assurance.</w:t>
            </w:r>
          </w:p>
        </w:tc>
        <w:tc>
          <w:tcPr>
            <w:tcW w:type="dxa" w:w="3000"/>
            <w:tcMar>
              <w:top w:w="70" w:type="dxa"/>
              <w:start w:w="90" w:type="dxa"/>
              <w:bottom w:w="70" w:type="dxa"/>
              <w:end w:w="90" w:type="dxa"/>
            </w:tcMar>
            <w:shd w:fill="F1EFE5"/>
            <w:vAlign w:val="center"/>
          </w:tcPr>
          <w:p>
            <w:pPr>
              <w:spacing w:after="0"/>
            </w:pPr>
            <w:r>
              <w:rPr>
                <w:rFonts w:ascii="Arial" w:hAnsi="Arial"/>
                <w:color w:val="1B1B1C"/>
                <w:sz w:val="14"/>
              </w:rPr>
              <w:t>RACI; privileged-role review; workflow evidence</w:t>
            </w:r>
          </w:p>
        </w:tc>
        <w:tc>
          <w:tcPr>
            <w:tcW w:type="dxa" w:w="1050"/>
            <w:tcMar>
              <w:top w:w="70" w:type="dxa"/>
              <w:start w:w="90" w:type="dxa"/>
              <w:bottom w:w="70" w:type="dxa"/>
              <w:end w:w="90" w:type="dxa"/>
            </w:tcMar>
            <w:shd w:fill="F1EFE5"/>
            <w:vAlign w:val="center"/>
          </w:tcPr>
          <w:p>
            <w:pPr>
              <w:spacing w:after="0"/>
            </w:pPr>
            <w:r>
              <w:rPr>
                <w:rFonts w:ascii="Arial" w:hAnsi="Arial"/>
                <w:color w:val="1B1B1C"/>
                <w:sz w:val="14"/>
              </w:rPr>
              <w:t>N04</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D02.5</w:t>
            </w:r>
          </w:p>
        </w:tc>
        <w:tc>
          <w:tcPr>
            <w:tcW w:type="dxa" w:w="4500"/>
            <w:tcMar>
              <w:top w:w="70" w:type="dxa"/>
              <w:start w:w="90" w:type="dxa"/>
              <w:bottom w:w="70" w:type="dxa"/>
              <w:end w:w="90" w:type="dxa"/>
            </w:tcMar>
            <w:vAlign w:val="center"/>
          </w:tcPr>
          <w:p>
            <w:pPr>
              <w:spacing w:after="0"/>
            </w:pPr>
            <w:r>
              <w:rPr>
                <w:rFonts w:ascii="Arial" w:hAnsi="Arial"/>
                <w:color w:val="1B1B1C"/>
                <w:sz w:val="14"/>
              </w:rPr>
              <w:t>Third-party and managed-service responsibilities remain explicit and enforceable.</w:t>
            </w:r>
          </w:p>
        </w:tc>
        <w:tc>
          <w:tcPr>
            <w:tcW w:type="dxa" w:w="3000"/>
            <w:tcMar>
              <w:top w:w="70" w:type="dxa"/>
              <w:start w:w="90" w:type="dxa"/>
              <w:bottom w:w="70" w:type="dxa"/>
              <w:end w:w="90" w:type="dxa"/>
            </w:tcMar>
            <w:vAlign w:val="center"/>
          </w:tcPr>
          <w:p>
            <w:pPr>
              <w:spacing w:after="0"/>
            </w:pPr>
            <w:r>
              <w:rPr>
                <w:rFonts w:ascii="Arial" w:hAnsi="Arial"/>
                <w:color w:val="1B1B1C"/>
                <w:sz w:val="14"/>
              </w:rPr>
              <w:t>Contracts; shared-responsibility matrix; assurance reports</w:t>
            </w:r>
          </w:p>
        </w:tc>
        <w:tc>
          <w:tcPr>
            <w:tcW w:type="dxa" w:w="1050"/>
            <w:tcMar>
              <w:top w:w="70" w:type="dxa"/>
              <w:start w:w="90" w:type="dxa"/>
              <w:bottom w:w="70" w:type="dxa"/>
              <w:end w:w="90" w:type="dxa"/>
            </w:tcMar>
            <w:vAlign w:val="center"/>
          </w:tcPr>
          <w:p>
            <w:pPr>
              <w:spacing w:after="0"/>
            </w:pPr>
            <w:r>
              <w:rPr>
                <w:rFonts w:ascii="Arial" w:hAnsi="Arial"/>
                <w:color w:val="1B1B1C"/>
                <w:sz w:val="14"/>
              </w:rPr>
              <w:t>N09,F03</w:t>
            </w:r>
          </w:p>
        </w:tc>
      </w:tr>
    </w:tbl>
    <w:p>
      <w:pPr>
        <w:spacing w:after="0"/>
      </w:pPr>
    </w:p>
    <w:p>
      <w:pPr>
        <w:pStyle w:val="Heading2"/>
      </w:pPr>
      <w:r>
        <w:t>D03 | Metadata, catalog and semantics</w:t>
      </w:r>
    </w:p>
    <w:p>
      <w:r>
        <w:t>Scope: Inventory, authoritative identifiers, business/technical metadata, terminology and interoperability Primary anchors: I14,I15,I16,W03,W10,W11,U01</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2455"/>
        <w:gridCol w:w="2455"/>
        <w:gridCol w:w="2455"/>
        <w:gridCol w:w="2455"/>
      </w:tblGrid>
      <w:tr>
        <w:trPr>
          <w:tblHeader w:val="true"/>
          <w:cantSplit/>
        </w:trPr>
        <w:tc>
          <w:tcPr>
            <w:tcW w:type="dxa" w:w="750"/>
            <w:tcMar>
              <w:top w:w="75" w:type="dxa"/>
              <w:start w:w="90" w:type="dxa"/>
              <w:bottom w:w="75" w:type="dxa"/>
              <w:end w:w="90" w:type="dxa"/>
            </w:tcMar>
            <w:shd w:fill="1B1B1C"/>
          </w:tcPr>
          <w:p>
            <w:pPr>
              <w:spacing w:after="0"/>
            </w:pPr>
            <w:r>
              <w:rPr>
                <w:rFonts w:ascii="Arial" w:hAnsi="Arial"/>
                <w:b/>
                <w:color w:val="FFFFFF"/>
                <w:sz w:val="14"/>
              </w:rPr>
              <w:t>ID</w:t>
            </w:r>
          </w:p>
        </w:tc>
        <w:tc>
          <w:tcPr>
            <w:tcW w:type="dxa" w:w="4500"/>
            <w:tcMar>
              <w:top w:w="75" w:type="dxa"/>
              <w:start w:w="90" w:type="dxa"/>
              <w:bottom w:w="75" w:type="dxa"/>
              <w:end w:w="90" w:type="dxa"/>
            </w:tcMar>
            <w:shd w:fill="1B1B1C"/>
          </w:tcPr>
          <w:p>
            <w:pPr>
              <w:spacing w:after="0"/>
            </w:pPr>
            <w:r>
              <w:rPr>
                <w:rFonts w:ascii="Arial" w:hAnsi="Arial"/>
                <w:b/>
                <w:color w:val="FFFFFF"/>
                <w:sz w:val="14"/>
              </w:rPr>
              <w:t>Criterion</w:t>
            </w:r>
          </w:p>
        </w:tc>
        <w:tc>
          <w:tcPr>
            <w:tcW w:type="dxa" w:w="3000"/>
            <w:tcMar>
              <w:top w:w="75" w:type="dxa"/>
              <w:start w:w="90" w:type="dxa"/>
              <w:bottom w:w="75" w:type="dxa"/>
              <w:end w:w="90" w:type="dxa"/>
            </w:tcMar>
            <w:shd w:fill="1B1B1C"/>
          </w:tcPr>
          <w:p>
            <w:pPr>
              <w:spacing w:after="0"/>
            </w:pPr>
            <w:r>
              <w:rPr>
                <w:rFonts w:ascii="Arial" w:hAnsi="Arial"/>
                <w:b/>
                <w:color w:val="FFFFFF"/>
                <w:sz w:val="14"/>
              </w:rPr>
              <w:t>Evidence examples</w:t>
            </w:r>
          </w:p>
        </w:tc>
        <w:tc>
          <w:tcPr>
            <w:tcW w:type="dxa" w:w="1050"/>
            <w:tcMar>
              <w:top w:w="75" w:type="dxa"/>
              <w:start w:w="90" w:type="dxa"/>
              <w:bottom w:w="75" w:type="dxa"/>
              <w:end w:w="90" w:type="dxa"/>
            </w:tcMar>
            <w:shd w:fill="1B1B1C"/>
          </w:tcPr>
          <w:p>
            <w:pPr>
              <w:spacing w:after="0"/>
            </w:pPr>
            <w:r>
              <w:rPr>
                <w:rFonts w:ascii="Arial" w:hAnsi="Arial"/>
                <w:b/>
                <w:color w:val="FFFFFF"/>
                <w:sz w:val="14"/>
              </w:rPr>
              <w:t>Sources</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D03.1</w:t>
            </w:r>
          </w:p>
        </w:tc>
        <w:tc>
          <w:tcPr>
            <w:tcW w:type="dxa" w:w="4500"/>
            <w:tcMar>
              <w:top w:w="70" w:type="dxa"/>
              <w:start w:w="90" w:type="dxa"/>
              <w:bottom w:w="70" w:type="dxa"/>
              <w:end w:w="90" w:type="dxa"/>
            </w:tcMar>
            <w:vAlign w:val="center"/>
          </w:tcPr>
          <w:p>
            <w:pPr>
              <w:spacing w:after="0"/>
            </w:pPr>
            <w:r>
              <w:rPr>
                <w:rFonts w:ascii="Arial" w:hAnsi="Arial"/>
                <w:color w:val="1B1B1C"/>
                <w:sz w:val="14"/>
              </w:rPr>
              <w:t>A current inventory identifies data assets, systems, interfaces, owners, sensitivity, criticality and jurisdiction.</w:t>
            </w:r>
          </w:p>
        </w:tc>
        <w:tc>
          <w:tcPr>
            <w:tcW w:type="dxa" w:w="3000"/>
            <w:tcMar>
              <w:top w:w="70" w:type="dxa"/>
              <w:start w:w="90" w:type="dxa"/>
              <w:bottom w:w="70" w:type="dxa"/>
              <w:end w:w="90" w:type="dxa"/>
            </w:tcMar>
            <w:vAlign w:val="center"/>
          </w:tcPr>
          <w:p>
            <w:pPr>
              <w:spacing w:after="0"/>
            </w:pPr>
            <w:r>
              <w:rPr>
                <w:rFonts w:ascii="Arial" w:hAnsi="Arial"/>
                <w:color w:val="1B1B1C"/>
                <w:sz w:val="14"/>
              </w:rPr>
              <w:t>Catalog export; system inventory; coverage report</w:t>
            </w:r>
          </w:p>
        </w:tc>
        <w:tc>
          <w:tcPr>
            <w:tcW w:type="dxa" w:w="1050"/>
            <w:tcMar>
              <w:top w:w="70" w:type="dxa"/>
              <w:start w:w="90" w:type="dxa"/>
              <w:bottom w:w="70" w:type="dxa"/>
              <w:end w:w="90" w:type="dxa"/>
            </w:tcMar>
            <w:vAlign w:val="center"/>
          </w:tcPr>
          <w:p>
            <w:pPr>
              <w:spacing w:after="0"/>
            </w:pPr>
            <w:r>
              <w:rPr>
                <w:rFonts w:ascii="Arial" w:hAnsi="Arial"/>
                <w:color w:val="1B1B1C"/>
                <w:sz w:val="14"/>
              </w:rPr>
              <w:t>I14,N04,US05</w:t>
            </w:r>
          </w:p>
        </w:tc>
      </w:tr>
      <w:tr>
        <w:trPr>
          <w:cantSplit/>
        </w:trPr>
        <w:tc>
          <w:tcPr>
            <w:tcW w:type="dxa" w:w="750"/>
            <w:tcMar>
              <w:top w:w="70" w:type="dxa"/>
              <w:start w:w="90" w:type="dxa"/>
              <w:bottom w:w="70" w:type="dxa"/>
              <w:end w:w="90" w:type="dxa"/>
            </w:tcMar>
            <w:shd w:fill="F1EFE5"/>
            <w:vAlign w:val="center"/>
          </w:tcPr>
          <w:p>
            <w:pPr>
              <w:spacing w:after="0"/>
            </w:pPr>
            <w:r>
              <w:rPr>
                <w:rFonts w:ascii="Arial" w:hAnsi="Arial"/>
                <w:b/>
                <w:color w:val="0E2530"/>
                <w:sz w:val="14"/>
              </w:rPr>
              <w:t>D03.2</w:t>
            </w:r>
          </w:p>
        </w:tc>
        <w:tc>
          <w:tcPr>
            <w:tcW w:type="dxa" w:w="4500"/>
            <w:tcMar>
              <w:top w:w="70" w:type="dxa"/>
              <w:start w:w="90" w:type="dxa"/>
              <w:bottom w:w="70" w:type="dxa"/>
              <w:end w:w="90" w:type="dxa"/>
            </w:tcMar>
            <w:shd w:fill="F1EFE5"/>
            <w:vAlign w:val="center"/>
          </w:tcPr>
          <w:p>
            <w:pPr>
              <w:spacing w:after="0"/>
            </w:pPr>
            <w:r>
              <w:rPr>
                <w:rFonts w:ascii="Arial" w:hAnsi="Arial"/>
                <w:color w:val="1B1B1C"/>
                <w:sz w:val="14"/>
              </w:rPr>
              <w:t>Authoritative identifiers connect physical assets, locations, customers, samples, work orders and digital records.</w:t>
            </w:r>
          </w:p>
        </w:tc>
        <w:tc>
          <w:tcPr>
            <w:tcW w:type="dxa" w:w="3000"/>
            <w:tcMar>
              <w:top w:w="70" w:type="dxa"/>
              <w:start w:w="90" w:type="dxa"/>
              <w:bottom w:w="70" w:type="dxa"/>
              <w:end w:w="90" w:type="dxa"/>
            </w:tcMar>
            <w:shd w:fill="F1EFE5"/>
            <w:vAlign w:val="center"/>
          </w:tcPr>
          <w:p>
            <w:pPr>
              <w:spacing w:after="0"/>
            </w:pPr>
            <w:r>
              <w:rPr>
                <w:rFonts w:ascii="Arial" w:hAnsi="Arial"/>
                <w:color w:val="1B1B1C"/>
                <w:sz w:val="14"/>
              </w:rPr>
              <w:t>Identifier standard; match-rate report</w:t>
            </w:r>
          </w:p>
        </w:tc>
        <w:tc>
          <w:tcPr>
            <w:tcW w:type="dxa" w:w="1050"/>
            <w:tcMar>
              <w:top w:w="70" w:type="dxa"/>
              <w:start w:w="90" w:type="dxa"/>
              <w:bottom w:w="70" w:type="dxa"/>
              <w:end w:w="90" w:type="dxa"/>
            </w:tcMar>
            <w:shd w:fill="F1EFE5"/>
            <w:vAlign w:val="center"/>
          </w:tcPr>
          <w:p>
            <w:pPr>
              <w:spacing w:after="0"/>
            </w:pPr>
            <w:r>
              <w:rPr>
                <w:rFonts w:ascii="Arial" w:hAnsi="Arial"/>
                <w:color w:val="1B1B1C"/>
                <w:sz w:val="14"/>
              </w:rPr>
              <w:t>I15,I16,U01</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D03.3</w:t>
            </w:r>
          </w:p>
        </w:tc>
        <w:tc>
          <w:tcPr>
            <w:tcW w:type="dxa" w:w="4500"/>
            <w:tcMar>
              <w:top w:w="70" w:type="dxa"/>
              <w:start w:w="90" w:type="dxa"/>
              <w:bottom w:w="70" w:type="dxa"/>
              <w:end w:w="90" w:type="dxa"/>
            </w:tcMar>
            <w:vAlign w:val="center"/>
          </w:tcPr>
          <w:p>
            <w:pPr>
              <w:spacing w:after="0"/>
            </w:pPr>
            <w:r>
              <w:rPr>
                <w:rFonts w:ascii="Arial" w:hAnsi="Arial"/>
                <w:color w:val="1B1B1C"/>
                <w:sz w:val="14"/>
              </w:rPr>
              <w:t>Business terms, definitions and units are governed and mapped to technical schemas.</w:t>
            </w:r>
          </w:p>
        </w:tc>
        <w:tc>
          <w:tcPr>
            <w:tcW w:type="dxa" w:w="3000"/>
            <w:tcMar>
              <w:top w:w="70" w:type="dxa"/>
              <w:start w:w="90" w:type="dxa"/>
              <w:bottom w:w="70" w:type="dxa"/>
              <w:end w:w="90" w:type="dxa"/>
            </w:tcMar>
            <w:vAlign w:val="center"/>
          </w:tcPr>
          <w:p>
            <w:pPr>
              <w:spacing w:after="0"/>
            </w:pPr>
            <w:r>
              <w:rPr>
                <w:rFonts w:ascii="Arial" w:hAnsi="Arial"/>
                <w:color w:val="1B1B1C"/>
                <w:sz w:val="14"/>
              </w:rPr>
              <w:t>Glossary; ontology; term-to-field mappings</w:t>
            </w:r>
          </w:p>
        </w:tc>
        <w:tc>
          <w:tcPr>
            <w:tcW w:type="dxa" w:w="1050"/>
            <w:tcMar>
              <w:top w:w="70" w:type="dxa"/>
              <w:start w:w="90" w:type="dxa"/>
              <w:bottom w:w="70" w:type="dxa"/>
              <w:end w:w="90" w:type="dxa"/>
            </w:tcMar>
            <w:vAlign w:val="center"/>
          </w:tcPr>
          <w:p>
            <w:pPr>
              <w:spacing w:after="0"/>
            </w:pPr>
            <w:r>
              <w:rPr>
                <w:rFonts w:ascii="Arial" w:hAnsi="Arial"/>
                <w:color w:val="1B1B1C"/>
                <w:sz w:val="14"/>
              </w:rPr>
              <w:t>W10,W11,I14</w:t>
            </w:r>
          </w:p>
        </w:tc>
      </w:tr>
      <w:tr>
        <w:trPr>
          <w:cantSplit/>
        </w:trPr>
        <w:tc>
          <w:tcPr>
            <w:tcW w:type="dxa" w:w="750"/>
            <w:tcMar>
              <w:top w:w="70" w:type="dxa"/>
              <w:start w:w="90" w:type="dxa"/>
              <w:bottom w:w="70" w:type="dxa"/>
              <w:end w:w="90" w:type="dxa"/>
            </w:tcMar>
            <w:shd w:fill="F1EFE5"/>
            <w:vAlign w:val="center"/>
          </w:tcPr>
          <w:p>
            <w:pPr>
              <w:spacing w:after="0"/>
            </w:pPr>
            <w:r>
              <w:rPr>
                <w:rFonts w:ascii="Arial" w:hAnsi="Arial"/>
                <w:b/>
                <w:color w:val="0E2530"/>
                <w:sz w:val="14"/>
              </w:rPr>
              <w:t>D03.4</w:t>
            </w:r>
          </w:p>
        </w:tc>
        <w:tc>
          <w:tcPr>
            <w:tcW w:type="dxa" w:w="4500"/>
            <w:tcMar>
              <w:top w:w="70" w:type="dxa"/>
              <w:start w:w="90" w:type="dxa"/>
              <w:bottom w:w="70" w:type="dxa"/>
              <w:end w:w="90" w:type="dxa"/>
            </w:tcMar>
            <w:shd w:fill="F1EFE5"/>
            <w:vAlign w:val="center"/>
          </w:tcPr>
          <w:p>
            <w:pPr>
              <w:spacing w:after="0"/>
            </w:pPr>
            <w:r>
              <w:rPr>
                <w:rFonts w:ascii="Arial" w:hAnsi="Arial"/>
                <w:color w:val="1B1B1C"/>
                <w:sz w:val="14"/>
              </w:rPr>
              <w:t>Metadata includes version, temporal validity, spatial reference, quality, rights, provenance and retention.</w:t>
            </w:r>
          </w:p>
        </w:tc>
        <w:tc>
          <w:tcPr>
            <w:tcW w:type="dxa" w:w="3000"/>
            <w:tcMar>
              <w:top w:w="70" w:type="dxa"/>
              <w:start w:w="90" w:type="dxa"/>
              <w:bottom w:w="70" w:type="dxa"/>
              <w:end w:w="90" w:type="dxa"/>
            </w:tcMar>
            <w:shd w:fill="F1EFE5"/>
            <w:vAlign w:val="center"/>
          </w:tcPr>
          <w:p>
            <w:pPr>
              <w:spacing w:after="0"/>
            </w:pPr>
            <w:r>
              <w:rPr>
                <w:rFonts w:ascii="Arial" w:hAnsi="Arial"/>
                <w:color w:val="1B1B1C"/>
                <w:sz w:val="14"/>
              </w:rPr>
              <w:t>Metadata profile; completeness tests</w:t>
            </w:r>
          </w:p>
        </w:tc>
        <w:tc>
          <w:tcPr>
            <w:tcW w:type="dxa" w:w="1050"/>
            <w:tcMar>
              <w:top w:w="70" w:type="dxa"/>
              <w:start w:w="90" w:type="dxa"/>
              <w:bottom w:w="70" w:type="dxa"/>
              <w:end w:w="90" w:type="dxa"/>
            </w:tcMar>
            <w:shd w:fill="F1EFE5"/>
            <w:vAlign w:val="center"/>
          </w:tcPr>
          <w:p>
            <w:pPr>
              <w:spacing w:after="0"/>
            </w:pPr>
            <w:r>
              <w:rPr>
                <w:rFonts w:ascii="Arial" w:hAnsi="Arial"/>
                <w:color w:val="1B1B1C"/>
                <w:sz w:val="14"/>
              </w:rPr>
              <w:t>I16,W03,W04</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D03.5</w:t>
            </w:r>
          </w:p>
        </w:tc>
        <w:tc>
          <w:tcPr>
            <w:tcW w:type="dxa" w:w="4500"/>
            <w:tcMar>
              <w:top w:w="70" w:type="dxa"/>
              <w:start w:w="90" w:type="dxa"/>
              <w:bottom w:w="70" w:type="dxa"/>
              <w:end w:w="90" w:type="dxa"/>
            </w:tcMar>
            <w:vAlign w:val="center"/>
          </w:tcPr>
          <w:p>
            <w:pPr>
              <w:spacing w:after="0"/>
            </w:pPr>
            <w:r>
              <w:rPr>
                <w:rFonts w:ascii="Arial" w:hAnsi="Arial"/>
                <w:color w:val="1B1B1C"/>
                <w:sz w:val="14"/>
              </w:rPr>
              <w:t>Schema and metadata changes are versioned, impact-assessed and communicated.</w:t>
            </w:r>
          </w:p>
        </w:tc>
        <w:tc>
          <w:tcPr>
            <w:tcW w:type="dxa" w:w="3000"/>
            <w:tcMar>
              <w:top w:w="70" w:type="dxa"/>
              <w:start w:w="90" w:type="dxa"/>
              <w:bottom w:w="70" w:type="dxa"/>
              <w:end w:w="90" w:type="dxa"/>
            </w:tcMar>
            <w:vAlign w:val="center"/>
          </w:tcPr>
          <w:p>
            <w:pPr>
              <w:spacing w:after="0"/>
            </w:pPr>
            <w:r>
              <w:rPr>
                <w:rFonts w:ascii="Arial" w:hAnsi="Arial"/>
                <w:color w:val="1B1B1C"/>
                <w:sz w:val="14"/>
              </w:rPr>
              <w:t>Version history; compatibility tests; subscribers</w:t>
            </w:r>
          </w:p>
        </w:tc>
        <w:tc>
          <w:tcPr>
            <w:tcW w:type="dxa" w:w="1050"/>
            <w:tcMar>
              <w:top w:w="70" w:type="dxa"/>
              <w:start w:w="90" w:type="dxa"/>
              <w:bottom w:w="70" w:type="dxa"/>
              <w:end w:w="90" w:type="dxa"/>
            </w:tcMar>
            <w:vAlign w:val="center"/>
          </w:tcPr>
          <w:p>
            <w:pPr>
              <w:spacing w:after="0"/>
            </w:pPr>
            <w:r>
              <w:rPr>
                <w:rFonts w:ascii="Arial" w:hAnsi="Arial"/>
                <w:color w:val="1B1B1C"/>
                <w:sz w:val="14"/>
              </w:rPr>
              <w:t>W03,N04</w:t>
            </w:r>
          </w:p>
        </w:tc>
      </w:tr>
    </w:tbl>
    <w:p>
      <w:pPr>
        <w:spacing w:after="0"/>
      </w:pPr>
    </w:p>
    <w:p>
      <w:pPr>
        <w:pStyle w:val="Heading2"/>
      </w:pPr>
      <w:r>
        <w:t>D04 | Lineage, provenance and traceability</w:t>
      </w:r>
    </w:p>
    <w:p>
      <w:r>
        <w:t>Scope: Source-to-use paths, transformations, actors, versions, run events and reproducibility Primary anchors: W01,W02,U06,N02,N03,I16</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2455"/>
        <w:gridCol w:w="2455"/>
        <w:gridCol w:w="2455"/>
        <w:gridCol w:w="2455"/>
      </w:tblGrid>
      <w:tr>
        <w:trPr>
          <w:tblHeader w:val="true"/>
          <w:cantSplit/>
        </w:trPr>
        <w:tc>
          <w:tcPr>
            <w:tcW w:type="dxa" w:w="750"/>
            <w:tcMar>
              <w:top w:w="75" w:type="dxa"/>
              <w:start w:w="90" w:type="dxa"/>
              <w:bottom w:w="75" w:type="dxa"/>
              <w:end w:w="90" w:type="dxa"/>
            </w:tcMar>
            <w:shd w:fill="1B1B1C"/>
          </w:tcPr>
          <w:p>
            <w:pPr>
              <w:spacing w:after="0"/>
            </w:pPr>
            <w:r>
              <w:rPr>
                <w:rFonts w:ascii="Arial" w:hAnsi="Arial"/>
                <w:b/>
                <w:color w:val="FFFFFF"/>
                <w:sz w:val="14"/>
              </w:rPr>
              <w:t>ID</w:t>
            </w:r>
          </w:p>
        </w:tc>
        <w:tc>
          <w:tcPr>
            <w:tcW w:type="dxa" w:w="4500"/>
            <w:tcMar>
              <w:top w:w="75" w:type="dxa"/>
              <w:start w:w="90" w:type="dxa"/>
              <w:bottom w:w="75" w:type="dxa"/>
              <w:end w:w="90" w:type="dxa"/>
            </w:tcMar>
            <w:shd w:fill="1B1B1C"/>
          </w:tcPr>
          <w:p>
            <w:pPr>
              <w:spacing w:after="0"/>
            </w:pPr>
            <w:r>
              <w:rPr>
                <w:rFonts w:ascii="Arial" w:hAnsi="Arial"/>
                <w:b/>
                <w:color w:val="FFFFFF"/>
                <w:sz w:val="14"/>
              </w:rPr>
              <w:t>Criterion</w:t>
            </w:r>
          </w:p>
        </w:tc>
        <w:tc>
          <w:tcPr>
            <w:tcW w:type="dxa" w:w="3000"/>
            <w:tcMar>
              <w:top w:w="75" w:type="dxa"/>
              <w:start w:w="90" w:type="dxa"/>
              <w:bottom w:w="75" w:type="dxa"/>
              <w:end w:w="90" w:type="dxa"/>
            </w:tcMar>
            <w:shd w:fill="1B1B1C"/>
          </w:tcPr>
          <w:p>
            <w:pPr>
              <w:spacing w:after="0"/>
            </w:pPr>
            <w:r>
              <w:rPr>
                <w:rFonts w:ascii="Arial" w:hAnsi="Arial"/>
                <w:b/>
                <w:color w:val="FFFFFF"/>
                <w:sz w:val="14"/>
              </w:rPr>
              <w:t>Evidence examples</w:t>
            </w:r>
          </w:p>
        </w:tc>
        <w:tc>
          <w:tcPr>
            <w:tcW w:type="dxa" w:w="1050"/>
            <w:tcMar>
              <w:top w:w="75" w:type="dxa"/>
              <w:start w:w="90" w:type="dxa"/>
              <w:bottom w:w="75" w:type="dxa"/>
              <w:end w:w="90" w:type="dxa"/>
            </w:tcMar>
            <w:shd w:fill="1B1B1C"/>
          </w:tcPr>
          <w:p>
            <w:pPr>
              <w:spacing w:after="0"/>
            </w:pPr>
            <w:r>
              <w:rPr>
                <w:rFonts w:ascii="Arial" w:hAnsi="Arial"/>
                <w:b/>
                <w:color w:val="FFFFFF"/>
                <w:sz w:val="14"/>
              </w:rPr>
              <w:t>Sources</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D04.1</w:t>
            </w:r>
          </w:p>
        </w:tc>
        <w:tc>
          <w:tcPr>
            <w:tcW w:type="dxa" w:w="4500"/>
            <w:tcMar>
              <w:top w:w="70" w:type="dxa"/>
              <w:start w:w="90" w:type="dxa"/>
              <w:bottom w:w="70" w:type="dxa"/>
              <w:end w:w="90" w:type="dxa"/>
            </w:tcMar>
            <w:vAlign w:val="center"/>
          </w:tcPr>
          <w:p>
            <w:pPr>
              <w:spacing w:after="0"/>
            </w:pPr>
            <w:r>
              <w:rPr>
                <w:rFonts w:ascii="Arial" w:hAnsi="Arial"/>
                <w:color w:val="1B1B1C"/>
                <w:sz w:val="14"/>
              </w:rPr>
              <w:t>Source-to-consumption lineage is available for critical reports, decisions, data products and AI use cases.</w:t>
            </w:r>
          </w:p>
        </w:tc>
        <w:tc>
          <w:tcPr>
            <w:tcW w:type="dxa" w:w="3000"/>
            <w:tcMar>
              <w:top w:w="70" w:type="dxa"/>
              <w:start w:w="90" w:type="dxa"/>
              <w:bottom w:w="70" w:type="dxa"/>
              <w:end w:w="90" w:type="dxa"/>
            </w:tcMar>
            <w:vAlign w:val="center"/>
          </w:tcPr>
          <w:p>
            <w:pPr>
              <w:spacing w:after="0"/>
            </w:pPr>
            <w:r>
              <w:rPr>
                <w:rFonts w:ascii="Arial" w:hAnsi="Arial"/>
                <w:color w:val="1B1B1C"/>
                <w:sz w:val="14"/>
              </w:rPr>
              <w:t>Lineage graph; sampled trace walkthrough</w:t>
            </w:r>
          </w:p>
        </w:tc>
        <w:tc>
          <w:tcPr>
            <w:tcW w:type="dxa" w:w="1050"/>
            <w:tcMar>
              <w:top w:w="70" w:type="dxa"/>
              <w:start w:w="90" w:type="dxa"/>
              <w:bottom w:w="70" w:type="dxa"/>
              <w:end w:w="90" w:type="dxa"/>
            </w:tcMar>
            <w:vAlign w:val="center"/>
          </w:tcPr>
          <w:p>
            <w:pPr>
              <w:spacing w:after="0"/>
            </w:pPr>
            <w:r>
              <w:rPr>
                <w:rFonts w:ascii="Arial" w:hAnsi="Arial"/>
                <w:color w:val="1B1B1C"/>
                <w:sz w:val="14"/>
              </w:rPr>
              <w:t>W01,U06,N02</w:t>
            </w:r>
          </w:p>
        </w:tc>
      </w:tr>
      <w:tr>
        <w:trPr>
          <w:cantSplit/>
        </w:trPr>
        <w:tc>
          <w:tcPr>
            <w:tcW w:type="dxa" w:w="750"/>
            <w:tcMar>
              <w:top w:w="70" w:type="dxa"/>
              <w:start w:w="90" w:type="dxa"/>
              <w:bottom w:w="70" w:type="dxa"/>
              <w:end w:w="90" w:type="dxa"/>
            </w:tcMar>
            <w:shd w:fill="F1EFE5"/>
            <w:vAlign w:val="center"/>
          </w:tcPr>
          <w:p>
            <w:pPr>
              <w:spacing w:after="0"/>
            </w:pPr>
            <w:r>
              <w:rPr>
                <w:rFonts w:ascii="Arial" w:hAnsi="Arial"/>
                <w:b/>
                <w:color w:val="0E2530"/>
                <w:sz w:val="14"/>
              </w:rPr>
              <w:t>D04.2</w:t>
            </w:r>
          </w:p>
        </w:tc>
        <w:tc>
          <w:tcPr>
            <w:tcW w:type="dxa" w:w="4500"/>
            <w:tcMar>
              <w:top w:w="70" w:type="dxa"/>
              <w:start w:w="90" w:type="dxa"/>
              <w:bottom w:w="70" w:type="dxa"/>
              <w:end w:w="90" w:type="dxa"/>
            </w:tcMar>
            <w:shd w:fill="F1EFE5"/>
            <w:vAlign w:val="center"/>
          </w:tcPr>
          <w:p>
            <w:pPr>
              <w:spacing w:after="0"/>
            </w:pPr>
            <w:r>
              <w:rPr>
                <w:rFonts w:ascii="Arial" w:hAnsi="Arial"/>
                <w:color w:val="1B1B1C"/>
                <w:sz w:val="14"/>
              </w:rPr>
              <w:t>Transformation provenance records inputs, outputs, activity/run, actor/service, time and code/config version.</w:t>
            </w:r>
          </w:p>
        </w:tc>
        <w:tc>
          <w:tcPr>
            <w:tcW w:type="dxa" w:w="3000"/>
            <w:tcMar>
              <w:top w:w="70" w:type="dxa"/>
              <w:start w:w="90" w:type="dxa"/>
              <w:bottom w:w="70" w:type="dxa"/>
              <w:end w:w="90" w:type="dxa"/>
            </w:tcMar>
            <w:shd w:fill="F1EFE5"/>
            <w:vAlign w:val="center"/>
          </w:tcPr>
          <w:p>
            <w:pPr>
              <w:spacing w:after="0"/>
            </w:pPr>
            <w:r>
              <w:rPr>
                <w:rFonts w:ascii="Arial" w:hAnsi="Arial"/>
                <w:color w:val="1B1B1C"/>
                <w:sz w:val="14"/>
              </w:rPr>
              <w:t>Run events; job metadata; repository tags</w:t>
            </w:r>
          </w:p>
        </w:tc>
        <w:tc>
          <w:tcPr>
            <w:tcW w:type="dxa" w:w="1050"/>
            <w:tcMar>
              <w:top w:w="70" w:type="dxa"/>
              <w:start w:w="90" w:type="dxa"/>
              <w:bottom w:w="70" w:type="dxa"/>
              <w:end w:w="90" w:type="dxa"/>
            </w:tcMar>
            <w:shd w:fill="F1EFE5"/>
            <w:vAlign w:val="center"/>
          </w:tcPr>
          <w:p>
            <w:pPr>
              <w:spacing w:after="0"/>
            </w:pPr>
            <w:r>
              <w:rPr>
                <w:rFonts w:ascii="Arial" w:hAnsi="Arial"/>
                <w:color w:val="1B1B1C"/>
                <w:sz w:val="14"/>
              </w:rPr>
              <w:t>W01,W02,U06</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D04.3</w:t>
            </w:r>
          </w:p>
        </w:tc>
        <w:tc>
          <w:tcPr>
            <w:tcW w:type="dxa" w:w="4500"/>
            <w:tcMar>
              <w:top w:w="70" w:type="dxa"/>
              <w:start w:w="90" w:type="dxa"/>
              <w:bottom w:w="70" w:type="dxa"/>
              <w:end w:w="90" w:type="dxa"/>
            </w:tcMar>
            <w:vAlign w:val="center"/>
          </w:tcPr>
          <w:p>
            <w:pPr>
              <w:spacing w:after="0"/>
            </w:pPr>
            <w:r>
              <w:rPr>
                <w:rFonts w:ascii="Arial" w:hAnsi="Arial"/>
                <w:color w:val="1B1B1C"/>
                <w:sz w:val="14"/>
              </w:rPr>
              <w:t>Manual handoffs and spreadsheet transformations are included in lineage or governed as exceptions.</w:t>
            </w:r>
          </w:p>
        </w:tc>
        <w:tc>
          <w:tcPr>
            <w:tcW w:type="dxa" w:w="3000"/>
            <w:tcMar>
              <w:top w:w="70" w:type="dxa"/>
              <w:start w:w="90" w:type="dxa"/>
              <w:bottom w:w="70" w:type="dxa"/>
              <w:end w:w="90" w:type="dxa"/>
            </w:tcMar>
            <w:vAlign w:val="center"/>
          </w:tcPr>
          <w:p>
            <w:pPr>
              <w:spacing w:after="0"/>
            </w:pPr>
            <w:r>
              <w:rPr>
                <w:rFonts w:ascii="Arial" w:hAnsi="Arial"/>
                <w:color w:val="1B1B1C"/>
                <w:sz w:val="14"/>
              </w:rPr>
              <w:t>Manual-control register; reconciliations</w:t>
            </w:r>
          </w:p>
        </w:tc>
        <w:tc>
          <w:tcPr>
            <w:tcW w:type="dxa" w:w="1050"/>
            <w:tcMar>
              <w:top w:w="70" w:type="dxa"/>
              <w:start w:w="90" w:type="dxa"/>
              <w:bottom w:w="70" w:type="dxa"/>
              <w:end w:w="90" w:type="dxa"/>
            </w:tcMar>
            <w:vAlign w:val="center"/>
          </w:tcPr>
          <w:p>
            <w:pPr>
              <w:spacing w:after="0"/>
            </w:pPr>
            <w:r>
              <w:rPr>
                <w:rFonts w:ascii="Arial" w:hAnsi="Arial"/>
                <w:color w:val="1B1B1C"/>
                <w:sz w:val="14"/>
              </w:rPr>
              <w:t>N04,N05</w:t>
            </w:r>
          </w:p>
        </w:tc>
      </w:tr>
      <w:tr>
        <w:trPr>
          <w:cantSplit/>
        </w:trPr>
        <w:tc>
          <w:tcPr>
            <w:tcW w:type="dxa" w:w="750"/>
            <w:tcMar>
              <w:top w:w="70" w:type="dxa"/>
              <w:start w:w="90" w:type="dxa"/>
              <w:bottom w:w="70" w:type="dxa"/>
              <w:end w:w="90" w:type="dxa"/>
            </w:tcMar>
            <w:shd w:fill="F1EFE5"/>
            <w:vAlign w:val="center"/>
          </w:tcPr>
          <w:p>
            <w:pPr>
              <w:spacing w:after="0"/>
            </w:pPr>
            <w:r>
              <w:rPr>
                <w:rFonts w:ascii="Arial" w:hAnsi="Arial"/>
                <w:b/>
                <w:color w:val="0E2530"/>
                <w:sz w:val="14"/>
              </w:rPr>
              <w:t>D04.4</w:t>
            </w:r>
          </w:p>
        </w:tc>
        <w:tc>
          <w:tcPr>
            <w:tcW w:type="dxa" w:w="4500"/>
            <w:tcMar>
              <w:top w:w="70" w:type="dxa"/>
              <w:start w:w="90" w:type="dxa"/>
              <w:bottom w:w="70" w:type="dxa"/>
              <w:end w:w="90" w:type="dxa"/>
            </w:tcMar>
            <w:shd w:fill="F1EFE5"/>
            <w:vAlign w:val="center"/>
          </w:tcPr>
          <w:p>
            <w:pPr>
              <w:spacing w:after="0"/>
            </w:pPr>
            <w:r>
              <w:rPr>
                <w:rFonts w:ascii="Arial" w:hAnsi="Arial"/>
                <w:color w:val="1B1B1C"/>
                <w:sz w:val="14"/>
              </w:rPr>
              <w:t>Lineage supports impact analysis, incident investigation, reproducibility and regulatory reporting.</w:t>
            </w:r>
          </w:p>
        </w:tc>
        <w:tc>
          <w:tcPr>
            <w:tcW w:type="dxa" w:w="3000"/>
            <w:tcMar>
              <w:top w:w="70" w:type="dxa"/>
              <w:start w:w="90" w:type="dxa"/>
              <w:bottom w:w="70" w:type="dxa"/>
              <w:end w:w="90" w:type="dxa"/>
            </w:tcMar>
            <w:shd w:fill="F1EFE5"/>
            <w:vAlign w:val="center"/>
          </w:tcPr>
          <w:p>
            <w:pPr>
              <w:spacing w:after="0"/>
            </w:pPr>
            <w:r>
              <w:rPr>
                <w:rFonts w:ascii="Arial" w:hAnsi="Arial"/>
                <w:color w:val="1B1B1C"/>
                <w:sz w:val="14"/>
              </w:rPr>
              <w:t>Impact query; replay test; incident evidence</w:t>
            </w:r>
          </w:p>
        </w:tc>
        <w:tc>
          <w:tcPr>
            <w:tcW w:type="dxa" w:w="1050"/>
            <w:tcMar>
              <w:top w:w="70" w:type="dxa"/>
              <w:start w:w="90" w:type="dxa"/>
              <w:bottom w:w="70" w:type="dxa"/>
              <w:end w:w="90" w:type="dxa"/>
            </w:tcMar>
            <w:shd w:fill="F1EFE5"/>
            <w:vAlign w:val="center"/>
          </w:tcPr>
          <w:p>
            <w:pPr>
              <w:spacing w:after="0"/>
            </w:pPr>
            <w:r>
              <w:rPr>
                <w:rFonts w:ascii="Arial" w:hAnsi="Arial"/>
                <w:color w:val="1B1B1C"/>
                <w:sz w:val="14"/>
              </w:rPr>
              <w:t>N02,N04</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D04.5</w:t>
            </w:r>
          </w:p>
        </w:tc>
        <w:tc>
          <w:tcPr>
            <w:tcW w:type="dxa" w:w="4500"/>
            <w:tcMar>
              <w:top w:w="70" w:type="dxa"/>
              <w:start w:w="90" w:type="dxa"/>
              <w:bottom w:w="70" w:type="dxa"/>
              <w:end w:w="90" w:type="dxa"/>
            </w:tcMar>
            <w:vAlign w:val="center"/>
          </w:tcPr>
          <w:p>
            <w:pPr>
              <w:spacing w:after="0"/>
            </w:pPr>
            <w:r>
              <w:rPr>
                <w:rFonts w:ascii="Arial" w:hAnsi="Arial"/>
                <w:color w:val="1B1B1C"/>
                <w:sz w:val="14"/>
              </w:rPr>
              <w:t>Provenance evidence is retained with the governed record and protected from unauthorized alteration.</w:t>
            </w:r>
          </w:p>
        </w:tc>
        <w:tc>
          <w:tcPr>
            <w:tcW w:type="dxa" w:w="3000"/>
            <w:tcMar>
              <w:top w:w="70" w:type="dxa"/>
              <w:start w:w="90" w:type="dxa"/>
              <w:bottom w:w="70" w:type="dxa"/>
              <w:end w:w="90" w:type="dxa"/>
            </w:tcMar>
            <w:vAlign w:val="center"/>
          </w:tcPr>
          <w:p>
            <w:pPr>
              <w:spacing w:after="0"/>
            </w:pPr>
            <w:r>
              <w:rPr>
                <w:rFonts w:ascii="Arial" w:hAnsi="Arial"/>
                <w:color w:val="1B1B1C"/>
                <w:sz w:val="14"/>
              </w:rPr>
              <w:t>Immutable/audited store; retention; integrity test</w:t>
            </w:r>
          </w:p>
        </w:tc>
        <w:tc>
          <w:tcPr>
            <w:tcW w:type="dxa" w:w="1050"/>
            <w:tcMar>
              <w:top w:w="70" w:type="dxa"/>
              <w:start w:w="90" w:type="dxa"/>
              <w:bottom w:w="70" w:type="dxa"/>
              <w:end w:w="90" w:type="dxa"/>
            </w:tcMar>
            <w:vAlign w:val="center"/>
          </w:tcPr>
          <w:p>
            <w:pPr>
              <w:spacing w:after="0"/>
            </w:pPr>
            <w:r>
              <w:rPr>
                <w:rFonts w:ascii="Arial" w:hAnsi="Arial"/>
                <w:color w:val="1B1B1C"/>
                <w:sz w:val="14"/>
              </w:rPr>
              <w:t>W09,U07,N04</w:t>
            </w:r>
          </w:p>
        </w:tc>
      </w:tr>
    </w:tbl>
    <w:p>
      <w:pPr>
        <w:spacing w:after="0"/>
      </w:pPr>
    </w:p>
    <w:p>
      <w:pPr>
        <w:pStyle w:val="Heading2"/>
      </w:pPr>
      <w:r>
        <w:t>D05 | Data quality and observability</w:t>
      </w:r>
    </w:p>
    <w:p>
      <w:r>
        <w:t>Scope: Fitness-for-purpose requirements, controls, measurement, issue handling and monitoring Primary anchors: I04,I05,I06,I07,I10,I11,I12,W04</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2455"/>
        <w:gridCol w:w="2455"/>
        <w:gridCol w:w="2455"/>
        <w:gridCol w:w="2455"/>
      </w:tblGrid>
      <w:tr>
        <w:trPr>
          <w:tblHeader w:val="true"/>
          <w:cantSplit/>
        </w:trPr>
        <w:tc>
          <w:tcPr>
            <w:tcW w:type="dxa" w:w="750"/>
            <w:tcMar>
              <w:top w:w="75" w:type="dxa"/>
              <w:start w:w="90" w:type="dxa"/>
              <w:bottom w:w="75" w:type="dxa"/>
              <w:end w:w="90" w:type="dxa"/>
            </w:tcMar>
            <w:shd w:fill="1B1B1C"/>
          </w:tcPr>
          <w:p>
            <w:pPr>
              <w:spacing w:after="0"/>
            </w:pPr>
            <w:r>
              <w:rPr>
                <w:rFonts w:ascii="Arial" w:hAnsi="Arial"/>
                <w:b/>
                <w:color w:val="FFFFFF"/>
                <w:sz w:val="14"/>
              </w:rPr>
              <w:t>ID</w:t>
            </w:r>
          </w:p>
        </w:tc>
        <w:tc>
          <w:tcPr>
            <w:tcW w:type="dxa" w:w="4500"/>
            <w:tcMar>
              <w:top w:w="75" w:type="dxa"/>
              <w:start w:w="90" w:type="dxa"/>
              <w:bottom w:w="75" w:type="dxa"/>
              <w:end w:w="90" w:type="dxa"/>
            </w:tcMar>
            <w:shd w:fill="1B1B1C"/>
          </w:tcPr>
          <w:p>
            <w:pPr>
              <w:spacing w:after="0"/>
            </w:pPr>
            <w:r>
              <w:rPr>
                <w:rFonts w:ascii="Arial" w:hAnsi="Arial"/>
                <w:b/>
                <w:color w:val="FFFFFF"/>
                <w:sz w:val="14"/>
              </w:rPr>
              <w:t>Criterion</w:t>
            </w:r>
          </w:p>
        </w:tc>
        <w:tc>
          <w:tcPr>
            <w:tcW w:type="dxa" w:w="3000"/>
            <w:tcMar>
              <w:top w:w="75" w:type="dxa"/>
              <w:start w:w="90" w:type="dxa"/>
              <w:bottom w:w="75" w:type="dxa"/>
              <w:end w:w="90" w:type="dxa"/>
            </w:tcMar>
            <w:shd w:fill="1B1B1C"/>
          </w:tcPr>
          <w:p>
            <w:pPr>
              <w:spacing w:after="0"/>
            </w:pPr>
            <w:r>
              <w:rPr>
                <w:rFonts w:ascii="Arial" w:hAnsi="Arial"/>
                <w:b/>
                <w:color w:val="FFFFFF"/>
                <w:sz w:val="14"/>
              </w:rPr>
              <w:t>Evidence examples</w:t>
            </w:r>
          </w:p>
        </w:tc>
        <w:tc>
          <w:tcPr>
            <w:tcW w:type="dxa" w:w="1050"/>
            <w:tcMar>
              <w:top w:w="75" w:type="dxa"/>
              <w:start w:w="90" w:type="dxa"/>
              <w:bottom w:w="75" w:type="dxa"/>
              <w:end w:w="90" w:type="dxa"/>
            </w:tcMar>
            <w:shd w:fill="1B1B1C"/>
          </w:tcPr>
          <w:p>
            <w:pPr>
              <w:spacing w:after="0"/>
            </w:pPr>
            <w:r>
              <w:rPr>
                <w:rFonts w:ascii="Arial" w:hAnsi="Arial"/>
                <w:b/>
                <w:color w:val="FFFFFF"/>
                <w:sz w:val="14"/>
              </w:rPr>
              <w:t>Sources</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D05.1</w:t>
            </w:r>
          </w:p>
        </w:tc>
        <w:tc>
          <w:tcPr>
            <w:tcW w:type="dxa" w:w="4500"/>
            <w:tcMar>
              <w:top w:w="70" w:type="dxa"/>
              <w:start w:w="90" w:type="dxa"/>
              <w:bottom w:w="70" w:type="dxa"/>
              <w:end w:w="90" w:type="dxa"/>
            </w:tcMar>
            <w:vAlign w:val="center"/>
          </w:tcPr>
          <w:p>
            <w:pPr>
              <w:spacing w:after="0"/>
            </w:pPr>
            <w:r>
              <w:rPr>
                <w:rFonts w:ascii="Arial" w:hAnsi="Arial"/>
                <w:color w:val="1B1B1C"/>
                <w:sz w:val="14"/>
              </w:rPr>
              <w:t>Quality requirements are defined by intended use, criticality and decision consequences.</w:t>
            </w:r>
          </w:p>
        </w:tc>
        <w:tc>
          <w:tcPr>
            <w:tcW w:type="dxa" w:w="3000"/>
            <w:tcMar>
              <w:top w:w="70" w:type="dxa"/>
              <w:start w:w="90" w:type="dxa"/>
              <w:bottom w:w="70" w:type="dxa"/>
              <w:end w:w="90" w:type="dxa"/>
            </w:tcMar>
            <w:vAlign w:val="center"/>
          </w:tcPr>
          <w:p>
            <w:pPr>
              <w:spacing w:after="0"/>
            </w:pPr>
            <w:r>
              <w:rPr>
                <w:rFonts w:ascii="Arial" w:hAnsi="Arial"/>
                <w:color w:val="1B1B1C"/>
                <w:sz w:val="14"/>
              </w:rPr>
              <w:t>Data-quality contract; critical-data-element rules</w:t>
            </w:r>
          </w:p>
        </w:tc>
        <w:tc>
          <w:tcPr>
            <w:tcW w:type="dxa" w:w="1050"/>
            <w:tcMar>
              <w:top w:w="70" w:type="dxa"/>
              <w:start w:w="90" w:type="dxa"/>
              <w:bottom w:w="70" w:type="dxa"/>
              <w:end w:w="90" w:type="dxa"/>
            </w:tcMar>
            <w:vAlign w:val="center"/>
          </w:tcPr>
          <w:p>
            <w:pPr>
              <w:spacing w:after="0"/>
            </w:pPr>
            <w:r>
              <w:rPr>
                <w:rFonts w:ascii="Arial" w:hAnsi="Arial"/>
                <w:color w:val="1B1B1C"/>
                <w:sz w:val="14"/>
              </w:rPr>
              <w:t>I05,I06,I10</w:t>
            </w:r>
          </w:p>
        </w:tc>
      </w:tr>
      <w:tr>
        <w:trPr>
          <w:cantSplit/>
        </w:trPr>
        <w:tc>
          <w:tcPr>
            <w:tcW w:type="dxa" w:w="750"/>
            <w:tcMar>
              <w:top w:w="70" w:type="dxa"/>
              <w:start w:w="90" w:type="dxa"/>
              <w:bottom w:w="70" w:type="dxa"/>
              <w:end w:w="90" w:type="dxa"/>
            </w:tcMar>
            <w:shd w:fill="F1EFE5"/>
            <w:vAlign w:val="center"/>
          </w:tcPr>
          <w:p>
            <w:pPr>
              <w:spacing w:after="0"/>
            </w:pPr>
            <w:r>
              <w:rPr>
                <w:rFonts w:ascii="Arial" w:hAnsi="Arial"/>
                <w:b/>
                <w:color w:val="0E2530"/>
                <w:sz w:val="14"/>
              </w:rPr>
              <w:t>D05.2</w:t>
            </w:r>
          </w:p>
        </w:tc>
        <w:tc>
          <w:tcPr>
            <w:tcW w:type="dxa" w:w="4500"/>
            <w:tcMar>
              <w:top w:w="70" w:type="dxa"/>
              <w:start w:w="90" w:type="dxa"/>
              <w:bottom w:w="70" w:type="dxa"/>
              <w:end w:w="90" w:type="dxa"/>
            </w:tcMar>
            <w:shd w:fill="F1EFE5"/>
            <w:vAlign w:val="center"/>
          </w:tcPr>
          <w:p>
            <w:pPr>
              <w:spacing w:after="0"/>
            </w:pPr>
            <w:r>
              <w:rPr>
                <w:rFonts w:ascii="Arial" w:hAnsi="Arial"/>
                <w:color w:val="1B1B1C"/>
                <w:sz w:val="14"/>
              </w:rPr>
              <w:t>Controls measure completeness, accuracy, consistency, timeliness, validity, uniqueness and representativeness as applicable.</w:t>
            </w:r>
          </w:p>
        </w:tc>
        <w:tc>
          <w:tcPr>
            <w:tcW w:type="dxa" w:w="3000"/>
            <w:tcMar>
              <w:top w:w="70" w:type="dxa"/>
              <w:start w:w="90" w:type="dxa"/>
              <w:bottom w:w="70" w:type="dxa"/>
              <w:end w:w="90" w:type="dxa"/>
            </w:tcMar>
            <w:shd w:fill="F1EFE5"/>
            <w:vAlign w:val="center"/>
          </w:tcPr>
          <w:p>
            <w:pPr>
              <w:spacing w:after="0"/>
            </w:pPr>
            <w:r>
              <w:rPr>
                <w:rFonts w:ascii="Arial" w:hAnsi="Arial"/>
                <w:color w:val="1B1B1C"/>
                <w:sz w:val="14"/>
              </w:rPr>
              <w:t>Rule library; measurement results</w:t>
            </w:r>
          </w:p>
        </w:tc>
        <w:tc>
          <w:tcPr>
            <w:tcW w:type="dxa" w:w="1050"/>
            <w:tcMar>
              <w:top w:w="70" w:type="dxa"/>
              <w:start w:w="90" w:type="dxa"/>
              <w:bottom w:w="70" w:type="dxa"/>
              <w:end w:w="90" w:type="dxa"/>
            </w:tcMar>
            <w:shd w:fill="F1EFE5"/>
            <w:vAlign w:val="center"/>
          </w:tcPr>
          <w:p>
            <w:pPr>
              <w:spacing w:after="0"/>
            </w:pPr>
            <w:r>
              <w:rPr>
                <w:rFonts w:ascii="Arial" w:hAnsi="Arial"/>
                <w:color w:val="1B1B1C"/>
                <w:sz w:val="14"/>
              </w:rPr>
              <w:t>I05,I10,W04</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D05.3</w:t>
            </w:r>
          </w:p>
        </w:tc>
        <w:tc>
          <w:tcPr>
            <w:tcW w:type="dxa" w:w="4500"/>
            <w:tcMar>
              <w:top w:w="70" w:type="dxa"/>
              <w:start w:w="90" w:type="dxa"/>
              <w:bottom w:w="70" w:type="dxa"/>
              <w:end w:w="90" w:type="dxa"/>
            </w:tcMar>
            <w:vAlign w:val="center"/>
          </w:tcPr>
          <w:p>
            <w:pPr>
              <w:spacing w:after="0"/>
            </w:pPr>
            <w:r>
              <w:rPr>
                <w:rFonts w:ascii="Arial" w:hAnsi="Arial"/>
                <w:color w:val="1B1B1C"/>
                <w:sz w:val="14"/>
              </w:rPr>
              <w:t>Quality is monitored at source, transformation, product and consumption points.</w:t>
            </w:r>
          </w:p>
        </w:tc>
        <w:tc>
          <w:tcPr>
            <w:tcW w:type="dxa" w:w="3000"/>
            <w:tcMar>
              <w:top w:w="70" w:type="dxa"/>
              <w:start w:w="90" w:type="dxa"/>
              <w:bottom w:w="70" w:type="dxa"/>
              <w:end w:w="90" w:type="dxa"/>
            </w:tcMar>
            <w:vAlign w:val="center"/>
          </w:tcPr>
          <w:p>
            <w:pPr>
              <w:spacing w:after="0"/>
            </w:pPr>
            <w:r>
              <w:rPr>
                <w:rFonts w:ascii="Arial" w:hAnsi="Arial"/>
                <w:color w:val="1B1B1C"/>
                <w:sz w:val="14"/>
              </w:rPr>
              <w:t>Observability dashboard; control coverage</w:t>
            </w:r>
          </w:p>
        </w:tc>
        <w:tc>
          <w:tcPr>
            <w:tcW w:type="dxa" w:w="1050"/>
            <w:tcMar>
              <w:top w:w="70" w:type="dxa"/>
              <w:start w:w="90" w:type="dxa"/>
              <w:bottom w:w="70" w:type="dxa"/>
              <w:end w:w="90" w:type="dxa"/>
            </w:tcMar>
            <w:vAlign w:val="center"/>
          </w:tcPr>
          <w:p>
            <w:pPr>
              <w:spacing w:after="0"/>
            </w:pPr>
            <w:r>
              <w:rPr>
                <w:rFonts w:ascii="Arial" w:hAnsi="Arial"/>
                <w:color w:val="1B1B1C"/>
                <w:sz w:val="14"/>
              </w:rPr>
              <w:t>I07,I12</w:t>
            </w:r>
          </w:p>
        </w:tc>
      </w:tr>
      <w:tr>
        <w:trPr>
          <w:cantSplit/>
        </w:trPr>
        <w:tc>
          <w:tcPr>
            <w:tcW w:type="dxa" w:w="750"/>
            <w:tcMar>
              <w:top w:w="70" w:type="dxa"/>
              <w:start w:w="90" w:type="dxa"/>
              <w:bottom w:w="70" w:type="dxa"/>
              <w:end w:w="90" w:type="dxa"/>
            </w:tcMar>
            <w:shd w:fill="F1EFE5"/>
            <w:vAlign w:val="center"/>
          </w:tcPr>
          <w:p>
            <w:pPr>
              <w:spacing w:after="0"/>
            </w:pPr>
            <w:r>
              <w:rPr>
                <w:rFonts w:ascii="Arial" w:hAnsi="Arial"/>
                <w:b/>
                <w:color w:val="0E2530"/>
                <w:sz w:val="14"/>
              </w:rPr>
              <w:t>D05.4</w:t>
            </w:r>
          </w:p>
        </w:tc>
        <w:tc>
          <w:tcPr>
            <w:tcW w:type="dxa" w:w="4500"/>
            <w:tcMar>
              <w:top w:w="70" w:type="dxa"/>
              <w:start w:w="90" w:type="dxa"/>
              <w:bottom w:w="70" w:type="dxa"/>
              <w:end w:w="90" w:type="dxa"/>
            </w:tcMar>
            <w:shd w:fill="F1EFE5"/>
            <w:vAlign w:val="center"/>
          </w:tcPr>
          <w:p>
            <w:pPr>
              <w:spacing w:after="0"/>
            </w:pPr>
            <w:r>
              <w:rPr>
                <w:rFonts w:ascii="Arial" w:hAnsi="Arial"/>
                <w:color w:val="1B1B1C"/>
                <w:sz w:val="14"/>
              </w:rPr>
              <w:t>Issues have ownership, severity, root cause, correction, prevention and closure verification.</w:t>
            </w:r>
          </w:p>
        </w:tc>
        <w:tc>
          <w:tcPr>
            <w:tcW w:type="dxa" w:w="3000"/>
            <w:tcMar>
              <w:top w:w="70" w:type="dxa"/>
              <w:start w:w="90" w:type="dxa"/>
              <w:bottom w:w="70" w:type="dxa"/>
              <w:end w:w="90" w:type="dxa"/>
            </w:tcMar>
            <w:shd w:fill="F1EFE5"/>
            <w:vAlign w:val="center"/>
          </w:tcPr>
          <w:p>
            <w:pPr>
              <w:spacing w:after="0"/>
            </w:pPr>
            <w:r>
              <w:rPr>
                <w:rFonts w:ascii="Arial" w:hAnsi="Arial"/>
                <w:color w:val="1B1B1C"/>
                <w:sz w:val="14"/>
              </w:rPr>
              <w:t>Issue tickets; root-cause analysis; retest</w:t>
            </w:r>
          </w:p>
        </w:tc>
        <w:tc>
          <w:tcPr>
            <w:tcW w:type="dxa" w:w="1050"/>
            <w:tcMar>
              <w:top w:w="70" w:type="dxa"/>
              <w:start w:w="90" w:type="dxa"/>
              <w:bottom w:w="70" w:type="dxa"/>
              <w:end w:w="90" w:type="dxa"/>
            </w:tcMar>
            <w:shd w:fill="F1EFE5"/>
            <w:vAlign w:val="center"/>
          </w:tcPr>
          <w:p>
            <w:pPr>
              <w:spacing w:after="0"/>
            </w:pPr>
            <w:r>
              <w:rPr>
                <w:rFonts w:ascii="Arial" w:hAnsi="Arial"/>
                <w:color w:val="1B1B1C"/>
                <w:sz w:val="14"/>
              </w:rPr>
              <w:t>I06,I12,N05</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D05.5</w:t>
            </w:r>
          </w:p>
        </w:tc>
        <w:tc>
          <w:tcPr>
            <w:tcW w:type="dxa" w:w="4500"/>
            <w:tcMar>
              <w:top w:w="70" w:type="dxa"/>
              <w:start w:w="90" w:type="dxa"/>
              <w:bottom w:w="70" w:type="dxa"/>
              <w:end w:w="90" w:type="dxa"/>
            </w:tcMar>
            <w:vAlign w:val="center"/>
          </w:tcPr>
          <w:p>
            <w:pPr>
              <w:spacing w:after="0"/>
            </w:pPr>
            <w:r>
              <w:rPr>
                <w:rFonts w:ascii="Arial" w:hAnsi="Arial"/>
                <w:color w:val="1B1B1C"/>
                <w:sz w:val="14"/>
              </w:rPr>
              <w:t>Consumers can see fitness, limitations, freshness and known exceptions before use.</w:t>
            </w:r>
          </w:p>
        </w:tc>
        <w:tc>
          <w:tcPr>
            <w:tcW w:type="dxa" w:w="3000"/>
            <w:tcMar>
              <w:top w:w="70" w:type="dxa"/>
              <w:start w:w="90" w:type="dxa"/>
              <w:bottom w:w="70" w:type="dxa"/>
              <w:end w:w="90" w:type="dxa"/>
            </w:tcMar>
            <w:vAlign w:val="center"/>
          </w:tcPr>
          <w:p>
            <w:pPr>
              <w:spacing w:after="0"/>
            </w:pPr>
            <w:r>
              <w:rPr>
                <w:rFonts w:ascii="Arial" w:hAnsi="Arial"/>
                <w:color w:val="1B1B1C"/>
                <w:sz w:val="14"/>
              </w:rPr>
              <w:t>Quality statement; service levels; data-product page</w:t>
            </w:r>
          </w:p>
        </w:tc>
        <w:tc>
          <w:tcPr>
            <w:tcW w:type="dxa" w:w="1050"/>
            <w:tcMar>
              <w:top w:w="70" w:type="dxa"/>
              <w:start w:w="90" w:type="dxa"/>
              <w:bottom w:w="70" w:type="dxa"/>
              <w:end w:w="90" w:type="dxa"/>
            </w:tcMar>
            <w:vAlign w:val="center"/>
          </w:tcPr>
          <w:p>
            <w:pPr>
              <w:spacing w:after="0"/>
            </w:pPr>
            <w:r>
              <w:rPr>
                <w:rFonts w:ascii="Arial" w:hAnsi="Arial"/>
                <w:color w:val="1B1B1C"/>
                <w:sz w:val="14"/>
              </w:rPr>
              <w:t>W03,W04,W05</w:t>
            </w:r>
          </w:p>
        </w:tc>
      </w:tr>
    </w:tbl>
    <w:p>
      <w:pPr>
        <w:spacing w:after="0"/>
      </w:pPr>
    </w:p>
    <w:p>
      <w:pPr>
        <w:pStyle w:val="Heading2"/>
      </w:pPr>
      <w:r>
        <w:t>D06 | Integrity, security and resilience</w:t>
      </w:r>
    </w:p>
    <w:p>
      <w:r>
        <w:t>Scope: Access, change control, logging, cryptographic proof, recovery, OT separation and incident response Primary anchors: I20,N04,N05,N06,U04,U07,U08</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2455"/>
        <w:gridCol w:w="2455"/>
        <w:gridCol w:w="2455"/>
        <w:gridCol w:w="2455"/>
      </w:tblGrid>
      <w:tr>
        <w:trPr>
          <w:tblHeader w:val="true"/>
          <w:cantSplit/>
        </w:trPr>
        <w:tc>
          <w:tcPr>
            <w:tcW w:type="dxa" w:w="750"/>
            <w:tcMar>
              <w:top w:w="75" w:type="dxa"/>
              <w:start w:w="90" w:type="dxa"/>
              <w:bottom w:w="75" w:type="dxa"/>
              <w:end w:w="90" w:type="dxa"/>
            </w:tcMar>
            <w:shd w:fill="1B1B1C"/>
          </w:tcPr>
          <w:p>
            <w:pPr>
              <w:spacing w:after="0"/>
            </w:pPr>
            <w:r>
              <w:rPr>
                <w:rFonts w:ascii="Arial" w:hAnsi="Arial"/>
                <w:b/>
                <w:color w:val="FFFFFF"/>
                <w:sz w:val="14"/>
              </w:rPr>
              <w:t>ID</w:t>
            </w:r>
          </w:p>
        </w:tc>
        <w:tc>
          <w:tcPr>
            <w:tcW w:type="dxa" w:w="4500"/>
            <w:tcMar>
              <w:top w:w="75" w:type="dxa"/>
              <w:start w:w="90" w:type="dxa"/>
              <w:bottom w:w="75" w:type="dxa"/>
              <w:end w:w="90" w:type="dxa"/>
            </w:tcMar>
            <w:shd w:fill="1B1B1C"/>
          </w:tcPr>
          <w:p>
            <w:pPr>
              <w:spacing w:after="0"/>
            </w:pPr>
            <w:r>
              <w:rPr>
                <w:rFonts w:ascii="Arial" w:hAnsi="Arial"/>
                <w:b/>
                <w:color w:val="FFFFFF"/>
                <w:sz w:val="14"/>
              </w:rPr>
              <w:t>Criterion</w:t>
            </w:r>
          </w:p>
        </w:tc>
        <w:tc>
          <w:tcPr>
            <w:tcW w:type="dxa" w:w="3000"/>
            <w:tcMar>
              <w:top w:w="75" w:type="dxa"/>
              <w:start w:w="90" w:type="dxa"/>
              <w:bottom w:w="75" w:type="dxa"/>
              <w:end w:w="90" w:type="dxa"/>
            </w:tcMar>
            <w:shd w:fill="1B1B1C"/>
          </w:tcPr>
          <w:p>
            <w:pPr>
              <w:spacing w:after="0"/>
            </w:pPr>
            <w:r>
              <w:rPr>
                <w:rFonts w:ascii="Arial" w:hAnsi="Arial"/>
                <w:b/>
                <w:color w:val="FFFFFF"/>
                <w:sz w:val="14"/>
              </w:rPr>
              <w:t>Evidence examples</w:t>
            </w:r>
          </w:p>
        </w:tc>
        <w:tc>
          <w:tcPr>
            <w:tcW w:type="dxa" w:w="1050"/>
            <w:tcMar>
              <w:top w:w="75" w:type="dxa"/>
              <w:start w:w="90" w:type="dxa"/>
              <w:bottom w:w="75" w:type="dxa"/>
              <w:end w:w="90" w:type="dxa"/>
            </w:tcMar>
            <w:shd w:fill="1B1B1C"/>
          </w:tcPr>
          <w:p>
            <w:pPr>
              <w:spacing w:after="0"/>
            </w:pPr>
            <w:r>
              <w:rPr>
                <w:rFonts w:ascii="Arial" w:hAnsi="Arial"/>
                <w:b/>
                <w:color w:val="FFFFFF"/>
                <w:sz w:val="14"/>
              </w:rPr>
              <w:t>Sources</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D06.1</w:t>
            </w:r>
          </w:p>
        </w:tc>
        <w:tc>
          <w:tcPr>
            <w:tcW w:type="dxa" w:w="4500"/>
            <w:tcMar>
              <w:top w:w="70" w:type="dxa"/>
              <w:start w:w="90" w:type="dxa"/>
              <w:bottom w:w="70" w:type="dxa"/>
              <w:end w:w="90" w:type="dxa"/>
            </w:tcMar>
            <w:vAlign w:val="center"/>
          </w:tcPr>
          <w:p>
            <w:pPr>
              <w:spacing w:after="0"/>
            </w:pPr>
            <w:r>
              <w:rPr>
                <w:rFonts w:ascii="Arial" w:hAnsi="Arial"/>
                <w:color w:val="1B1B1C"/>
                <w:sz w:val="14"/>
              </w:rPr>
              <w:t>Data access is authorized by role, purpose, least privilege and environment, including OT/IT boundaries.</w:t>
            </w:r>
          </w:p>
        </w:tc>
        <w:tc>
          <w:tcPr>
            <w:tcW w:type="dxa" w:w="3000"/>
            <w:tcMar>
              <w:top w:w="70" w:type="dxa"/>
              <w:start w:w="90" w:type="dxa"/>
              <w:bottom w:w="70" w:type="dxa"/>
              <w:end w:w="90" w:type="dxa"/>
            </w:tcMar>
            <w:vAlign w:val="center"/>
          </w:tcPr>
          <w:p>
            <w:pPr>
              <w:spacing w:after="0"/>
            </w:pPr>
            <w:r>
              <w:rPr>
                <w:rFonts w:ascii="Arial" w:hAnsi="Arial"/>
                <w:color w:val="1B1B1C"/>
                <w:sz w:val="14"/>
              </w:rPr>
              <w:t>Access matrix; recertification; OT segmentation</w:t>
            </w:r>
          </w:p>
        </w:tc>
        <w:tc>
          <w:tcPr>
            <w:tcW w:type="dxa" w:w="1050"/>
            <w:tcMar>
              <w:top w:w="70" w:type="dxa"/>
              <w:start w:w="90" w:type="dxa"/>
              <w:bottom w:w="70" w:type="dxa"/>
              <w:end w:w="90" w:type="dxa"/>
            </w:tcMar>
            <w:vAlign w:val="center"/>
          </w:tcPr>
          <w:p>
            <w:pPr>
              <w:spacing w:after="0"/>
            </w:pPr>
            <w:r>
              <w:rPr>
                <w:rFonts w:ascii="Arial" w:hAnsi="Arial"/>
                <w:color w:val="1B1B1C"/>
                <w:sz w:val="14"/>
              </w:rPr>
              <w:t>I20,N04,U04</w:t>
            </w:r>
          </w:p>
        </w:tc>
      </w:tr>
      <w:tr>
        <w:trPr>
          <w:cantSplit/>
        </w:trPr>
        <w:tc>
          <w:tcPr>
            <w:tcW w:type="dxa" w:w="750"/>
            <w:tcMar>
              <w:top w:w="70" w:type="dxa"/>
              <w:start w:w="90" w:type="dxa"/>
              <w:bottom w:w="70" w:type="dxa"/>
              <w:end w:w="90" w:type="dxa"/>
            </w:tcMar>
            <w:shd w:fill="F1EFE5"/>
            <w:vAlign w:val="center"/>
          </w:tcPr>
          <w:p>
            <w:pPr>
              <w:spacing w:after="0"/>
            </w:pPr>
            <w:r>
              <w:rPr>
                <w:rFonts w:ascii="Arial" w:hAnsi="Arial"/>
                <w:b/>
                <w:color w:val="0E2530"/>
                <w:sz w:val="14"/>
              </w:rPr>
              <w:t>D06.2</w:t>
            </w:r>
          </w:p>
        </w:tc>
        <w:tc>
          <w:tcPr>
            <w:tcW w:type="dxa" w:w="4500"/>
            <w:tcMar>
              <w:top w:w="70" w:type="dxa"/>
              <w:start w:w="90" w:type="dxa"/>
              <w:bottom w:w="70" w:type="dxa"/>
              <w:end w:w="90" w:type="dxa"/>
            </w:tcMar>
            <w:shd w:fill="F1EFE5"/>
            <w:vAlign w:val="center"/>
          </w:tcPr>
          <w:p>
            <w:pPr>
              <w:spacing w:after="0"/>
            </w:pPr>
            <w:r>
              <w:rPr>
                <w:rFonts w:ascii="Arial" w:hAnsi="Arial"/>
                <w:color w:val="1B1B1C"/>
                <w:sz w:val="14"/>
              </w:rPr>
              <w:t>Changes to data, schemas, mappings, controls and pipelines are authorized, tested and logged.</w:t>
            </w:r>
          </w:p>
        </w:tc>
        <w:tc>
          <w:tcPr>
            <w:tcW w:type="dxa" w:w="3000"/>
            <w:tcMar>
              <w:top w:w="70" w:type="dxa"/>
              <w:start w:w="90" w:type="dxa"/>
              <w:bottom w:w="70" w:type="dxa"/>
              <w:end w:w="90" w:type="dxa"/>
            </w:tcMar>
            <w:shd w:fill="F1EFE5"/>
            <w:vAlign w:val="center"/>
          </w:tcPr>
          <w:p>
            <w:pPr>
              <w:spacing w:after="0"/>
            </w:pPr>
            <w:r>
              <w:rPr>
                <w:rFonts w:ascii="Arial" w:hAnsi="Arial"/>
                <w:color w:val="1B1B1C"/>
                <w:sz w:val="14"/>
              </w:rPr>
              <w:t>Change tickets; approvals; deployment logs</w:t>
            </w:r>
          </w:p>
        </w:tc>
        <w:tc>
          <w:tcPr>
            <w:tcW w:type="dxa" w:w="1050"/>
            <w:tcMar>
              <w:top w:w="70" w:type="dxa"/>
              <w:start w:w="90" w:type="dxa"/>
              <w:bottom w:w="70" w:type="dxa"/>
              <w:end w:w="90" w:type="dxa"/>
            </w:tcMar>
            <w:shd w:fill="F1EFE5"/>
            <w:vAlign w:val="center"/>
          </w:tcPr>
          <w:p>
            <w:pPr>
              <w:spacing w:after="0"/>
            </w:pPr>
            <w:r>
              <w:rPr>
                <w:rFonts w:ascii="Arial" w:hAnsi="Arial"/>
                <w:color w:val="1B1B1C"/>
                <w:sz w:val="14"/>
              </w:rPr>
              <w:t>N04</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D06.3</w:t>
            </w:r>
          </w:p>
        </w:tc>
        <w:tc>
          <w:tcPr>
            <w:tcW w:type="dxa" w:w="4500"/>
            <w:tcMar>
              <w:top w:w="70" w:type="dxa"/>
              <w:start w:w="90" w:type="dxa"/>
              <w:bottom w:w="70" w:type="dxa"/>
              <w:end w:w="90" w:type="dxa"/>
            </w:tcMar>
            <w:vAlign w:val="center"/>
          </w:tcPr>
          <w:p>
            <w:pPr>
              <w:spacing w:after="0"/>
            </w:pPr>
            <w:r>
              <w:rPr>
                <w:rFonts w:ascii="Arial" w:hAnsi="Arial"/>
                <w:color w:val="1B1B1C"/>
                <w:sz w:val="14"/>
              </w:rPr>
              <w:t>Integrity controls detect unauthorized or accidental alteration in transit, at rest and during processing.</w:t>
            </w:r>
          </w:p>
        </w:tc>
        <w:tc>
          <w:tcPr>
            <w:tcW w:type="dxa" w:w="3000"/>
            <w:tcMar>
              <w:top w:w="70" w:type="dxa"/>
              <w:start w:w="90" w:type="dxa"/>
              <w:bottom w:w="70" w:type="dxa"/>
              <w:end w:w="90" w:type="dxa"/>
            </w:tcMar>
            <w:vAlign w:val="center"/>
          </w:tcPr>
          <w:p>
            <w:pPr>
              <w:spacing w:after="0"/>
            </w:pPr>
            <w:r>
              <w:rPr>
                <w:rFonts w:ascii="Arial" w:hAnsi="Arial"/>
                <w:color w:val="1B1B1C"/>
                <w:sz w:val="14"/>
              </w:rPr>
              <w:t>Hashes/signatures; validation; exception alerts</w:t>
            </w:r>
          </w:p>
        </w:tc>
        <w:tc>
          <w:tcPr>
            <w:tcW w:type="dxa" w:w="1050"/>
            <w:tcMar>
              <w:top w:w="70" w:type="dxa"/>
              <w:start w:w="90" w:type="dxa"/>
              <w:bottom w:w="70" w:type="dxa"/>
              <w:end w:w="90" w:type="dxa"/>
            </w:tcMar>
            <w:vAlign w:val="center"/>
          </w:tcPr>
          <w:p>
            <w:pPr>
              <w:spacing w:after="0"/>
            </w:pPr>
            <w:r>
              <w:rPr>
                <w:rFonts w:ascii="Arial" w:hAnsi="Arial"/>
                <w:color w:val="1B1B1C"/>
                <w:sz w:val="14"/>
              </w:rPr>
              <w:t>N04,W09,U07</w:t>
            </w:r>
          </w:p>
        </w:tc>
      </w:tr>
      <w:tr>
        <w:trPr>
          <w:cantSplit/>
        </w:trPr>
        <w:tc>
          <w:tcPr>
            <w:tcW w:type="dxa" w:w="750"/>
            <w:tcMar>
              <w:top w:w="70" w:type="dxa"/>
              <w:start w:w="90" w:type="dxa"/>
              <w:bottom w:w="70" w:type="dxa"/>
              <w:end w:w="90" w:type="dxa"/>
            </w:tcMar>
            <w:shd w:fill="F1EFE5"/>
            <w:vAlign w:val="center"/>
          </w:tcPr>
          <w:p>
            <w:pPr>
              <w:spacing w:after="0"/>
            </w:pPr>
            <w:r>
              <w:rPr>
                <w:rFonts w:ascii="Arial" w:hAnsi="Arial"/>
                <w:b/>
                <w:color w:val="0E2530"/>
                <w:sz w:val="14"/>
              </w:rPr>
              <w:t>D06.4</w:t>
            </w:r>
          </w:p>
        </w:tc>
        <w:tc>
          <w:tcPr>
            <w:tcW w:type="dxa" w:w="4500"/>
            <w:tcMar>
              <w:top w:w="70" w:type="dxa"/>
              <w:start w:w="90" w:type="dxa"/>
              <w:bottom w:w="70" w:type="dxa"/>
              <w:end w:w="90" w:type="dxa"/>
            </w:tcMar>
            <w:shd w:fill="F1EFE5"/>
            <w:vAlign w:val="center"/>
          </w:tcPr>
          <w:p>
            <w:pPr>
              <w:spacing w:after="0"/>
            </w:pPr>
            <w:r>
              <w:rPr>
                <w:rFonts w:ascii="Arial" w:hAnsi="Arial"/>
                <w:color w:val="1B1B1C"/>
                <w:sz w:val="14"/>
              </w:rPr>
              <w:t>Audit logs are complete, time-synchronized, retained, protected and routinely reviewed.</w:t>
            </w:r>
          </w:p>
        </w:tc>
        <w:tc>
          <w:tcPr>
            <w:tcW w:type="dxa" w:w="3000"/>
            <w:tcMar>
              <w:top w:w="70" w:type="dxa"/>
              <w:start w:w="90" w:type="dxa"/>
              <w:bottom w:w="70" w:type="dxa"/>
              <w:end w:w="90" w:type="dxa"/>
            </w:tcMar>
            <w:shd w:fill="F1EFE5"/>
            <w:vAlign w:val="center"/>
          </w:tcPr>
          <w:p>
            <w:pPr>
              <w:spacing w:after="0"/>
            </w:pPr>
            <w:r>
              <w:rPr>
                <w:rFonts w:ascii="Arial" w:hAnsi="Arial"/>
                <w:color w:val="1B1B1C"/>
                <w:sz w:val="14"/>
              </w:rPr>
              <w:t>Logging standard; sample; review evidence</w:t>
            </w:r>
          </w:p>
        </w:tc>
        <w:tc>
          <w:tcPr>
            <w:tcW w:type="dxa" w:w="1050"/>
            <w:tcMar>
              <w:top w:w="70" w:type="dxa"/>
              <w:start w:w="90" w:type="dxa"/>
              <w:bottom w:w="70" w:type="dxa"/>
              <w:end w:w="90" w:type="dxa"/>
            </w:tcMar>
            <w:shd w:fill="F1EFE5"/>
            <w:vAlign w:val="center"/>
          </w:tcPr>
          <w:p>
            <w:pPr>
              <w:spacing w:after="0"/>
            </w:pPr>
            <w:r>
              <w:rPr>
                <w:rFonts w:ascii="Arial" w:hAnsi="Arial"/>
                <w:color w:val="1B1B1C"/>
                <w:sz w:val="14"/>
              </w:rPr>
              <w:t>N04,N05</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D06.5</w:t>
            </w:r>
          </w:p>
        </w:tc>
        <w:tc>
          <w:tcPr>
            <w:tcW w:type="dxa" w:w="4500"/>
            <w:tcMar>
              <w:top w:w="70" w:type="dxa"/>
              <w:start w:w="90" w:type="dxa"/>
              <w:bottom w:w="70" w:type="dxa"/>
              <w:end w:w="90" w:type="dxa"/>
            </w:tcMar>
            <w:vAlign w:val="center"/>
          </w:tcPr>
          <w:p>
            <w:pPr>
              <w:spacing w:after="0"/>
            </w:pPr>
            <w:r>
              <w:rPr>
                <w:rFonts w:ascii="Arial" w:hAnsi="Arial"/>
                <w:color w:val="1B1B1C"/>
                <w:sz w:val="14"/>
              </w:rPr>
              <w:t>Backup, recovery, continuity and cyber-response exercises cover critical data and provenance evidence.</w:t>
            </w:r>
          </w:p>
        </w:tc>
        <w:tc>
          <w:tcPr>
            <w:tcW w:type="dxa" w:w="3000"/>
            <w:tcMar>
              <w:top w:w="70" w:type="dxa"/>
              <w:start w:w="90" w:type="dxa"/>
              <w:bottom w:w="70" w:type="dxa"/>
              <w:end w:w="90" w:type="dxa"/>
            </w:tcMar>
            <w:vAlign w:val="center"/>
          </w:tcPr>
          <w:p>
            <w:pPr>
              <w:spacing w:after="0"/>
            </w:pPr>
            <w:r>
              <w:rPr>
                <w:rFonts w:ascii="Arial" w:hAnsi="Arial"/>
                <w:color w:val="1B1B1C"/>
                <w:sz w:val="14"/>
              </w:rPr>
              <w:t>Recovery tests; RTO/RPO; exercise findings</w:t>
            </w:r>
          </w:p>
        </w:tc>
        <w:tc>
          <w:tcPr>
            <w:tcW w:type="dxa" w:w="1050"/>
            <w:tcMar>
              <w:top w:w="70" w:type="dxa"/>
              <w:start w:w="90" w:type="dxa"/>
              <w:bottom w:w="70" w:type="dxa"/>
              <w:end w:w="90" w:type="dxa"/>
            </w:tcMar>
            <w:vAlign w:val="center"/>
          </w:tcPr>
          <w:p>
            <w:pPr>
              <w:spacing w:after="0"/>
            </w:pPr>
            <w:r>
              <w:rPr>
                <w:rFonts w:ascii="Arial" w:hAnsi="Arial"/>
                <w:color w:val="1B1B1C"/>
                <w:sz w:val="14"/>
              </w:rPr>
              <w:t>N06,U08,U09</w:t>
            </w:r>
          </w:p>
        </w:tc>
      </w:tr>
    </w:tbl>
    <w:p>
      <w:pPr>
        <w:spacing w:after="0"/>
      </w:pPr>
    </w:p>
    <w:p>
      <w:pPr>
        <w:pStyle w:val="Heading2"/>
      </w:pPr>
      <w:r>
        <w:t>D07 | Privacy, rights, ethics and transparency</w:t>
      </w:r>
    </w:p>
    <w:p>
      <w:r>
        <w:t>Scope: Purpose, minimization, rights, impact assessment, fairness, explainability and redress Primary anchors: I21,N07,F06,F07,EU01,EU04</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2455"/>
        <w:gridCol w:w="2455"/>
        <w:gridCol w:w="2455"/>
        <w:gridCol w:w="2455"/>
      </w:tblGrid>
      <w:tr>
        <w:trPr>
          <w:tblHeader w:val="true"/>
          <w:cantSplit/>
        </w:trPr>
        <w:tc>
          <w:tcPr>
            <w:tcW w:type="dxa" w:w="750"/>
            <w:tcMar>
              <w:top w:w="75" w:type="dxa"/>
              <w:start w:w="90" w:type="dxa"/>
              <w:bottom w:w="75" w:type="dxa"/>
              <w:end w:w="90" w:type="dxa"/>
            </w:tcMar>
            <w:shd w:fill="1B1B1C"/>
          </w:tcPr>
          <w:p>
            <w:pPr>
              <w:spacing w:after="0"/>
            </w:pPr>
            <w:r>
              <w:rPr>
                <w:rFonts w:ascii="Arial" w:hAnsi="Arial"/>
                <w:b/>
                <w:color w:val="FFFFFF"/>
                <w:sz w:val="14"/>
              </w:rPr>
              <w:t>ID</w:t>
            </w:r>
          </w:p>
        </w:tc>
        <w:tc>
          <w:tcPr>
            <w:tcW w:type="dxa" w:w="4500"/>
            <w:tcMar>
              <w:top w:w="75" w:type="dxa"/>
              <w:start w:w="90" w:type="dxa"/>
              <w:bottom w:w="75" w:type="dxa"/>
              <w:end w:w="90" w:type="dxa"/>
            </w:tcMar>
            <w:shd w:fill="1B1B1C"/>
          </w:tcPr>
          <w:p>
            <w:pPr>
              <w:spacing w:after="0"/>
            </w:pPr>
            <w:r>
              <w:rPr>
                <w:rFonts w:ascii="Arial" w:hAnsi="Arial"/>
                <w:b/>
                <w:color w:val="FFFFFF"/>
                <w:sz w:val="14"/>
              </w:rPr>
              <w:t>Criterion</w:t>
            </w:r>
          </w:p>
        </w:tc>
        <w:tc>
          <w:tcPr>
            <w:tcW w:type="dxa" w:w="3000"/>
            <w:tcMar>
              <w:top w:w="75" w:type="dxa"/>
              <w:start w:w="90" w:type="dxa"/>
              <w:bottom w:w="75" w:type="dxa"/>
              <w:end w:w="90" w:type="dxa"/>
            </w:tcMar>
            <w:shd w:fill="1B1B1C"/>
          </w:tcPr>
          <w:p>
            <w:pPr>
              <w:spacing w:after="0"/>
            </w:pPr>
            <w:r>
              <w:rPr>
                <w:rFonts w:ascii="Arial" w:hAnsi="Arial"/>
                <w:b/>
                <w:color w:val="FFFFFF"/>
                <w:sz w:val="14"/>
              </w:rPr>
              <w:t>Evidence examples</w:t>
            </w:r>
          </w:p>
        </w:tc>
        <w:tc>
          <w:tcPr>
            <w:tcW w:type="dxa" w:w="1050"/>
            <w:tcMar>
              <w:top w:w="75" w:type="dxa"/>
              <w:start w:w="90" w:type="dxa"/>
              <w:bottom w:w="75" w:type="dxa"/>
              <w:end w:w="90" w:type="dxa"/>
            </w:tcMar>
            <w:shd w:fill="1B1B1C"/>
          </w:tcPr>
          <w:p>
            <w:pPr>
              <w:spacing w:after="0"/>
            </w:pPr>
            <w:r>
              <w:rPr>
                <w:rFonts w:ascii="Arial" w:hAnsi="Arial"/>
                <w:b/>
                <w:color w:val="FFFFFF"/>
                <w:sz w:val="14"/>
              </w:rPr>
              <w:t>Sources</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D07.1</w:t>
            </w:r>
          </w:p>
        </w:tc>
        <w:tc>
          <w:tcPr>
            <w:tcW w:type="dxa" w:w="4500"/>
            <w:tcMar>
              <w:top w:w="70" w:type="dxa"/>
              <w:start w:w="90" w:type="dxa"/>
              <w:bottom w:w="70" w:type="dxa"/>
              <w:end w:w="90" w:type="dxa"/>
            </w:tcMar>
            <w:vAlign w:val="center"/>
          </w:tcPr>
          <w:p>
            <w:pPr>
              <w:spacing w:after="0"/>
            </w:pPr>
            <w:r>
              <w:rPr>
                <w:rFonts w:ascii="Arial" w:hAnsi="Arial"/>
                <w:color w:val="1B1B1C"/>
                <w:sz w:val="14"/>
              </w:rPr>
              <w:t>Every personal- or sensitive-data processing activity has a documented purpose and lawful/authorized basis.</w:t>
            </w:r>
          </w:p>
        </w:tc>
        <w:tc>
          <w:tcPr>
            <w:tcW w:type="dxa" w:w="3000"/>
            <w:tcMar>
              <w:top w:w="70" w:type="dxa"/>
              <w:start w:w="90" w:type="dxa"/>
              <w:bottom w:w="70" w:type="dxa"/>
              <w:end w:w="90" w:type="dxa"/>
            </w:tcMar>
            <w:vAlign w:val="center"/>
          </w:tcPr>
          <w:p>
            <w:pPr>
              <w:spacing w:after="0"/>
            </w:pPr>
            <w:r>
              <w:rPr>
                <w:rFonts w:ascii="Arial" w:hAnsi="Arial"/>
                <w:color w:val="1B1B1C"/>
                <w:sz w:val="14"/>
              </w:rPr>
              <w:t>Processing register; authority; purpose statement</w:t>
            </w:r>
          </w:p>
        </w:tc>
        <w:tc>
          <w:tcPr>
            <w:tcW w:type="dxa" w:w="1050"/>
            <w:tcMar>
              <w:top w:w="70" w:type="dxa"/>
              <w:start w:w="90" w:type="dxa"/>
              <w:bottom w:w="70" w:type="dxa"/>
              <w:end w:w="90" w:type="dxa"/>
            </w:tcMar>
            <w:vAlign w:val="center"/>
          </w:tcPr>
          <w:p>
            <w:pPr>
              <w:spacing w:after="0"/>
            </w:pPr>
            <w:r>
              <w:rPr>
                <w:rFonts w:ascii="Arial" w:hAnsi="Arial"/>
                <w:color w:val="1B1B1C"/>
                <w:sz w:val="14"/>
              </w:rPr>
              <w:t>I21,EU04,G15</w:t>
            </w:r>
          </w:p>
        </w:tc>
      </w:tr>
      <w:tr>
        <w:trPr>
          <w:cantSplit/>
        </w:trPr>
        <w:tc>
          <w:tcPr>
            <w:tcW w:type="dxa" w:w="750"/>
            <w:tcMar>
              <w:top w:w="70" w:type="dxa"/>
              <w:start w:w="90" w:type="dxa"/>
              <w:bottom w:w="70" w:type="dxa"/>
              <w:end w:w="90" w:type="dxa"/>
            </w:tcMar>
            <w:shd w:fill="F1EFE5"/>
            <w:vAlign w:val="center"/>
          </w:tcPr>
          <w:p>
            <w:pPr>
              <w:spacing w:after="0"/>
            </w:pPr>
            <w:r>
              <w:rPr>
                <w:rFonts w:ascii="Arial" w:hAnsi="Arial"/>
                <w:b/>
                <w:color w:val="0E2530"/>
                <w:sz w:val="14"/>
              </w:rPr>
              <w:t>D07.2</w:t>
            </w:r>
          </w:p>
        </w:tc>
        <w:tc>
          <w:tcPr>
            <w:tcW w:type="dxa" w:w="4500"/>
            <w:tcMar>
              <w:top w:w="70" w:type="dxa"/>
              <w:start w:w="90" w:type="dxa"/>
              <w:bottom w:w="70" w:type="dxa"/>
              <w:end w:w="90" w:type="dxa"/>
            </w:tcMar>
            <w:shd w:fill="F1EFE5"/>
            <w:vAlign w:val="center"/>
          </w:tcPr>
          <w:p>
            <w:pPr>
              <w:spacing w:after="0"/>
            </w:pPr>
            <w:r>
              <w:rPr>
                <w:rFonts w:ascii="Arial" w:hAnsi="Arial"/>
                <w:color w:val="1B1B1C"/>
                <w:sz w:val="14"/>
              </w:rPr>
              <w:t>Collection and use are minimized; retention and secondary-use limits are enforced.</w:t>
            </w:r>
          </w:p>
        </w:tc>
        <w:tc>
          <w:tcPr>
            <w:tcW w:type="dxa" w:w="3000"/>
            <w:tcMar>
              <w:top w:w="70" w:type="dxa"/>
              <w:start w:w="90" w:type="dxa"/>
              <w:bottom w:w="70" w:type="dxa"/>
              <w:end w:w="90" w:type="dxa"/>
            </w:tcMar>
            <w:shd w:fill="F1EFE5"/>
            <w:vAlign w:val="center"/>
          </w:tcPr>
          <w:p>
            <w:pPr>
              <w:spacing w:after="0"/>
            </w:pPr>
            <w:r>
              <w:rPr>
                <w:rFonts w:ascii="Arial" w:hAnsi="Arial"/>
                <w:color w:val="1B1B1C"/>
                <w:sz w:val="14"/>
              </w:rPr>
              <w:t>Minimization review; deletion tests; use restrictions</w:t>
            </w:r>
          </w:p>
        </w:tc>
        <w:tc>
          <w:tcPr>
            <w:tcW w:type="dxa" w:w="1050"/>
            <w:tcMar>
              <w:top w:w="70" w:type="dxa"/>
              <w:start w:w="90" w:type="dxa"/>
              <w:bottom w:w="70" w:type="dxa"/>
              <w:end w:w="90" w:type="dxa"/>
            </w:tcMar>
            <w:shd w:fill="F1EFE5"/>
            <w:vAlign w:val="center"/>
          </w:tcPr>
          <w:p>
            <w:pPr>
              <w:spacing w:after="0"/>
            </w:pPr>
            <w:r>
              <w:rPr>
                <w:rFonts w:ascii="Arial" w:hAnsi="Arial"/>
                <w:color w:val="1B1B1C"/>
                <w:sz w:val="14"/>
              </w:rPr>
              <w:t>N07,I21</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D07.3</w:t>
            </w:r>
          </w:p>
        </w:tc>
        <w:tc>
          <w:tcPr>
            <w:tcW w:type="dxa" w:w="4500"/>
            <w:tcMar>
              <w:top w:w="70" w:type="dxa"/>
              <w:start w:w="90" w:type="dxa"/>
              <w:bottom w:w="70" w:type="dxa"/>
              <w:end w:w="90" w:type="dxa"/>
            </w:tcMar>
            <w:vAlign w:val="center"/>
          </w:tcPr>
          <w:p>
            <w:pPr>
              <w:spacing w:after="0"/>
            </w:pPr>
            <w:r>
              <w:rPr>
                <w:rFonts w:ascii="Arial" w:hAnsi="Arial"/>
                <w:color w:val="1B1B1C"/>
                <w:sz w:val="14"/>
              </w:rPr>
              <w:t>Rights, notices, consent where required, complaints and redress are operational and measured.</w:t>
            </w:r>
          </w:p>
        </w:tc>
        <w:tc>
          <w:tcPr>
            <w:tcW w:type="dxa" w:w="3000"/>
            <w:tcMar>
              <w:top w:w="70" w:type="dxa"/>
              <w:start w:w="90" w:type="dxa"/>
              <w:bottom w:w="70" w:type="dxa"/>
              <w:end w:w="90" w:type="dxa"/>
            </w:tcMar>
            <w:vAlign w:val="center"/>
          </w:tcPr>
          <w:p>
            <w:pPr>
              <w:spacing w:after="0"/>
            </w:pPr>
            <w:r>
              <w:rPr>
                <w:rFonts w:ascii="Arial" w:hAnsi="Arial"/>
                <w:color w:val="1B1B1C"/>
                <w:sz w:val="14"/>
              </w:rPr>
              <w:t>Notices; request logs; response metrics</w:t>
            </w:r>
          </w:p>
        </w:tc>
        <w:tc>
          <w:tcPr>
            <w:tcW w:type="dxa" w:w="1050"/>
            <w:tcMar>
              <w:top w:w="70" w:type="dxa"/>
              <w:start w:w="90" w:type="dxa"/>
              <w:bottom w:w="70" w:type="dxa"/>
              <w:end w:w="90" w:type="dxa"/>
            </w:tcMar>
            <w:vAlign w:val="center"/>
          </w:tcPr>
          <w:p>
            <w:pPr>
              <w:spacing w:after="0"/>
            </w:pPr>
            <w:r>
              <w:rPr>
                <w:rFonts w:ascii="Arial" w:hAnsi="Arial"/>
                <w:color w:val="1B1B1C"/>
                <w:sz w:val="14"/>
              </w:rPr>
              <w:t>EU04,G15</w:t>
            </w:r>
          </w:p>
        </w:tc>
      </w:tr>
      <w:tr>
        <w:trPr>
          <w:cantSplit/>
        </w:trPr>
        <w:tc>
          <w:tcPr>
            <w:tcW w:type="dxa" w:w="750"/>
            <w:tcMar>
              <w:top w:w="70" w:type="dxa"/>
              <w:start w:w="90" w:type="dxa"/>
              <w:bottom w:w="70" w:type="dxa"/>
              <w:end w:w="90" w:type="dxa"/>
            </w:tcMar>
            <w:shd w:fill="F1EFE5"/>
            <w:vAlign w:val="center"/>
          </w:tcPr>
          <w:p>
            <w:pPr>
              <w:spacing w:after="0"/>
            </w:pPr>
            <w:r>
              <w:rPr>
                <w:rFonts w:ascii="Arial" w:hAnsi="Arial"/>
                <w:b/>
                <w:color w:val="0E2530"/>
                <w:sz w:val="14"/>
              </w:rPr>
              <w:t>D07.4</w:t>
            </w:r>
          </w:p>
        </w:tc>
        <w:tc>
          <w:tcPr>
            <w:tcW w:type="dxa" w:w="4500"/>
            <w:tcMar>
              <w:top w:w="70" w:type="dxa"/>
              <w:start w:w="90" w:type="dxa"/>
              <w:bottom w:w="70" w:type="dxa"/>
              <w:end w:w="90" w:type="dxa"/>
            </w:tcMar>
            <w:shd w:fill="F1EFE5"/>
            <w:vAlign w:val="center"/>
          </w:tcPr>
          <w:p>
            <w:pPr>
              <w:spacing w:after="0"/>
            </w:pPr>
            <w:r>
              <w:rPr>
                <w:rFonts w:ascii="Arial" w:hAnsi="Arial"/>
                <w:color w:val="1B1B1C"/>
                <w:sz w:val="14"/>
              </w:rPr>
              <w:t>High-impact analytics and AI receive privacy, fairness, human-rights and operational impact assessment.</w:t>
            </w:r>
          </w:p>
        </w:tc>
        <w:tc>
          <w:tcPr>
            <w:tcW w:type="dxa" w:w="3000"/>
            <w:tcMar>
              <w:top w:w="70" w:type="dxa"/>
              <w:start w:w="90" w:type="dxa"/>
              <w:bottom w:w="70" w:type="dxa"/>
              <w:end w:w="90" w:type="dxa"/>
            </w:tcMar>
            <w:shd w:fill="F1EFE5"/>
            <w:vAlign w:val="center"/>
          </w:tcPr>
          <w:p>
            <w:pPr>
              <w:spacing w:after="0"/>
            </w:pPr>
            <w:r>
              <w:rPr>
                <w:rFonts w:ascii="Arial" w:hAnsi="Arial"/>
                <w:color w:val="1B1B1C"/>
                <w:sz w:val="14"/>
              </w:rPr>
              <w:t>PIA/DPIA/AIA; approval; mitigations</w:t>
            </w:r>
          </w:p>
        </w:tc>
        <w:tc>
          <w:tcPr>
            <w:tcW w:type="dxa" w:w="1050"/>
            <w:tcMar>
              <w:top w:w="70" w:type="dxa"/>
              <w:start w:w="90" w:type="dxa"/>
              <w:bottom w:w="70" w:type="dxa"/>
              <w:end w:w="90" w:type="dxa"/>
            </w:tcMar>
            <w:shd w:fill="F1EFE5"/>
            <w:vAlign w:val="center"/>
          </w:tcPr>
          <w:p>
            <w:pPr>
              <w:spacing w:after="0"/>
            </w:pPr>
            <w:r>
              <w:rPr>
                <w:rFonts w:ascii="Arial" w:hAnsi="Arial"/>
                <w:color w:val="1B1B1C"/>
                <w:sz w:val="14"/>
              </w:rPr>
              <w:t>N01,F07,EU01,US03</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D07.5</w:t>
            </w:r>
          </w:p>
        </w:tc>
        <w:tc>
          <w:tcPr>
            <w:tcW w:type="dxa" w:w="4500"/>
            <w:tcMar>
              <w:top w:w="70" w:type="dxa"/>
              <w:start w:w="90" w:type="dxa"/>
              <w:bottom w:w="70" w:type="dxa"/>
              <w:end w:w="90" w:type="dxa"/>
            </w:tcMar>
            <w:vAlign w:val="center"/>
          </w:tcPr>
          <w:p>
            <w:pPr>
              <w:spacing w:after="0"/>
            </w:pPr>
            <w:r>
              <w:rPr>
                <w:rFonts w:ascii="Arial" w:hAnsi="Arial"/>
                <w:color w:val="1B1B1C"/>
                <w:sz w:val="14"/>
              </w:rPr>
              <w:t>External transparency accurately describes data sources, limitations, automated decisions and human oversight.</w:t>
            </w:r>
          </w:p>
        </w:tc>
        <w:tc>
          <w:tcPr>
            <w:tcW w:type="dxa" w:w="3000"/>
            <w:tcMar>
              <w:top w:w="70" w:type="dxa"/>
              <w:start w:w="90" w:type="dxa"/>
              <w:bottom w:w="70" w:type="dxa"/>
              <w:end w:w="90" w:type="dxa"/>
            </w:tcMar>
            <w:vAlign w:val="center"/>
          </w:tcPr>
          <w:p>
            <w:pPr>
              <w:spacing w:after="0"/>
            </w:pPr>
            <w:r>
              <w:rPr>
                <w:rFonts w:ascii="Arial" w:hAnsi="Arial"/>
                <w:color w:val="1B1B1C"/>
                <w:sz w:val="14"/>
              </w:rPr>
              <w:t>Model/data cards; public notice; review sign-off</w:t>
            </w:r>
          </w:p>
        </w:tc>
        <w:tc>
          <w:tcPr>
            <w:tcW w:type="dxa" w:w="1050"/>
            <w:tcMar>
              <w:top w:w="70" w:type="dxa"/>
              <w:start w:w="90" w:type="dxa"/>
              <w:bottom w:w="70" w:type="dxa"/>
              <w:end w:w="90" w:type="dxa"/>
            </w:tcMar>
            <w:vAlign w:val="center"/>
          </w:tcPr>
          <w:p>
            <w:pPr>
              <w:spacing w:after="0"/>
            </w:pPr>
            <w:r>
              <w:rPr>
                <w:rFonts w:ascii="Arial" w:hAnsi="Arial"/>
                <w:color w:val="1B1B1C"/>
                <w:sz w:val="14"/>
              </w:rPr>
              <w:t>F06,F07,US15</w:t>
            </w:r>
          </w:p>
        </w:tc>
      </w:tr>
    </w:tbl>
    <w:p>
      <w:pPr>
        <w:spacing w:after="0"/>
      </w:pPr>
    </w:p>
    <w:p>
      <w:pPr>
        <w:pStyle w:val="Heading2"/>
      </w:pPr>
      <w:r>
        <w:t>D08 | Lifecycle, retention and records</w:t>
      </w:r>
    </w:p>
    <w:p>
      <w:r>
        <w:t>Scope: Creation, version, legal hold, archival, retention, deletion and authentic records Primary anchors: I22,N04,US09,EU03</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2455"/>
        <w:gridCol w:w="2455"/>
        <w:gridCol w:w="2455"/>
        <w:gridCol w:w="2455"/>
      </w:tblGrid>
      <w:tr>
        <w:trPr>
          <w:tblHeader w:val="true"/>
          <w:cantSplit/>
        </w:trPr>
        <w:tc>
          <w:tcPr>
            <w:tcW w:type="dxa" w:w="750"/>
            <w:tcMar>
              <w:top w:w="75" w:type="dxa"/>
              <w:start w:w="90" w:type="dxa"/>
              <w:bottom w:w="75" w:type="dxa"/>
              <w:end w:w="90" w:type="dxa"/>
            </w:tcMar>
            <w:shd w:fill="1B1B1C"/>
          </w:tcPr>
          <w:p>
            <w:pPr>
              <w:spacing w:after="0"/>
            </w:pPr>
            <w:r>
              <w:rPr>
                <w:rFonts w:ascii="Arial" w:hAnsi="Arial"/>
                <w:b/>
                <w:color w:val="FFFFFF"/>
                <w:sz w:val="14"/>
              </w:rPr>
              <w:t>ID</w:t>
            </w:r>
          </w:p>
        </w:tc>
        <w:tc>
          <w:tcPr>
            <w:tcW w:type="dxa" w:w="4500"/>
            <w:tcMar>
              <w:top w:w="75" w:type="dxa"/>
              <w:start w:w="90" w:type="dxa"/>
              <w:bottom w:w="75" w:type="dxa"/>
              <w:end w:w="90" w:type="dxa"/>
            </w:tcMar>
            <w:shd w:fill="1B1B1C"/>
          </w:tcPr>
          <w:p>
            <w:pPr>
              <w:spacing w:after="0"/>
            </w:pPr>
            <w:r>
              <w:rPr>
                <w:rFonts w:ascii="Arial" w:hAnsi="Arial"/>
                <w:b/>
                <w:color w:val="FFFFFF"/>
                <w:sz w:val="14"/>
              </w:rPr>
              <w:t>Criterion</w:t>
            </w:r>
          </w:p>
        </w:tc>
        <w:tc>
          <w:tcPr>
            <w:tcW w:type="dxa" w:w="3000"/>
            <w:tcMar>
              <w:top w:w="75" w:type="dxa"/>
              <w:start w:w="90" w:type="dxa"/>
              <w:bottom w:w="75" w:type="dxa"/>
              <w:end w:w="90" w:type="dxa"/>
            </w:tcMar>
            <w:shd w:fill="1B1B1C"/>
          </w:tcPr>
          <w:p>
            <w:pPr>
              <w:spacing w:after="0"/>
            </w:pPr>
            <w:r>
              <w:rPr>
                <w:rFonts w:ascii="Arial" w:hAnsi="Arial"/>
                <w:b/>
                <w:color w:val="FFFFFF"/>
                <w:sz w:val="14"/>
              </w:rPr>
              <w:t>Evidence examples</w:t>
            </w:r>
          </w:p>
        </w:tc>
        <w:tc>
          <w:tcPr>
            <w:tcW w:type="dxa" w:w="1050"/>
            <w:tcMar>
              <w:top w:w="75" w:type="dxa"/>
              <w:start w:w="90" w:type="dxa"/>
              <w:bottom w:w="75" w:type="dxa"/>
              <w:end w:w="90" w:type="dxa"/>
            </w:tcMar>
            <w:shd w:fill="1B1B1C"/>
          </w:tcPr>
          <w:p>
            <w:pPr>
              <w:spacing w:after="0"/>
            </w:pPr>
            <w:r>
              <w:rPr>
                <w:rFonts w:ascii="Arial" w:hAnsi="Arial"/>
                <w:b/>
                <w:color w:val="FFFFFF"/>
                <w:sz w:val="14"/>
              </w:rPr>
              <w:t>Sources</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D08.1</w:t>
            </w:r>
          </w:p>
        </w:tc>
        <w:tc>
          <w:tcPr>
            <w:tcW w:type="dxa" w:w="4500"/>
            <w:tcMar>
              <w:top w:w="70" w:type="dxa"/>
              <w:start w:w="90" w:type="dxa"/>
              <w:bottom w:w="70" w:type="dxa"/>
              <w:end w:w="90" w:type="dxa"/>
            </w:tcMar>
            <w:vAlign w:val="center"/>
          </w:tcPr>
          <w:p>
            <w:pPr>
              <w:spacing w:after="0"/>
            </w:pPr>
            <w:r>
              <w:rPr>
                <w:rFonts w:ascii="Arial" w:hAnsi="Arial"/>
                <w:color w:val="1B1B1C"/>
                <w:sz w:val="14"/>
              </w:rPr>
              <w:t>Lifecycle rules identify the system of record, versions, temporal validity and disposition for each critical data class.</w:t>
            </w:r>
          </w:p>
        </w:tc>
        <w:tc>
          <w:tcPr>
            <w:tcW w:type="dxa" w:w="3000"/>
            <w:tcMar>
              <w:top w:w="70" w:type="dxa"/>
              <w:start w:w="90" w:type="dxa"/>
              <w:bottom w:w="70" w:type="dxa"/>
              <w:end w:w="90" w:type="dxa"/>
            </w:tcMar>
            <w:vAlign w:val="center"/>
          </w:tcPr>
          <w:p>
            <w:pPr>
              <w:spacing w:after="0"/>
            </w:pPr>
            <w:r>
              <w:rPr>
                <w:rFonts w:ascii="Arial" w:hAnsi="Arial"/>
                <w:color w:val="1B1B1C"/>
                <w:sz w:val="14"/>
              </w:rPr>
              <w:t>Lifecycle standard; system-of-record map</w:t>
            </w:r>
          </w:p>
        </w:tc>
        <w:tc>
          <w:tcPr>
            <w:tcW w:type="dxa" w:w="1050"/>
            <w:tcMar>
              <w:top w:w="70" w:type="dxa"/>
              <w:start w:w="90" w:type="dxa"/>
              <w:bottom w:w="70" w:type="dxa"/>
              <w:end w:w="90" w:type="dxa"/>
            </w:tcMar>
            <w:vAlign w:val="center"/>
          </w:tcPr>
          <w:p>
            <w:pPr>
              <w:spacing w:after="0"/>
            </w:pPr>
            <w:r>
              <w:rPr>
                <w:rFonts w:ascii="Arial" w:hAnsi="Arial"/>
                <w:color w:val="1B1B1C"/>
                <w:sz w:val="14"/>
              </w:rPr>
              <w:t>I22,W03</w:t>
            </w:r>
          </w:p>
        </w:tc>
      </w:tr>
      <w:tr>
        <w:trPr>
          <w:cantSplit/>
        </w:trPr>
        <w:tc>
          <w:tcPr>
            <w:tcW w:type="dxa" w:w="750"/>
            <w:tcMar>
              <w:top w:w="70" w:type="dxa"/>
              <w:start w:w="90" w:type="dxa"/>
              <w:bottom w:w="70" w:type="dxa"/>
              <w:end w:w="90" w:type="dxa"/>
            </w:tcMar>
            <w:shd w:fill="F1EFE5"/>
            <w:vAlign w:val="center"/>
          </w:tcPr>
          <w:p>
            <w:pPr>
              <w:spacing w:after="0"/>
            </w:pPr>
            <w:r>
              <w:rPr>
                <w:rFonts w:ascii="Arial" w:hAnsi="Arial"/>
                <w:b/>
                <w:color w:val="0E2530"/>
                <w:sz w:val="14"/>
              </w:rPr>
              <w:t>D08.2</w:t>
            </w:r>
          </w:p>
        </w:tc>
        <w:tc>
          <w:tcPr>
            <w:tcW w:type="dxa" w:w="4500"/>
            <w:tcMar>
              <w:top w:w="70" w:type="dxa"/>
              <w:start w:w="90" w:type="dxa"/>
              <w:bottom w:w="70" w:type="dxa"/>
              <w:end w:w="90" w:type="dxa"/>
            </w:tcMar>
            <w:shd w:fill="F1EFE5"/>
            <w:vAlign w:val="center"/>
          </w:tcPr>
          <w:p>
            <w:pPr>
              <w:spacing w:after="0"/>
            </w:pPr>
            <w:r>
              <w:rPr>
                <w:rFonts w:ascii="Arial" w:hAnsi="Arial"/>
                <w:color w:val="1B1B1C"/>
                <w:sz w:val="14"/>
              </w:rPr>
              <w:t>Retention schedules map law, regulation, contract, operational need and historical value.</w:t>
            </w:r>
          </w:p>
        </w:tc>
        <w:tc>
          <w:tcPr>
            <w:tcW w:type="dxa" w:w="3000"/>
            <w:tcMar>
              <w:top w:w="70" w:type="dxa"/>
              <w:start w:w="90" w:type="dxa"/>
              <w:bottom w:w="70" w:type="dxa"/>
              <w:end w:w="90" w:type="dxa"/>
            </w:tcMar>
            <w:shd w:fill="F1EFE5"/>
            <w:vAlign w:val="center"/>
          </w:tcPr>
          <w:p>
            <w:pPr>
              <w:spacing w:after="0"/>
            </w:pPr>
            <w:r>
              <w:rPr>
                <w:rFonts w:ascii="Arial" w:hAnsi="Arial"/>
                <w:color w:val="1B1B1C"/>
                <w:sz w:val="14"/>
              </w:rPr>
              <w:t>Schedule; authority citations; approvals</w:t>
            </w:r>
          </w:p>
        </w:tc>
        <w:tc>
          <w:tcPr>
            <w:tcW w:type="dxa" w:w="1050"/>
            <w:tcMar>
              <w:top w:w="70" w:type="dxa"/>
              <w:start w:w="90" w:type="dxa"/>
              <w:bottom w:w="70" w:type="dxa"/>
              <w:end w:w="90" w:type="dxa"/>
            </w:tcMar>
            <w:shd w:fill="F1EFE5"/>
            <w:vAlign w:val="center"/>
          </w:tcPr>
          <w:p>
            <w:pPr>
              <w:spacing w:after="0"/>
            </w:pPr>
            <w:r>
              <w:rPr>
                <w:rFonts w:ascii="Arial" w:hAnsi="Arial"/>
                <w:color w:val="1B1B1C"/>
                <w:sz w:val="14"/>
              </w:rPr>
              <w:t>I22,US09</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D08.3</w:t>
            </w:r>
          </w:p>
        </w:tc>
        <w:tc>
          <w:tcPr>
            <w:tcW w:type="dxa" w:w="4500"/>
            <w:tcMar>
              <w:top w:w="70" w:type="dxa"/>
              <w:start w:w="90" w:type="dxa"/>
              <w:bottom w:w="70" w:type="dxa"/>
              <w:end w:w="90" w:type="dxa"/>
            </w:tcMar>
            <w:vAlign w:val="center"/>
          </w:tcPr>
          <w:p>
            <w:pPr>
              <w:spacing w:after="0"/>
            </w:pPr>
            <w:r>
              <w:rPr>
                <w:rFonts w:ascii="Arial" w:hAnsi="Arial"/>
                <w:color w:val="1B1B1C"/>
                <w:sz w:val="14"/>
              </w:rPr>
              <w:t>Legal holds and incident holds suspend disposal reliably across copies and downstream products.</w:t>
            </w:r>
          </w:p>
        </w:tc>
        <w:tc>
          <w:tcPr>
            <w:tcW w:type="dxa" w:w="3000"/>
            <w:tcMar>
              <w:top w:w="70" w:type="dxa"/>
              <w:start w:w="90" w:type="dxa"/>
              <w:bottom w:w="70" w:type="dxa"/>
              <w:end w:w="90" w:type="dxa"/>
            </w:tcMar>
            <w:vAlign w:val="center"/>
          </w:tcPr>
          <w:p>
            <w:pPr>
              <w:spacing w:after="0"/>
            </w:pPr>
            <w:r>
              <w:rPr>
                <w:rFonts w:ascii="Arial" w:hAnsi="Arial"/>
                <w:color w:val="1B1B1C"/>
                <w:sz w:val="14"/>
              </w:rPr>
              <w:t>Hold workflow; affected-asset query; test</w:t>
            </w:r>
          </w:p>
        </w:tc>
        <w:tc>
          <w:tcPr>
            <w:tcW w:type="dxa" w:w="1050"/>
            <w:tcMar>
              <w:top w:w="70" w:type="dxa"/>
              <w:start w:w="90" w:type="dxa"/>
              <w:bottom w:w="70" w:type="dxa"/>
              <w:end w:w="90" w:type="dxa"/>
            </w:tcMar>
            <w:vAlign w:val="center"/>
          </w:tcPr>
          <w:p>
            <w:pPr>
              <w:spacing w:after="0"/>
            </w:pPr>
            <w:r>
              <w:rPr>
                <w:rFonts w:ascii="Arial" w:hAnsi="Arial"/>
                <w:color w:val="1B1B1C"/>
                <w:sz w:val="14"/>
              </w:rPr>
              <w:t>I22,N04</w:t>
            </w:r>
          </w:p>
        </w:tc>
      </w:tr>
      <w:tr>
        <w:trPr>
          <w:cantSplit/>
        </w:trPr>
        <w:tc>
          <w:tcPr>
            <w:tcW w:type="dxa" w:w="750"/>
            <w:tcMar>
              <w:top w:w="70" w:type="dxa"/>
              <w:start w:w="90" w:type="dxa"/>
              <w:bottom w:w="70" w:type="dxa"/>
              <w:end w:w="90" w:type="dxa"/>
            </w:tcMar>
            <w:shd w:fill="F1EFE5"/>
            <w:vAlign w:val="center"/>
          </w:tcPr>
          <w:p>
            <w:pPr>
              <w:spacing w:after="0"/>
            </w:pPr>
            <w:r>
              <w:rPr>
                <w:rFonts w:ascii="Arial" w:hAnsi="Arial"/>
                <w:b/>
                <w:color w:val="0E2530"/>
                <w:sz w:val="14"/>
              </w:rPr>
              <w:t>D08.4</w:t>
            </w:r>
          </w:p>
        </w:tc>
        <w:tc>
          <w:tcPr>
            <w:tcW w:type="dxa" w:w="4500"/>
            <w:tcMar>
              <w:top w:w="70" w:type="dxa"/>
              <w:start w:w="90" w:type="dxa"/>
              <w:bottom w:w="70" w:type="dxa"/>
              <w:end w:w="90" w:type="dxa"/>
            </w:tcMar>
            <w:shd w:fill="F1EFE5"/>
            <w:vAlign w:val="center"/>
          </w:tcPr>
          <w:p>
            <w:pPr>
              <w:spacing w:after="0"/>
            </w:pPr>
            <w:r>
              <w:rPr>
                <w:rFonts w:ascii="Arial" w:hAnsi="Arial"/>
                <w:color w:val="1B1B1C"/>
                <w:sz w:val="14"/>
              </w:rPr>
              <w:t>Deletion/destruction is authorized, verifiable and propagated to derived copies when required.</w:t>
            </w:r>
          </w:p>
        </w:tc>
        <w:tc>
          <w:tcPr>
            <w:tcW w:type="dxa" w:w="3000"/>
            <w:tcMar>
              <w:top w:w="70" w:type="dxa"/>
              <w:start w:w="90" w:type="dxa"/>
              <w:bottom w:w="70" w:type="dxa"/>
              <w:end w:w="90" w:type="dxa"/>
            </w:tcMar>
            <w:shd w:fill="F1EFE5"/>
            <w:vAlign w:val="center"/>
          </w:tcPr>
          <w:p>
            <w:pPr>
              <w:spacing w:after="0"/>
            </w:pPr>
            <w:r>
              <w:rPr>
                <w:rFonts w:ascii="Arial" w:hAnsi="Arial"/>
                <w:color w:val="1B1B1C"/>
                <w:sz w:val="14"/>
              </w:rPr>
              <w:t>Disposal approval; deletion certificate; reconciliation</w:t>
            </w:r>
          </w:p>
        </w:tc>
        <w:tc>
          <w:tcPr>
            <w:tcW w:type="dxa" w:w="1050"/>
            <w:tcMar>
              <w:top w:w="70" w:type="dxa"/>
              <w:start w:w="90" w:type="dxa"/>
              <w:bottom w:w="70" w:type="dxa"/>
              <w:end w:w="90" w:type="dxa"/>
            </w:tcMar>
            <w:shd w:fill="F1EFE5"/>
            <w:vAlign w:val="center"/>
          </w:tcPr>
          <w:p>
            <w:pPr>
              <w:spacing w:after="0"/>
            </w:pPr>
            <w:r>
              <w:rPr>
                <w:rFonts w:ascii="Arial" w:hAnsi="Arial"/>
                <w:color w:val="1B1B1C"/>
                <w:sz w:val="14"/>
              </w:rPr>
              <w:t>I22,I21</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D08.5</w:t>
            </w:r>
          </w:p>
        </w:tc>
        <w:tc>
          <w:tcPr>
            <w:tcW w:type="dxa" w:w="4500"/>
            <w:tcMar>
              <w:top w:w="70" w:type="dxa"/>
              <w:start w:w="90" w:type="dxa"/>
              <w:bottom w:w="70" w:type="dxa"/>
              <w:end w:w="90" w:type="dxa"/>
            </w:tcMar>
            <w:vAlign w:val="center"/>
          </w:tcPr>
          <w:p>
            <w:pPr>
              <w:spacing w:after="0"/>
            </w:pPr>
            <w:r>
              <w:rPr>
                <w:rFonts w:ascii="Arial" w:hAnsi="Arial"/>
                <w:color w:val="1B1B1C"/>
                <w:sz w:val="14"/>
              </w:rPr>
              <w:t>Archived records remain readable, authentic, searchable and linked to necessary provenance.</w:t>
            </w:r>
          </w:p>
        </w:tc>
        <w:tc>
          <w:tcPr>
            <w:tcW w:type="dxa" w:w="3000"/>
            <w:tcMar>
              <w:top w:w="70" w:type="dxa"/>
              <w:start w:w="90" w:type="dxa"/>
              <w:bottom w:w="70" w:type="dxa"/>
              <w:end w:w="90" w:type="dxa"/>
            </w:tcMar>
            <w:vAlign w:val="center"/>
          </w:tcPr>
          <w:p>
            <w:pPr>
              <w:spacing w:after="0"/>
            </w:pPr>
            <w:r>
              <w:rPr>
                <w:rFonts w:ascii="Arial" w:hAnsi="Arial"/>
                <w:color w:val="1B1B1C"/>
                <w:sz w:val="14"/>
              </w:rPr>
              <w:t>Archive test; format migration; provenance link</w:t>
            </w:r>
          </w:p>
        </w:tc>
        <w:tc>
          <w:tcPr>
            <w:tcW w:type="dxa" w:w="1050"/>
            <w:tcMar>
              <w:top w:w="70" w:type="dxa"/>
              <w:start w:w="90" w:type="dxa"/>
              <w:bottom w:w="70" w:type="dxa"/>
              <w:end w:w="90" w:type="dxa"/>
            </w:tcMar>
            <w:vAlign w:val="center"/>
          </w:tcPr>
          <w:p>
            <w:pPr>
              <w:spacing w:after="0"/>
            </w:pPr>
            <w:r>
              <w:rPr>
                <w:rFonts w:ascii="Arial" w:hAnsi="Arial"/>
                <w:color w:val="1B1B1C"/>
                <w:sz w:val="14"/>
              </w:rPr>
              <w:t>I22,W01</w:t>
            </w:r>
          </w:p>
        </w:tc>
      </w:tr>
    </w:tbl>
    <w:p>
      <w:pPr>
        <w:spacing w:after="0"/>
      </w:pPr>
    </w:p>
    <w:p>
      <w:pPr>
        <w:pStyle w:val="Heading2"/>
      </w:pPr>
      <w:r>
        <w:t>D09 | Sharing, openness, third parties and sovereignty</w:t>
      </w:r>
    </w:p>
    <w:p>
      <w:r>
        <w:t>Scope: Data-use rights, contracts, classification, open/shared/closed decisions and cross-border controls Primary anchors: W03,W05,W07,N09,EU02,EU03,G14</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2455"/>
        <w:gridCol w:w="2455"/>
        <w:gridCol w:w="2455"/>
        <w:gridCol w:w="2455"/>
      </w:tblGrid>
      <w:tr>
        <w:trPr>
          <w:tblHeader w:val="true"/>
          <w:cantSplit/>
        </w:trPr>
        <w:tc>
          <w:tcPr>
            <w:tcW w:type="dxa" w:w="750"/>
            <w:tcMar>
              <w:top w:w="75" w:type="dxa"/>
              <w:start w:w="90" w:type="dxa"/>
              <w:bottom w:w="75" w:type="dxa"/>
              <w:end w:w="90" w:type="dxa"/>
            </w:tcMar>
            <w:shd w:fill="1B1B1C"/>
          </w:tcPr>
          <w:p>
            <w:pPr>
              <w:spacing w:after="0"/>
            </w:pPr>
            <w:r>
              <w:rPr>
                <w:rFonts w:ascii="Arial" w:hAnsi="Arial"/>
                <w:b/>
                <w:color w:val="FFFFFF"/>
                <w:sz w:val="14"/>
              </w:rPr>
              <w:t>ID</w:t>
            </w:r>
          </w:p>
        </w:tc>
        <w:tc>
          <w:tcPr>
            <w:tcW w:type="dxa" w:w="4500"/>
            <w:tcMar>
              <w:top w:w="75" w:type="dxa"/>
              <w:start w:w="90" w:type="dxa"/>
              <w:bottom w:w="75" w:type="dxa"/>
              <w:end w:w="90" w:type="dxa"/>
            </w:tcMar>
            <w:shd w:fill="1B1B1C"/>
          </w:tcPr>
          <w:p>
            <w:pPr>
              <w:spacing w:after="0"/>
            </w:pPr>
            <w:r>
              <w:rPr>
                <w:rFonts w:ascii="Arial" w:hAnsi="Arial"/>
                <w:b/>
                <w:color w:val="FFFFFF"/>
                <w:sz w:val="14"/>
              </w:rPr>
              <w:t>Criterion</w:t>
            </w:r>
          </w:p>
        </w:tc>
        <w:tc>
          <w:tcPr>
            <w:tcW w:type="dxa" w:w="3000"/>
            <w:tcMar>
              <w:top w:w="75" w:type="dxa"/>
              <w:start w:w="90" w:type="dxa"/>
              <w:bottom w:w="75" w:type="dxa"/>
              <w:end w:w="90" w:type="dxa"/>
            </w:tcMar>
            <w:shd w:fill="1B1B1C"/>
          </w:tcPr>
          <w:p>
            <w:pPr>
              <w:spacing w:after="0"/>
            </w:pPr>
            <w:r>
              <w:rPr>
                <w:rFonts w:ascii="Arial" w:hAnsi="Arial"/>
                <w:b/>
                <w:color w:val="FFFFFF"/>
                <w:sz w:val="14"/>
              </w:rPr>
              <w:t>Evidence examples</w:t>
            </w:r>
          </w:p>
        </w:tc>
        <w:tc>
          <w:tcPr>
            <w:tcW w:type="dxa" w:w="1050"/>
            <w:tcMar>
              <w:top w:w="75" w:type="dxa"/>
              <w:start w:w="90" w:type="dxa"/>
              <w:bottom w:w="75" w:type="dxa"/>
              <w:end w:w="90" w:type="dxa"/>
            </w:tcMar>
            <w:shd w:fill="1B1B1C"/>
          </w:tcPr>
          <w:p>
            <w:pPr>
              <w:spacing w:after="0"/>
            </w:pPr>
            <w:r>
              <w:rPr>
                <w:rFonts w:ascii="Arial" w:hAnsi="Arial"/>
                <w:b/>
                <w:color w:val="FFFFFF"/>
                <w:sz w:val="14"/>
              </w:rPr>
              <w:t>Sources</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D09.1</w:t>
            </w:r>
          </w:p>
        </w:tc>
        <w:tc>
          <w:tcPr>
            <w:tcW w:type="dxa" w:w="4500"/>
            <w:tcMar>
              <w:top w:w="70" w:type="dxa"/>
              <w:start w:w="90" w:type="dxa"/>
              <w:bottom w:w="70" w:type="dxa"/>
              <w:end w:w="90" w:type="dxa"/>
            </w:tcMar>
            <w:vAlign w:val="center"/>
          </w:tcPr>
          <w:p>
            <w:pPr>
              <w:spacing w:after="0"/>
            </w:pPr>
            <w:r>
              <w:rPr>
                <w:rFonts w:ascii="Arial" w:hAnsi="Arial"/>
                <w:color w:val="1B1B1C"/>
                <w:sz w:val="14"/>
              </w:rPr>
              <w:t>Data is deliberately classified as open, shared or closed through a documented benefit-risk decision.</w:t>
            </w:r>
          </w:p>
        </w:tc>
        <w:tc>
          <w:tcPr>
            <w:tcW w:type="dxa" w:w="3000"/>
            <w:tcMar>
              <w:top w:w="70" w:type="dxa"/>
              <w:start w:w="90" w:type="dxa"/>
              <w:bottom w:w="70" w:type="dxa"/>
              <w:end w:w="90" w:type="dxa"/>
            </w:tcMar>
            <w:vAlign w:val="center"/>
          </w:tcPr>
          <w:p>
            <w:pPr>
              <w:spacing w:after="0"/>
            </w:pPr>
            <w:r>
              <w:rPr>
                <w:rFonts w:ascii="Arial" w:hAnsi="Arial"/>
                <w:color w:val="1B1B1C"/>
                <w:sz w:val="14"/>
              </w:rPr>
              <w:t>Classification decision; risk register</w:t>
            </w:r>
          </w:p>
        </w:tc>
        <w:tc>
          <w:tcPr>
            <w:tcW w:type="dxa" w:w="1050"/>
            <w:tcMar>
              <w:top w:w="70" w:type="dxa"/>
              <w:start w:w="90" w:type="dxa"/>
              <w:bottom w:w="70" w:type="dxa"/>
              <w:end w:w="90" w:type="dxa"/>
            </w:tcMar>
            <w:vAlign w:val="center"/>
          </w:tcPr>
          <w:p>
            <w:pPr>
              <w:spacing w:after="0"/>
            </w:pPr>
            <w:r>
              <w:rPr>
                <w:rFonts w:ascii="Arial" w:hAnsi="Arial"/>
                <w:color w:val="1B1B1C"/>
                <w:sz w:val="14"/>
              </w:rPr>
              <w:t>I03,U11,U12</w:t>
            </w:r>
          </w:p>
        </w:tc>
      </w:tr>
      <w:tr>
        <w:trPr>
          <w:cantSplit/>
        </w:trPr>
        <w:tc>
          <w:tcPr>
            <w:tcW w:type="dxa" w:w="750"/>
            <w:tcMar>
              <w:top w:w="70" w:type="dxa"/>
              <w:start w:w="90" w:type="dxa"/>
              <w:bottom w:w="70" w:type="dxa"/>
              <w:end w:w="90" w:type="dxa"/>
            </w:tcMar>
            <w:shd w:fill="F1EFE5"/>
            <w:vAlign w:val="center"/>
          </w:tcPr>
          <w:p>
            <w:pPr>
              <w:spacing w:after="0"/>
            </w:pPr>
            <w:r>
              <w:rPr>
                <w:rFonts w:ascii="Arial" w:hAnsi="Arial"/>
                <w:b/>
                <w:color w:val="0E2530"/>
                <w:sz w:val="14"/>
              </w:rPr>
              <w:t>D09.2</w:t>
            </w:r>
          </w:p>
        </w:tc>
        <w:tc>
          <w:tcPr>
            <w:tcW w:type="dxa" w:w="4500"/>
            <w:tcMar>
              <w:top w:w="70" w:type="dxa"/>
              <w:start w:w="90" w:type="dxa"/>
              <w:bottom w:w="70" w:type="dxa"/>
              <w:end w:w="90" w:type="dxa"/>
            </w:tcMar>
            <w:shd w:fill="F1EFE5"/>
            <w:vAlign w:val="center"/>
          </w:tcPr>
          <w:p>
            <w:pPr>
              <w:spacing w:after="0"/>
            </w:pPr>
            <w:r>
              <w:rPr>
                <w:rFonts w:ascii="Arial" w:hAnsi="Arial"/>
                <w:color w:val="1B1B1C"/>
                <w:sz w:val="14"/>
              </w:rPr>
              <w:t>Data-sharing agreements specify purpose, rights, restrictions, quality, security, provenance, retention and termination.</w:t>
            </w:r>
          </w:p>
        </w:tc>
        <w:tc>
          <w:tcPr>
            <w:tcW w:type="dxa" w:w="3000"/>
            <w:tcMar>
              <w:top w:w="70" w:type="dxa"/>
              <w:start w:w="90" w:type="dxa"/>
              <w:bottom w:w="70" w:type="dxa"/>
              <w:end w:w="90" w:type="dxa"/>
            </w:tcMar>
            <w:shd w:fill="F1EFE5"/>
            <w:vAlign w:val="center"/>
          </w:tcPr>
          <w:p>
            <w:pPr>
              <w:spacing w:after="0"/>
            </w:pPr>
            <w:r>
              <w:rPr>
                <w:rFonts w:ascii="Arial" w:hAnsi="Arial"/>
                <w:color w:val="1B1B1C"/>
                <w:sz w:val="14"/>
              </w:rPr>
              <w:t>Agreement template; executed sample</w:t>
            </w:r>
          </w:p>
        </w:tc>
        <w:tc>
          <w:tcPr>
            <w:tcW w:type="dxa" w:w="1050"/>
            <w:tcMar>
              <w:top w:w="70" w:type="dxa"/>
              <w:start w:w="90" w:type="dxa"/>
              <w:bottom w:w="70" w:type="dxa"/>
              <w:end w:w="90" w:type="dxa"/>
            </w:tcMar>
            <w:shd w:fill="F1EFE5"/>
            <w:vAlign w:val="center"/>
          </w:tcPr>
          <w:p>
            <w:pPr>
              <w:spacing w:after="0"/>
            </w:pPr>
            <w:r>
              <w:rPr>
                <w:rFonts w:ascii="Arial" w:hAnsi="Arial"/>
                <w:color w:val="1B1B1C"/>
                <w:sz w:val="14"/>
              </w:rPr>
              <w:t>W07,N09,EU03</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D09.3</w:t>
            </w:r>
          </w:p>
        </w:tc>
        <w:tc>
          <w:tcPr>
            <w:tcW w:type="dxa" w:w="4500"/>
            <w:tcMar>
              <w:top w:w="70" w:type="dxa"/>
              <w:start w:w="90" w:type="dxa"/>
              <w:bottom w:w="70" w:type="dxa"/>
              <w:end w:w="90" w:type="dxa"/>
            </w:tcMar>
            <w:vAlign w:val="center"/>
          </w:tcPr>
          <w:p>
            <w:pPr>
              <w:spacing w:after="0"/>
            </w:pPr>
            <w:r>
              <w:rPr>
                <w:rFonts w:ascii="Arial" w:hAnsi="Arial"/>
                <w:color w:val="1B1B1C"/>
                <w:sz w:val="14"/>
              </w:rPr>
              <w:t>Licences and machine-readable use policies travel with published data products where practicable.</w:t>
            </w:r>
          </w:p>
        </w:tc>
        <w:tc>
          <w:tcPr>
            <w:tcW w:type="dxa" w:w="3000"/>
            <w:tcMar>
              <w:top w:w="70" w:type="dxa"/>
              <w:start w:w="90" w:type="dxa"/>
              <w:bottom w:w="70" w:type="dxa"/>
              <w:end w:w="90" w:type="dxa"/>
            </w:tcMar>
            <w:vAlign w:val="center"/>
          </w:tcPr>
          <w:p>
            <w:pPr>
              <w:spacing w:after="0"/>
            </w:pPr>
            <w:r>
              <w:rPr>
                <w:rFonts w:ascii="Arial" w:hAnsi="Arial"/>
                <w:color w:val="1B1B1C"/>
                <w:sz w:val="14"/>
              </w:rPr>
              <w:t>Licence metadata; ODRL policy; consumer terms</w:t>
            </w:r>
          </w:p>
        </w:tc>
        <w:tc>
          <w:tcPr>
            <w:tcW w:type="dxa" w:w="1050"/>
            <w:tcMar>
              <w:top w:w="70" w:type="dxa"/>
              <w:start w:w="90" w:type="dxa"/>
              <w:bottom w:w="70" w:type="dxa"/>
              <w:end w:w="90" w:type="dxa"/>
            </w:tcMar>
            <w:vAlign w:val="center"/>
          </w:tcPr>
          <w:p>
            <w:pPr>
              <w:spacing w:after="0"/>
            </w:pPr>
            <w:r>
              <w:rPr>
                <w:rFonts w:ascii="Arial" w:hAnsi="Arial"/>
                <w:color w:val="1B1B1C"/>
                <w:sz w:val="14"/>
              </w:rPr>
              <w:t>W03,W07</w:t>
            </w:r>
          </w:p>
        </w:tc>
      </w:tr>
      <w:tr>
        <w:trPr>
          <w:cantSplit/>
        </w:trPr>
        <w:tc>
          <w:tcPr>
            <w:tcW w:type="dxa" w:w="750"/>
            <w:tcMar>
              <w:top w:w="70" w:type="dxa"/>
              <w:start w:w="90" w:type="dxa"/>
              <w:bottom w:w="70" w:type="dxa"/>
              <w:end w:w="90" w:type="dxa"/>
            </w:tcMar>
            <w:shd w:fill="F1EFE5"/>
            <w:vAlign w:val="center"/>
          </w:tcPr>
          <w:p>
            <w:pPr>
              <w:spacing w:after="0"/>
            </w:pPr>
            <w:r>
              <w:rPr>
                <w:rFonts w:ascii="Arial" w:hAnsi="Arial"/>
                <w:b/>
                <w:color w:val="0E2530"/>
                <w:sz w:val="14"/>
              </w:rPr>
              <w:t>D09.4</w:t>
            </w:r>
          </w:p>
        </w:tc>
        <w:tc>
          <w:tcPr>
            <w:tcW w:type="dxa" w:w="4500"/>
            <w:tcMar>
              <w:top w:w="70" w:type="dxa"/>
              <w:start w:w="90" w:type="dxa"/>
              <w:bottom w:w="70" w:type="dxa"/>
              <w:end w:w="90" w:type="dxa"/>
            </w:tcMar>
            <w:shd w:fill="F1EFE5"/>
            <w:vAlign w:val="center"/>
          </w:tcPr>
          <w:p>
            <w:pPr>
              <w:spacing w:after="0"/>
            </w:pPr>
            <w:r>
              <w:rPr>
                <w:rFonts w:ascii="Arial" w:hAnsi="Arial"/>
                <w:color w:val="1B1B1C"/>
                <w:sz w:val="14"/>
              </w:rPr>
              <w:t>Cross-border, localization, sovereignty and critical-infrastructure constraints are evaluated before transfer.</w:t>
            </w:r>
          </w:p>
        </w:tc>
        <w:tc>
          <w:tcPr>
            <w:tcW w:type="dxa" w:w="3000"/>
            <w:tcMar>
              <w:top w:w="70" w:type="dxa"/>
              <w:start w:w="90" w:type="dxa"/>
              <w:bottom w:w="70" w:type="dxa"/>
              <w:end w:w="90" w:type="dxa"/>
            </w:tcMar>
            <w:shd w:fill="F1EFE5"/>
            <w:vAlign w:val="center"/>
          </w:tcPr>
          <w:p>
            <w:pPr>
              <w:spacing w:after="0"/>
            </w:pPr>
            <w:r>
              <w:rPr>
                <w:rFonts w:ascii="Arial" w:hAnsi="Arial"/>
                <w:color w:val="1B1B1C"/>
                <w:sz w:val="14"/>
              </w:rPr>
              <w:t>Transfer assessment; hosting/location evidence</w:t>
            </w:r>
          </w:p>
        </w:tc>
        <w:tc>
          <w:tcPr>
            <w:tcW w:type="dxa" w:w="1050"/>
            <w:tcMar>
              <w:top w:w="70" w:type="dxa"/>
              <w:start w:w="90" w:type="dxa"/>
              <w:bottom w:w="70" w:type="dxa"/>
              <w:end w:w="90" w:type="dxa"/>
            </w:tcMar>
            <w:shd w:fill="F1EFE5"/>
            <w:vAlign w:val="center"/>
          </w:tcPr>
          <w:p>
            <w:pPr>
              <w:spacing w:after="0"/>
            </w:pPr>
            <w:r>
              <w:rPr>
                <w:rFonts w:ascii="Arial" w:hAnsi="Arial"/>
                <w:color w:val="1B1B1C"/>
                <w:sz w:val="14"/>
              </w:rPr>
              <w:t>EU04,G12,G14,G15</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D09.5</w:t>
            </w:r>
          </w:p>
        </w:tc>
        <w:tc>
          <w:tcPr>
            <w:tcW w:type="dxa" w:w="4500"/>
            <w:tcMar>
              <w:top w:w="70" w:type="dxa"/>
              <w:start w:w="90" w:type="dxa"/>
              <w:bottom w:w="70" w:type="dxa"/>
              <w:end w:w="90" w:type="dxa"/>
            </w:tcMar>
            <w:vAlign w:val="center"/>
          </w:tcPr>
          <w:p>
            <w:pPr>
              <w:spacing w:after="0"/>
            </w:pPr>
            <w:r>
              <w:rPr>
                <w:rFonts w:ascii="Arial" w:hAnsi="Arial"/>
                <w:color w:val="1B1B1C"/>
                <w:sz w:val="14"/>
              </w:rPr>
              <w:t>Third-party data and AI vendors provide source, rights, training-use, lineage, security and exit evidence.</w:t>
            </w:r>
          </w:p>
        </w:tc>
        <w:tc>
          <w:tcPr>
            <w:tcW w:type="dxa" w:w="3000"/>
            <w:tcMar>
              <w:top w:w="70" w:type="dxa"/>
              <w:start w:w="90" w:type="dxa"/>
              <w:bottom w:w="70" w:type="dxa"/>
              <w:end w:w="90" w:type="dxa"/>
            </w:tcMar>
            <w:vAlign w:val="center"/>
          </w:tcPr>
          <w:p>
            <w:pPr>
              <w:spacing w:after="0"/>
            </w:pPr>
            <w:r>
              <w:rPr>
                <w:rFonts w:ascii="Arial" w:hAnsi="Arial"/>
                <w:color w:val="1B1B1C"/>
                <w:sz w:val="14"/>
              </w:rPr>
              <w:t>Vendor questionnaire; contract; exit test</w:t>
            </w:r>
          </w:p>
        </w:tc>
        <w:tc>
          <w:tcPr>
            <w:tcW w:type="dxa" w:w="1050"/>
            <w:tcMar>
              <w:top w:w="70" w:type="dxa"/>
              <w:start w:w="90" w:type="dxa"/>
              <w:bottom w:w="70" w:type="dxa"/>
              <w:end w:w="90" w:type="dxa"/>
            </w:tcMar>
            <w:vAlign w:val="center"/>
          </w:tcPr>
          <w:p>
            <w:pPr>
              <w:spacing w:after="0"/>
            </w:pPr>
            <w:r>
              <w:rPr>
                <w:rFonts w:ascii="Arial" w:hAnsi="Arial"/>
                <w:color w:val="1B1B1C"/>
                <w:sz w:val="14"/>
              </w:rPr>
              <w:t>N09,US04,F03</w:t>
            </w:r>
          </w:p>
        </w:tc>
      </w:tr>
    </w:tbl>
    <w:p>
      <w:pPr>
        <w:spacing w:after="0"/>
      </w:pPr>
    </w:p>
    <w:p>
      <w:pPr>
        <w:pStyle w:val="Heading2"/>
      </w:pPr>
      <w:r>
        <w:t>D10 | Utility OT, asset and digital-twin governance</w:t>
      </w:r>
    </w:p>
    <w:p>
      <w:r>
        <w:t>Scope: SCADA/AMI/GIS/EAM/LIMS integration, critical assets, network models and operational safety Primary anchors: I23,I24,I25,I26,U01,U03,U04,U08,U11</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2455"/>
        <w:gridCol w:w="2455"/>
        <w:gridCol w:w="2455"/>
        <w:gridCol w:w="2455"/>
      </w:tblGrid>
      <w:tr>
        <w:trPr>
          <w:tblHeader w:val="true"/>
          <w:cantSplit/>
        </w:trPr>
        <w:tc>
          <w:tcPr>
            <w:tcW w:type="dxa" w:w="750"/>
            <w:tcMar>
              <w:top w:w="75" w:type="dxa"/>
              <w:start w:w="90" w:type="dxa"/>
              <w:bottom w:w="75" w:type="dxa"/>
              <w:end w:w="90" w:type="dxa"/>
            </w:tcMar>
            <w:shd w:fill="1B1B1C"/>
          </w:tcPr>
          <w:p>
            <w:pPr>
              <w:spacing w:after="0"/>
            </w:pPr>
            <w:r>
              <w:rPr>
                <w:rFonts w:ascii="Arial" w:hAnsi="Arial"/>
                <w:b/>
                <w:color w:val="FFFFFF"/>
                <w:sz w:val="14"/>
              </w:rPr>
              <w:t>ID</w:t>
            </w:r>
          </w:p>
        </w:tc>
        <w:tc>
          <w:tcPr>
            <w:tcW w:type="dxa" w:w="4500"/>
            <w:tcMar>
              <w:top w:w="75" w:type="dxa"/>
              <w:start w:w="90" w:type="dxa"/>
              <w:bottom w:w="75" w:type="dxa"/>
              <w:end w:w="90" w:type="dxa"/>
            </w:tcMar>
            <w:shd w:fill="1B1B1C"/>
          </w:tcPr>
          <w:p>
            <w:pPr>
              <w:spacing w:after="0"/>
            </w:pPr>
            <w:r>
              <w:rPr>
                <w:rFonts w:ascii="Arial" w:hAnsi="Arial"/>
                <w:b/>
                <w:color w:val="FFFFFF"/>
                <w:sz w:val="14"/>
              </w:rPr>
              <w:t>Criterion</w:t>
            </w:r>
          </w:p>
        </w:tc>
        <w:tc>
          <w:tcPr>
            <w:tcW w:type="dxa" w:w="3000"/>
            <w:tcMar>
              <w:top w:w="75" w:type="dxa"/>
              <w:start w:w="90" w:type="dxa"/>
              <w:bottom w:w="75" w:type="dxa"/>
              <w:end w:w="90" w:type="dxa"/>
            </w:tcMar>
            <w:shd w:fill="1B1B1C"/>
          </w:tcPr>
          <w:p>
            <w:pPr>
              <w:spacing w:after="0"/>
            </w:pPr>
            <w:r>
              <w:rPr>
                <w:rFonts w:ascii="Arial" w:hAnsi="Arial"/>
                <w:b/>
                <w:color w:val="FFFFFF"/>
                <w:sz w:val="14"/>
              </w:rPr>
              <w:t>Evidence examples</w:t>
            </w:r>
          </w:p>
        </w:tc>
        <w:tc>
          <w:tcPr>
            <w:tcW w:type="dxa" w:w="1050"/>
            <w:tcMar>
              <w:top w:w="75" w:type="dxa"/>
              <w:start w:w="90" w:type="dxa"/>
              <w:bottom w:w="75" w:type="dxa"/>
              <w:end w:w="90" w:type="dxa"/>
            </w:tcMar>
            <w:shd w:fill="1B1B1C"/>
          </w:tcPr>
          <w:p>
            <w:pPr>
              <w:spacing w:after="0"/>
            </w:pPr>
            <w:r>
              <w:rPr>
                <w:rFonts w:ascii="Arial" w:hAnsi="Arial"/>
                <w:b/>
                <w:color w:val="FFFFFF"/>
                <w:sz w:val="14"/>
              </w:rPr>
              <w:t>Sources</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D10.1</w:t>
            </w:r>
          </w:p>
        </w:tc>
        <w:tc>
          <w:tcPr>
            <w:tcW w:type="dxa" w:w="4500"/>
            <w:tcMar>
              <w:top w:w="70" w:type="dxa"/>
              <w:start w:w="90" w:type="dxa"/>
              <w:bottom w:w="70" w:type="dxa"/>
              <w:end w:w="90" w:type="dxa"/>
            </w:tcMar>
            <w:vAlign w:val="center"/>
          </w:tcPr>
          <w:p>
            <w:pPr>
              <w:spacing w:after="0"/>
            </w:pPr>
            <w:r>
              <w:rPr>
                <w:rFonts w:ascii="Arial" w:hAnsi="Arial"/>
                <w:color w:val="1B1B1C"/>
                <w:sz w:val="14"/>
              </w:rPr>
              <w:t>A governed information model connects OT/SCADA, AMI, GIS, EAM/CMMS, LIMS and enterprise analytics.</w:t>
            </w:r>
          </w:p>
        </w:tc>
        <w:tc>
          <w:tcPr>
            <w:tcW w:type="dxa" w:w="3000"/>
            <w:tcMar>
              <w:top w:w="70" w:type="dxa"/>
              <w:start w:w="90" w:type="dxa"/>
              <w:bottom w:w="70" w:type="dxa"/>
              <w:end w:w="90" w:type="dxa"/>
            </w:tcMar>
            <w:vAlign w:val="center"/>
          </w:tcPr>
          <w:p>
            <w:pPr>
              <w:spacing w:after="0"/>
            </w:pPr>
            <w:r>
              <w:rPr>
                <w:rFonts w:ascii="Arial" w:hAnsi="Arial"/>
                <w:color w:val="1B1B1C"/>
                <w:sz w:val="14"/>
              </w:rPr>
              <w:t>Architecture; CIM/asset mappings; interface catalog</w:t>
            </w:r>
          </w:p>
        </w:tc>
        <w:tc>
          <w:tcPr>
            <w:tcW w:type="dxa" w:w="1050"/>
            <w:tcMar>
              <w:top w:w="70" w:type="dxa"/>
              <w:start w:w="90" w:type="dxa"/>
              <w:bottom w:w="70" w:type="dxa"/>
              <w:end w:w="90" w:type="dxa"/>
            </w:tcMar>
            <w:vAlign w:val="center"/>
          </w:tcPr>
          <w:p>
            <w:pPr>
              <w:spacing w:after="0"/>
            </w:pPr>
            <w:r>
              <w:rPr>
                <w:rFonts w:ascii="Arial" w:hAnsi="Arial"/>
                <w:color w:val="1B1B1C"/>
                <w:sz w:val="14"/>
              </w:rPr>
              <w:t>U01,U02,U03</w:t>
            </w:r>
          </w:p>
        </w:tc>
      </w:tr>
      <w:tr>
        <w:trPr>
          <w:cantSplit/>
        </w:trPr>
        <w:tc>
          <w:tcPr>
            <w:tcW w:type="dxa" w:w="750"/>
            <w:tcMar>
              <w:top w:w="70" w:type="dxa"/>
              <w:start w:w="90" w:type="dxa"/>
              <w:bottom w:w="70" w:type="dxa"/>
              <w:end w:w="90" w:type="dxa"/>
            </w:tcMar>
            <w:shd w:fill="F1EFE5"/>
            <w:vAlign w:val="center"/>
          </w:tcPr>
          <w:p>
            <w:pPr>
              <w:spacing w:after="0"/>
            </w:pPr>
            <w:r>
              <w:rPr>
                <w:rFonts w:ascii="Arial" w:hAnsi="Arial"/>
                <w:b/>
                <w:color w:val="0E2530"/>
                <w:sz w:val="14"/>
              </w:rPr>
              <w:t>D10.2</w:t>
            </w:r>
          </w:p>
        </w:tc>
        <w:tc>
          <w:tcPr>
            <w:tcW w:type="dxa" w:w="4500"/>
            <w:tcMar>
              <w:top w:w="70" w:type="dxa"/>
              <w:start w:w="90" w:type="dxa"/>
              <w:bottom w:w="70" w:type="dxa"/>
              <w:end w:w="90" w:type="dxa"/>
            </w:tcMar>
            <w:shd w:fill="F1EFE5"/>
            <w:vAlign w:val="center"/>
          </w:tcPr>
          <w:p>
            <w:pPr>
              <w:spacing w:after="0"/>
            </w:pPr>
            <w:r>
              <w:rPr>
                <w:rFonts w:ascii="Arial" w:hAnsi="Arial"/>
                <w:color w:val="1B1B1C"/>
                <w:sz w:val="14"/>
              </w:rPr>
              <w:t>Asset and location master data supports safety, maintenance, resilience and regulatory reporting.</w:t>
            </w:r>
          </w:p>
        </w:tc>
        <w:tc>
          <w:tcPr>
            <w:tcW w:type="dxa" w:w="3000"/>
            <w:tcMar>
              <w:top w:w="70" w:type="dxa"/>
              <w:start w:w="90" w:type="dxa"/>
              <w:bottom w:w="70" w:type="dxa"/>
              <w:end w:w="90" w:type="dxa"/>
            </w:tcMar>
            <w:shd w:fill="F1EFE5"/>
            <w:vAlign w:val="center"/>
          </w:tcPr>
          <w:p>
            <w:pPr>
              <w:spacing w:after="0"/>
            </w:pPr>
            <w:r>
              <w:rPr>
                <w:rFonts w:ascii="Arial" w:hAnsi="Arial"/>
                <w:color w:val="1B1B1C"/>
                <w:sz w:val="14"/>
              </w:rPr>
              <w:t>Asset hierarchy; GIS/EAM reconciliation; KPI trace</w:t>
            </w:r>
          </w:p>
        </w:tc>
        <w:tc>
          <w:tcPr>
            <w:tcW w:type="dxa" w:w="1050"/>
            <w:tcMar>
              <w:top w:w="70" w:type="dxa"/>
              <w:start w:w="90" w:type="dxa"/>
              <w:bottom w:w="70" w:type="dxa"/>
              <w:end w:w="90" w:type="dxa"/>
            </w:tcMar>
            <w:shd w:fill="F1EFE5"/>
            <w:vAlign w:val="center"/>
          </w:tcPr>
          <w:p>
            <w:pPr>
              <w:spacing w:after="0"/>
            </w:pPr>
            <w:r>
              <w:rPr>
                <w:rFonts w:ascii="Arial" w:hAnsi="Arial"/>
                <w:color w:val="1B1B1C"/>
                <w:sz w:val="14"/>
              </w:rPr>
              <w:t>I23,I24,I25,I26</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D10.3</w:t>
            </w:r>
          </w:p>
        </w:tc>
        <w:tc>
          <w:tcPr>
            <w:tcW w:type="dxa" w:w="4500"/>
            <w:tcMar>
              <w:top w:w="70" w:type="dxa"/>
              <w:start w:w="90" w:type="dxa"/>
              <w:bottom w:w="70" w:type="dxa"/>
              <w:end w:w="90" w:type="dxa"/>
            </w:tcMar>
            <w:vAlign w:val="center"/>
          </w:tcPr>
          <w:p>
            <w:pPr>
              <w:spacing w:after="0"/>
            </w:pPr>
            <w:r>
              <w:rPr>
                <w:rFonts w:ascii="Arial" w:hAnsi="Arial"/>
                <w:color w:val="1B1B1C"/>
                <w:sz w:val="14"/>
              </w:rPr>
              <w:t>Operational telemetry includes sensor identity, calibration, time quality, units, quality flags and communication state.</w:t>
            </w:r>
          </w:p>
        </w:tc>
        <w:tc>
          <w:tcPr>
            <w:tcW w:type="dxa" w:w="3000"/>
            <w:tcMar>
              <w:top w:w="70" w:type="dxa"/>
              <w:start w:w="90" w:type="dxa"/>
              <w:bottom w:w="70" w:type="dxa"/>
              <w:end w:w="90" w:type="dxa"/>
            </w:tcMar>
            <w:vAlign w:val="center"/>
          </w:tcPr>
          <w:p>
            <w:pPr>
              <w:spacing w:after="0"/>
            </w:pPr>
            <w:r>
              <w:rPr>
                <w:rFonts w:ascii="Arial" w:hAnsi="Arial"/>
                <w:color w:val="1B1B1C"/>
                <w:sz w:val="14"/>
              </w:rPr>
              <w:t>Telemetry standard; calibration records; sample</w:t>
            </w:r>
          </w:p>
        </w:tc>
        <w:tc>
          <w:tcPr>
            <w:tcW w:type="dxa" w:w="1050"/>
            <w:tcMar>
              <w:top w:w="70" w:type="dxa"/>
              <w:start w:w="90" w:type="dxa"/>
              <w:bottom w:w="70" w:type="dxa"/>
              <w:end w:w="90" w:type="dxa"/>
            </w:tcMar>
            <w:vAlign w:val="center"/>
          </w:tcPr>
          <w:p>
            <w:pPr>
              <w:spacing w:after="0"/>
            </w:pPr>
            <w:r>
              <w:rPr>
                <w:rFonts w:ascii="Arial" w:hAnsi="Arial"/>
                <w:color w:val="1B1B1C"/>
                <w:sz w:val="14"/>
              </w:rPr>
              <w:t>U03,I10</w:t>
            </w:r>
          </w:p>
        </w:tc>
      </w:tr>
      <w:tr>
        <w:trPr>
          <w:cantSplit/>
        </w:trPr>
        <w:tc>
          <w:tcPr>
            <w:tcW w:type="dxa" w:w="750"/>
            <w:tcMar>
              <w:top w:w="70" w:type="dxa"/>
              <w:start w:w="90" w:type="dxa"/>
              <w:bottom w:w="70" w:type="dxa"/>
              <w:end w:w="90" w:type="dxa"/>
            </w:tcMar>
            <w:shd w:fill="F1EFE5"/>
            <w:vAlign w:val="center"/>
          </w:tcPr>
          <w:p>
            <w:pPr>
              <w:spacing w:after="0"/>
            </w:pPr>
            <w:r>
              <w:rPr>
                <w:rFonts w:ascii="Arial" w:hAnsi="Arial"/>
                <w:b/>
                <w:color w:val="0E2530"/>
                <w:sz w:val="14"/>
              </w:rPr>
              <w:t>D10.4</w:t>
            </w:r>
          </w:p>
        </w:tc>
        <w:tc>
          <w:tcPr>
            <w:tcW w:type="dxa" w:w="4500"/>
            <w:tcMar>
              <w:top w:w="70" w:type="dxa"/>
              <w:start w:w="90" w:type="dxa"/>
              <w:bottom w:w="70" w:type="dxa"/>
              <w:end w:w="90" w:type="dxa"/>
            </w:tcMar>
            <w:shd w:fill="F1EFE5"/>
            <w:vAlign w:val="center"/>
          </w:tcPr>
          <w:p>
            <w:pPr>
              <w:spacing w:after="0"/>
            </w:pPr>
            <w:r>
              <w:rPr>
                <w:rFonts w:ascii="Arial" w:hAnsi="Arial"/>
                <w:color w:val="1B1B1C"/>
                <w:sz w:val="14"/>
              </w:rPr>
              <w:t>Digital-twin and network-model versions are synchronized with physical change and approved configuration.</w:t>
            </w:r>
          </w:p>
        </w:tc>
        <w:tc>
          <w:tcPr>
            <w:tcW w:type="dxa" w:w="3000"/>
            <w:tcMar>
              <w:top w:w="70" w:type="dxa"/>
              <w:start w:w="90" w:type="dxa"/>
              <w:bottom w:w="70" w:type="dxa"/>
              <w:end w:w="90" w:type="dxa"/>
            </w:tcMar>
            <w:shd w:fill="F1EFE5"/>
            <w:vAlign w:val="center"/>
          </w:tcPr>
          <w:p>
            <w:pPr>
              <w:spacing w:after="0"/>
            </w:pPr>
            <w:r>
              <w:rPr>
                <w:rFonts w:ascii="Arial" w:hAnsi="Arial"/>
                <w:color w:val="1B1B1C"/>
                <w:sz w:val="14"/>
              </w:rPr>
              <w:t>As-built workflow; model version; reconciliation</w:t>
            </w:r>
          </w:p>
        </w:tc>
        <w:tc>
          <w:tcPr>
            <w:tcW w:type="dxa" w:w="1050"/>
            <w:tcMar>
              <w:top w:w="70" w:type="dxa"/>
              <w:start w:w="90" w:type="dxa"/>
              <w:bottom w:w="70" w:type="dxa"/>
              <w:end w:w="90" w:type="dxa"/>
            </w:tcMar>
            <w:shd w:fill="F1EFE5"/>
            <w:vAlign w:val="center"/>
          </w:tcPr>
          <w:p>
            <w:pPr>
              <w:spacing w:after="0"/>
            </w:pPr>
            <w:r>
              <w:rPr>
                <w:rFonts w:ascii="Arial" w:hAnsi="Arial"/>
                <w:color w:val="1B1B1C"/>
                <w:sz w:val="14"/>
              </w:rPr>
              <w:t>I23,N04,C03</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D10.5</w:t>
            </w:r>
          </w:p>
        </w:tc>
        <w:tc>
          <w:tcPr>
            <w:tcW w:type="dxa" w:w="4500"/>
            <w:tcMar>
              <w:top w:w="70" w:type="dxa"/>
              <w:start w:w="90" w:type="dxa"/>
              <w:bottom w:w="70" w:type="dxa"/>
              <w:end w:w="90" w:type="dxa"/>
            </w:tcMar>
            <w:vAlign w:val="center"/>
          </w:tcPr>
          <w:p>
            <w:pPr>
              <w:spacing w:after="0"/>
            </w:pPr>
            <w:r>
              <w:rPr>
                <w:rFonts w:ascii="Arial" w:hAnsi="Arial"/>
                <w:color w:val="1B1B1C"/>
                <w:sz w:val="14"/>
              </w:rPr>
              <w:t>Critical utility datasets and interfaces are included in resilience, cyber and emergency exercises.</w:t>
            </w:r>
          </w:p>
        </w:tc>
        <w:tc>
          <w:tcPr>
            <w:tcW w:type="dxa" w:w="3000"/>
            <w:tcMar>
              <w:top w:w="70" w:type="dxa"/>
              <w:start w:w="90" w:type="dxa"/>
              <w:bottom w:w="70" w:type="dxa"/>
              <w:end w:w="90" w:type="dxa"/>
            </w:tcMar>
            <w:vAlign w:val="center"/>
          </w:tcPr>
          <w:p>
            <w:pPr>
              <w:spacing w:after="0"/>
            </w:pPr>
            <w:r>
              <w:rPr>
                <w:rFonts w:ascii="Arial" w:hAnsi="Arial"/>
                <w:color w:val="1B1B1C"/>
                <w:sz w:val="14"/>
              </w:rPr>
              <w:t>RRA/ERP; exercise scenario; findings</w:t>
            </w:r>
          </w:p>
        </w:tc>
        <w:tc>
          <w:tcPr>
            <w:tcW w:type="dxa" w:w="1050"/>
            <w:tcMar>
              <w:top w:w="70" w:type="dxa"/>
              <w:start w:w="90" w:type="dxa"/>
              <w:bottom w:w="70" w:type="dxa"/>
              <w:end w:w="90" w:type="dxa"/>
            </w:tcMar>
            <w:vAlign w:val="center"/>
          </w:tcPr>
          <w:p>
            <w:pPr>
              <w:spacing w:after="0"/>
            </w:pPr>
            <w:r>
              <w:rPr>
                <w:rFonts w:ascii="Arial" w:hAnsi="Arial"/>
                <w:color w:val="1B1B1C"/>
                <w:sz w:val="14"/>
              </w:rPr>
              <w:t>U08,U09,U10</w:t>
            </w:r>
          </w:p>
        </w:tc>
      </w:tr>
    </w:tbl>
    <w:p>
      <w:pPr>
        <w:spacing w:after="0"/>
      </w:pPr>
    </w:p>
    <w:p>
      <w:pPr>
        <w:pStyle w:val="Heading2"/>
      </w:pPr>
      <w:r>
        <w:t>D11 | AI and analytics data governance</w:t>
      </w:r>
    </w:p>
    <w:p>
      <w:r>
        <w:t>Scope: Use-case inventory, training/evaluation data, representativeness, traceability, monitoring and retirement Primary anchors: I04,I05,I08,I17,I18,I19,N01,US03,EU01</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2455"/>
        <w:gridCol w:w="2455"/>
        <w:gridCol w:w="2455"/>
        <w:gridCol w:w="2455"/>
      </w:tblGrid>
      <w:tr>
        <w:trPr>
          <w:tblHeader w:val="true"/>
          <w:cantSplit/>
        </w:trPr>
        <w:tc>
          <w:tcPr>
            <w:tcW w:type="dxa" w:w="750"/>
            <w:tcMar>
              <w:top w:w="75" w:type="dxa"/>
              <w:start w:w="90" w:type="dxa"/>
              <w:bottom w:w="75" w:type="dxa"/>
              <w:end w:w="90" w:type="dxa"/>
            </w:tcMar>
            <w:shd w:fill="1B1B1C"/>
          </w:tcPr>
          <w:p>
            <w:pPr>
              <w:spacing w:after="0"/>
            </w:pPr>
            <w:r>
              <w:rPr>
                <w:rFonts w:ascii="Arial" w:hAnsi="Arial"/>
                <w:b/>
                <w:color w:val="FFFFFF"/>
                <w:sz w:val="14"/>
              </w:rPr>
              <w:t>ID</w:t>
            </w:r>
          </w:p>
        </w:tc>
        <w:tc>
          <w:tcPr>
            <w:tcW w:type="dxa" w:w="4500"/>
            <w:tcMar>
              <w:top w:w="75" w:type="dxa"/>
              <w:start w:w="90" w:type="dxa"/>
              <w:bottom w:w="75" w:type="dxa"/>
              <w:end w:w="90" w:type="dxa"/>
            </w:tcMar>
            <w:shd w:fill="1B1B1C"/>
          </w:tcPr>
          <w:p>
            <w:pPr>
              <w:spacing w:after="0"/>
            </w:pPr>
            <w:r>
              <w:rPr>
                <w:rFonts w:ascii="Arial" w:hAnsi="Arial"/>
                <w:b/>
                <w:color w:val="FFFFFF"/>
                <w:sz w:val="14"/>
              </w:rPr>
              <w:t>Criterion</w:t>
            </w:r>
          </w:p>
        </w:tc>
        <w:tc>
          <w:tcPr>
            <w:tcW w:type="dxa" w:w="3000"/>
            <w:tcMar>
              <w:top w:w="75" w:type="dxa"/>
              <w:start w:w="90" w:type="dxa"/>
              <w:bottom w:w="75" w:type="dxa"/>
              <w:end w:w="90" w:type="dxa"/>
            </w:tcMar>
            <w:shd w:fill="1B1B1C"/>
          </w:tcPr>
          <w:p>
            <w:pPr>
              <w:spacing w:after="0"/>
            </w:pPr>
            <w:r>
              <w:rPr>
                <w:rFonts w:ascii="Arial" w:hAnsi="Arial"/>
                <w:b/>
                <w:color w:val="FFFFFF"/>
                <w:sz w:val="14"/>
              </w:rPr>
              <w:t>Evidence examples</w:t>
            </w:r>
          </w:p>
        </w:tc>
        <w:tc>
          <w:tcPr>
            <w:tcW w:type="dxa" w:w="1050"/>
            <w:tcMar>
              <w:top w:w="75" w:type="dxa"/>
              <w:start w:w="90" w:type="dxa"/>
              <w:bottom w:w="75" w:type="dxa"/>
              <w:end w:w="90" w:type="dxa"/>
            </w:tcMar>
            <w:shd w:fill="1B1B1C"/>
          </w:tcPr>
          <w:p>
            <w:pPr>
              <w:spacing w:after="0"/>
            </w:pPr>
            <w:r>
              <w:rPr>
                <w:rFonts w:ascii="Arial" w:hAnsi="Arial"/>
                <w:b/>
                <w:color w:val="FFFFFF"/>
                <w:sz w:val="14"/>
              </w:rPr>
              <w:t>Sources</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D11.1</w:t>
            </w:r>
          </w:p>
        </w:tc>
        <w:tc>
          <w:tcPr>
            <w:tcW w:type="dxa" w:w="4500"/>
            <w:tcMar>
              <w:top w:w="70" w:type="dxa"/>
              <w:start w:w="90" w:type="dxa"/>
              <w:bottom w:w="70" w:type="dxa"/>
              <w:end w:w="90" w:type="dxa"/>
            </w:tcMar>
            <w:vAlign w:val="center"/>
          </w:tcPr>
          <w:p>
            <w:pPr>
              <w:spacing w:after="0"/>
            </w:pPr>
            <w:r>
              <w:rPr>
                <w:rFonts w:ascii="Arial" w:hAnsi="Arial"/>
                <w:color w:val="1B1B1C"/>
                <w:sz w:val="14"/>
              </w:rPr>
              <w:t>An AI/analytics inventory records owner, purpose, users, risk, deployment status, data sources and vendor.</w:t>
            </w:r>
          </w:p>
        </w:tc>
        <w:tc>
          <w:tcPr>
            <w:tcW w:type="dxa" w:w="3000"/>
            <w:tcMar>
              <w:top w:w="70" w:type="dxa"/>
              <w:start w:w="90" w:type="dxa"/>
              <w:bottom w:w="70" w:type="dxa"/>
              <w:end w:w="90" w:type="dxa"/>
            </w:tcMar>
            <w:vAlign w:val="center"/>
          </w:tcPr>
          <w:p>
            <w:pPr>
              <w:spacing w:after="0"/>
            </w:pPr>
            <w:r>
              <w:rPr>
                <w:rFonts w:ascii="Arial" w:hAnsi="Arial"/>
                <w:color w:val="1B1B1C"/>
                <w:sz w:val="14"/>
              </w:rPr>
              <w:t>Use-case inventory; risk tier; owner</w:t>
            </w:r>
          </w:p>
        </w:tc>
        <w:tc>
          <w:tcPr>
            <w:tcW w:type="dxa" w:w="1050"/>
            <w:tcMar>
              <w:top w:w="70" w:type="dxa"/>
              <w:start w:w="90" w:type="dxa"/>
              <w:bottom w:w="70" w:type="dxa"/>
              <w:end w:w="90" w:type="dxa"/>
            </w:tcMar>
            <w:vAlign w:val="center"/>
          </w:tcPr>
          <w:p>
            <w:pPr>
              <w:spacing w:after="0"/>
            </w:pPr>
            <w:r>
              <w:rPr>
                <w:rFonts w:ascii="Arial" w:hAnsi="Arial"/>
                <w:color w:val="1B1B1C"/>
                <w:sz w:val="14"/>
              </w:rPr>
              <w:t>N01,US03,EU01</w:t>
            </w:r>
          </w:p>
        </w:tc>
      </w:tr>
      <w:tr>
        <w:trPr>
          <w:cantSplit/>
        </w:trPr>
        <w:tc>
          <w:tcPr>
            <w:tcW w:type="dxa" w:w="750"/>
            <w:tcMar>
              <w:top w:w="70" w:type="dxa"/>
              <w:start w:w="90" w:type="dxa"/>
              <w:bottom w:w="70" w:type="dxa"/>
              <w:end w:w="90" w:type="dxa"/>
            </w:tcMar>
            <w:shd w:fill="F1EFE5"/>
            <w:vAlign w:val="center"/>
          </w:tcPr>
          <w:p>
            <w:pPr>
              <w:spacing w:after="0"/>
            </w:pPr>
            <w:r>
              <w:rPr>
                <w:rFonts w:ascii="Arial" w:hAnsi="Arial"/>
                <w:b/>
                <w:color w:val="0E2530"/>
                <w:sz w:val="14"/>
              </w:rPr>
              <w:t>D11.2</w:t>
            </w:r>
          </w:p>
        </w:tc>
        <w:tc>
          <w:tcPr>
            <w:tcW w:type="dxa" w:w="4500"/>
            <w:tcMar>
              <w:top w:w="70" w:type="dxa"/>
              <w:start w:w="90" w:type="dxa"/>
              <w:bottom w:w="70" w:type="dxa"/>
              <w:end w:w="90" w:type="dxa"/>
            </w:tcMar>
            <w:shd w:fill="F1EFE5"/>
            <w:vAlign w:val="center"/>
          </w:tcPr>
          <w:p>
            <w:pPr>
              <w:spacing w:after="0"/>
            </w:pPr>
            <w:r>
              <w:rPr>
                <w:rFonts w:ascii="Arial" w:hAnsi="Arial"/>
                <w:color w:val="1B1B1C"/>
                <w:sz w:val="14"/>
              </w:rPr>
              <w:t>Training, evaluation, prompt/context and operational data are versioned with rights and provenance.</w:t>
            </w:r>
          </w:p>
        </w:tc>
        <w:tc>
          <w:tcPr>
            <w:tcW w:type="dxa" w:w="3000"/>
            <w:tcMar>
              <w:top w:w="70" w:type="dxa"/>
              <w:start w:w="90" w:type="dxa"/>
              <w:bottom w:w="70" w:type="dxa"/>
              <w:end w:w="90" w:type="dxa"/>
            </w:tcMar>
            <w:shd w:fill="F1EFE5"/>
            <w:vAlign w:val="center"/>
          </w:tcPr>
          <w:p>
            <w:pPr>
              <w:spacing w:after="0"/>
            </w:pPr>
            <w:r>
              <w:rPr>
                <w:rFonts w:ascii="Arial" w:hAnsi="Arial"/>
                <w:color w:val="1B1B1C"/>
                <w:sz w:val="14"/>
              </w:rPr>
              <w:t>Dataset manifest; licences; lineage; version IDs</w:t>
            </w:r>
          </w:p>
        </w:tc>
        <w:tc>
          <w:tcPr>
            <w:tcW w:type="dxa" w:w="1050"/>
            <w:tcMar>
              <w:top w:w="70" w:type="dxa"/>
              <w:start w:w="90" w:type="dxa"/>
              <w:bottom w:w="70" w:type="dxa"/>
              <w:end w:w="90" w:type="dxa"/>
            </w:tcMar>
            <w:shd w:fill="F1EFE5"/>
            <w:vAlign w:val="center"/>
          </w:tcPr>
          <w:p>
            <w:pPr>
              <w:spacing w:after="0"/>
            </w:pPr>
            <w:r>
              <w:rPr>
                <w:rFonts w:ascii="Arial" w:hAnsi="Arial"/>
                <w:color w:val="1B1B1C"/>
                <w:sz w:val="14"/>
              </w:rPr>
              <w:t>I04,I08,W01,US15</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D11.3</w:t>
            </w:r>
          </w:p>
        </w:tc>
        <w:tc>
          <w:tcPr>
            <w:tcW w:type="dxa" w:w="4500"/>
            <w:tcMar>
              <w:top w:w="70" w:type="dxa"/>
              <w:start w:w="90" w:type="dxa"/>
              <w:bottom w:w="70" w:type="dxa"/>
              <w:end w:w="90" w:type="dxa"/>
            </w:tcMar>
            <w:vAlign w:val="center"/>
          </w:tcPr>
          <w:p>
            <w:pPr>
              <w:spacing w:after="0"/>
            </w:pPr>
            <w:r>
              <w:rPr>
                <w:rFonts w:ascii="Arial" w:hAnsi="Arial"/>
                <w:color w:val="1B1B1C"/>
                <w:sz w:val="14"/>
              </w:rPr>
              <w:t>Representativeness, leakage, bias, contamination and suitability are tested against the intended utility context.</w:t>
            </w:r>
          </w:p>
        </w:tc>
        <w:tc>
          <w:tcPr>
            <w:tcW w:type="dxa" w:w="3000"/>
            <w:tcMar>
              <w:top w:w="70" w:type="dxa"/>
              <w:start w:w="90" w:type="dxa"/>
              <w:bottom w:w="70" w:type="dxa"/>
              <w:end w:w="90" w:type="dxa"/>
            </w:tcMar>
            <w:vAlign w:val="center"/>
          </w:tcPr>
          <w:p>
            <w:pPr>
              <w:spacing w:after="0"/>
            </w:pPr>
            <w:r>
              <w:rPr>
                <w:rFonts w:ascii="Arial" w:hAnsi="Arial"/>
                <w:color w:val="1B1B1C"/>
                <w:sz w:val="14"/>
              </w:rPr>
              <w:t>Test plan; segments; results; limitations</w:t>
            </w:r>
          </w:p>
        </w:tc>
        <w:tc>
          <w:tcPr>
            <w:tcW w:type="dxa" w:w="1050"/>
            <w:tcMar>
              <w:top w:w="70" w:type="dxa"/>
              <w:start w:w="90" w:type="dxa"/>
              <w:bottom w:w="70" w:type="dxa"/>
              <w:end w:w="90" w:type="dxa"/>
            </w:tcMar>
            <w:vAlign w:val="center"/>
          </w:tcPr>
          <w:p>
            <w:pPr>
              <w:spacing w:after="0"/>
            </w:pPr>
            <w:r>
              <w:rPr>
                <w:rFonts w:ascii="Arial" w:hAnsi="Arial"/>
                <w:color w:val="1B1B1C"/>
                <w:sz w:val="14"/>
              </w:rPr>
              <w:t>I05,I06,N01</w:t>
            </w:r>
          </w:p>
        </w:tc>
      </w:tr>
      <w:tr>
        <w:trPr>
          <w:cantSplit/>
        </w:trPr>
        <w:tc>
          <w:tcPr>
            <w:tcW w:type="dxa" w:w="750"/>
            <w:tcMar>
              <w:top w:w="70" w:type="dxa"/>
              <w:start w:w="90" w:type="dxa"/>
              <w:bottom w:w="70" w:type="dxa"/>
              <w:end w:w="90" w:type="dxa"/>
            </w:tcMar>
            <w:shd w:fill="F1EFE5"/>
            <w:vAlign w:val="center"/>
          </w:tcPr>
          <w:p>
            <w:pPr>
              <w:spacing w:after="0"/>
            </w:pPr>
            <w:r>
              <w:rPr>
                <w:rFonts w:ascii="Arial" w:hAnsi="Arial"/>
                <w:b/>
                <w:color w:val="0E2530"/>
                <w:sz w:val="14"/>
              </w:rPr>
              <w:t>D11.4</w:t>
            </w:r>
          </w:p>
        </w:tc>
        <w:tc>
          <w:tcPr>
            <w:tcW w:type="dxa" w:w="4500"/>
            <w:tcMar>
              <w:top w:w="70" w:type="dxa"/>
              <w:start w:w="90" w:type="dxa"/>
              <w:bottom w:w="70" w:type="dxa"/>
              <w:end w:w="90" w:type="dxa"/>
            </w:tcMar>
            <w:shd w:fill="F1EFE5"/>
            <w:vAlign w:val="center"/>
          </w:tcPr>
          <w:p>
            <w:pPr>
              <w:spacing w:after="0"/>
            </w:pPr>
            <w:r>
              <w:rPr>
                <w:rFonts w:ascii="Arial" w:hAnsi="Arial"/>
                <w:color w:val="1B1B1C"/>
                <w:sz w:val="14"/>
              </w:rPr>
              <w:t>Release gates require independent validation, security/privacy review, human oversight and rollback.</w:t>
            </w:r>
          </w:p>
        </w:tc>
        <w:tc>
          <w:tcPr>
            <w:tcW w:type="dxa" w:w="3000"/>
            <w:tcMar>
              <w:top w:w="70" w:type="dxa"/>
              <w:start w:w="90" w:type="dxa"/>
              <w:bottom w:w="70" w:type="dxa"/>
              <w:end w:w="90" w:type="dxa"/>
            </w:tcMar>
            <w:shd w:fill="F1EFE5"/>
            <w:vAlign w:val="center"/>
          </w:tcPr>
          <w:p>
            <w:pPr>
              <w:spacing w:after="0"/>
            </w:pPr>
            <w:r>
              <w:rPr>
                <w:rFonts w:ascii="Arial" w:hAnsi="Arial"/>
                <w:color w:val="1B1B1C"/>
                <w:sz w:val="14"/>
              </w:rPr>
              <w:t>Gate checklist; test evidence; rollback drill</w:t>
            </w:r>
          </w:p>
        </w:tc>
        <w:tc>
          <w:tcPr>
            <w:tcW w:type="dxa" w:w="1050"/>
            <w:tcMar>
              <w:top w:w="70" w:type="dxa"/>
              <w:start w:w="90" w:type="dxa"/>
              <w:bottom w:w="70" w:type="dxa"/>
              <w:end w:w="90" w:type="dxa"/>
            </w:tcMar>
            <w:shd w:fill="F1EFE5"/>
            <w:vAlign w:val="center"/>
          </w:tcPr>
          <w:p>
            <w:pPr>
              <w:spacing w:after="0"/>
            </w:pPr>
            <w:r>
              <w:rPr>
                <w:rFonts w:ascii="Arial" w:hAnsi="Arial"/>
                <w:color w:val="1B1B1C"/>
                <w:sz w:val="14"/>
              </w:rPr>
              <w:t>I17,I18,I19,US03</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D11.5</w:t>
            </w:r>
          </w:p>
        </w:tc>
        <w:tc>
          <w:tcPr>
            <w:tcW w:type="dxa" w:w="4500"/>
            <w:tcMar>
              <w:top w:w="70" w:type="dxa"/>
              <w:start w:w="90" w:type="dxa"/>
              <w:bottom w:w="70" w:type="dxa"/>
              <w:end w:w="90" w:type="dxa"/>
            </w:tcMar>
            <w:vAlign w:val="center"/>
          </w:tcPr>
          <w:p>
            <w:pPr>
              <w:spacing w:after="0"/>
            </w:pPr>
            <w:r>
              <w:rPr>
                <w:rFonts w:ascii="Arial" w:hAnsi="Arial"/>
                <w:color w:val="1B1B1C"/>
                <w:sz w:val="14"/>
              </w:rPr>
              <w:t>Post-release monitoring covers data drift, quality, integrity, performance, impact, incidents and retirement triggers.</w:t>
            </w:r>
          </w:p>
        </w:tc>
        <w:tc>
          <w:tcPr>
            <w:tcW w:type="dxa" w:w="3000"/>
            <w:tcMar>
              <w:top w:w="70" w:type="dxa"/>
              <w:start w:w="90" w:type="dxa"/>
              <w:bottom w:w="70" w:type="dxa"/>
              <w:end w:w="90" w:type="dxa"/>
            </w:tcMar>
            <w:vAlign w:val="center"/>
          </w:tcPr>
          <w:p>
            <w:pPr>
              <w:spacing w:after="0"/>
            </w:pPr>
            <w:r>
              <w:rPr>
                <w:rFonts w:ascii="Arial" w:hAnsi="Arial"/>
                <w:color w:val="1B1B1C"/>
                <w:sz w:val="14"/>
              </w:rPr>
              <w:t>Monitoring; thresholds; incidents; retirement plan</w:t>
            </w:r>
          </w:p>
        </w:tc>
        <w:tc>
          <w:tcPr>
            <w:tcW w:type="dxa" w:w="1050"/>
            <w:tcMar>
              <w:top w:w="70" w:type="dxa"/>
              <w:start w:w="90" w:type="dxa"/>
              <w:bottom w:w="70" w:type="dxa"/>
              <w:end w:w="90" w:type="dxa"/>
            </w:tcMar>
            <w:vAlign w:val="center"/>
          </w:tcPr>
          <w:p>
            <w:pPr>
              <w:spacing w:after="0"/>
            </w:pPr>
            <w:r>
              <w:rPr>
                <w:rFonts w:ascii="Arial" w:hAnsi="Arial"/>
                <w:color w:val="1B1B1C"/>
                <w:sz w:val="14"/>
              </w:rPr>
              <w:t>N01,I17,EU01</w:t>
            </w:r>
          </w:p>
        </w:tc>
      </w:tr>
    </w:tbl>
    <w:p>
      <w:pPr>
        <w:spacing w:after="0"/>
      </w:pPr>
    </w:p>
    <w:p>
      <w:pPr>
        <w:pStyle w:val="Heading2"/>
      </w:pPr>
      <w:r>
        <w:t>D12 | Evidence, assurance and continuous improvement</w:t>
      </w:r>
    </w:p>
    <w:p>
      <w:r>
        <w:t>Scope: Control tests, independent challenge, metrics, exceptions, source updates and remediation verification Primary anchors: N05,I13,I17,F03,N10</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2455"/>
        <w:gridCol w:w="2455"/>
        <w:gridCol w:w="2455"/>
        <w:gridCol w:w="2455"/>
      </w:tblGrid>
      <w:tr>
        <w:trPr>
          <w:tblHeader w:val="true"/>
          <w:cantSplit/>
        </w:trPr>
        <w:tc>
          <w:tcPr>
            <w:tcW w:type="dxa" w:w="750"/>
            <w:tcMar>
              <w:top w:w="75" w:type="dxa"/>
              <w:start w:w="90" w:type="dxa"/>
              <w:bottom w:w="75" w:type="dxa"/>
              <w:end w:w="90" w:type="dxa"/>
            </w:tcMar>
            <w:shd w:fill="1B1B1C"/>
          </w:tcPr>
          <w:p>
            <w:pPr>
              <w:spacing w:after="0"/>
            </w:pPr>
            <w:r>
              <w:rPr>
                <w:rFonts w:ascii="Arial" w:hAnsi="Arial"/>
                <w:b/>
                <w:color w:val="FFFFFF"/>
                <w:sz w:val="14"/>
              </w:rPr>
              <w:t>ID</w:t>
            </w:r>
          </w:p>
        </w:tc>
        <w:tc>
          <w:tcPr>
            <w:tcW w:type="dxa" w:w="4500"/>
            <w:tcMar>
              <w:top w:w="75" w:type="dxa"/>
              <w:start w:w="90" w:type="dxa"/>
              <w:bottom w:w="75" w:type="dxa"/>
              <w:end w:w="90" w:type="dxa"/>
            </w:tcMar>
            <w:shd w:fill="1B1B1C"/>
          </w:tcPr>
          <w:p>
            <w:pPr>
              <w:spacing w:after="0"/>
            </w:pPr>
            <w:r>
              <w:rPr>
                <w:rFonts w:ascii="Arial" w:hAnsi="Arial"/>
                <w:b/>
                <w:color w:val="FFFFFF"/>
                <w:sz w:val="14"/>
              </w:rPr>
              <w:t>Criterion</w:t>
            </w:r>
          </w:p>
        </w:tc>
        <w:tc>
          <w:tcPr>
            <w:tcW w:type="dxa" w:w="3000"/>
            <w:tcMar>
              <w:top w:w="75" w:type="dxa"/>
              <w:start w:w="90" w:type="dxa"/>
              <w:bottom w:w="75" w:type="dxa"/>
              <w:end w:w="90" w:type="dxa"/>
            </w:tcMar>
            <w:shd w:fill="1B1B1C"/>
          </w:tcPr>
          <w:p>
            <w:pPr>
              <w:spacing w:after="0"/>
            </w:pPr>
            <w:r>
              <w:rPr>
                <w:rFonts w:ascii="Arial" w:hAnsi="Arial"/>
                <w:b/>
                <w:color w:val="FFFFFF"/>
                <w:sz w:val="14"/>
              </w:rPr>
              <w:t>Evidence examples</w:t>
            </w:r>
          </w:p>
        </w:tc>
        <w:tc>
          <w:tcPr>
            <w:tcW w:type="dxa" w:w="1050"/>
            <w:tcMar>
              <w:top w:w="75" w:type="dxa"/>
              <w:start w:w="90" w:type="dxa"/>
              <w:bottom w:w="75" w:type="dxa"/>
              <w:end w:w="90" w:type="dxa"/>
            </w:tcMar>
            <w:shd w:fill="1B1B1C"/>
          </w:tcPr>
          <w:p>
            <w:pPr>
              <w:spacing w:after="0"/>
            </w:pPr>
            <w:r>
              <w:rPr>
                <w:rFonts w:ascii="Arial" w:hAnsi="Arial"/>
                <w:b/>
                <w:color w:val="FFFFFF"/>
                <w:sz w:val="14"/>
              </w:rPr>
              <w:t>Sources</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D12.1</w:t>
            </w:r>
          </w:p>
        </w:tc>
        <w:tc>
          <w:tcPr>
            <w:tcW w:type="dxa" w:w="4500"/>
            <w:tcMar>
              <w:top w:w="70" w:type="dxa"/>
              <w:start w:w="90" w:type="dxa"/>
              <w:bottom w:w="70" w:type="dxa"/>
              <w:end w:w="90" w:type="dxa"/>
            </w:tcMar>
            <w:vAlign w:val="center"/>
          </w:tcPr>
          <w:p>
            <w:pPr>
              <w:spacing w:after="0"/>
            </w:pPr>
            <w:r>
              <w:rPr>
                <w:rFonts w:ascii="Arial" w:hAnsi="Arial"/>
                <w:color w:val="1B1B1C"/>
                <w:sz w:val="14"/>
              </w:rPr>
              <w:t>Every criterion has an evidence owner, source, period, status, reviewer and expiry/retest date.</w:t>
            </w:r>
          </w:p>
        </w:tc>
        <w:tc>
          <w:tcPr>
            <w:tcW w:type="dxa" w:w="3000"/>
            <w:tcMar>
              <w:top w:w="70" w:type="dxa"/>
              <w:start w:w="90" w:type="dxa"/>
              <w:bottom w:w="70" w:type="dxa"/>
              <w:end w:w="90" w:type="dxa"/>
            </w:tcMar>
            <w:vAlign w:val="center"/>
          </w:tcPr>
          <w:p>
            <w:pPr>
              <w:spacing w:after="0"/>
            </w:pPr>
            <w:r>
              <w:rPr>
                <w:rFonts w:ascii="Arial" w:hAnsi="Arial"/>
                <w:color w:val="1B1B1C"/>
                <w:sz w:val="14"/>
              </w:rPr>
              <w:t>Evidence register; ownership; expiry report</w:t>
            </w:r>
          </w:p>
        </w:tc>
        <w:tc>
          <w:tcPr>
            <w:tcW w:type="dxa" w:w="1050"/>
            <w:tcMar>
              <w:top w:w="70" w:type="dxa"/>
              <w:start w:w="90" w:type="dxa"/>
              <w:bottom w:w="70" w:type="dxa"/>
              <w:end w:w="90" w:type="dxa"/>
            </w:tcMar>
            <w:vAlign w:val="center"/>
          </w:tcPr>
          <w:p>
            <w:pPr>
              <w:spacing w:after="0"/>
            </w:pPr>
            <w:r>
              <w:rPr>
                <w:rFonts w:ascii="Arial" w:hAnsi="Arial"/>
                <w:color w:val="1B1B1C"/>
                <w:sz w:val="14"/>
              </w:rPr>
              <w:t>N05,N10</w:t>
            </w:r>
          </w:p>
        </w:tc>
      </w:tr>
      <w:tr>
        <w:trPr>
          <w:cantSplit/>
        </w:trPr>
        <w:tc>
          <w:tcPr>
            <w:tcW w:type="dxa" w:w="750"/>
            <w:tcMar>
              <w:top w:w="70" w:type="dxa"/>
              <w:start w:w="90" w:type="dxa"/>
              <w:bottom w:w="70" w:type="dxa"/>
              <w:end w:w="90" w:type="dxa"/>
            </w:tcMar>
            <w:shd w:fill="F1EFE5"/>
            <w:vAlign w:val="center"/>
          </w:tcPr>
          <w:p>
            <w:pPr>
              <w:spacing w:after="0"/>
            </w:pPr>
            <w:r>
              <w:rPr>
                <w:rFonts w:ascii="Arial" w:hAnsi="Arial"/>
                <w:b/>
                <w:color w:val="0E2530"/>
                <w:sz w:val="14"/>
              </w:rPr>
              <w:t>D12.2</w:t>
            </w:r>
          </w:p>
        </w:tc>
        <w:tc>
          <w:tcPr>
            <w:tcW w:type="dxa" w:w="4500"/>
            <w:tcMar>
              <w:top w:w="70" w:type="dxa"/>
              <w:start w:w="90" w:type="dxa"/>
              <w:bottom w:w="70" w:type="dxa"/>
              <w:end w:w="90" w:type="dxa"/>
            </w:tcMar>
            <w:shd w:fill="F1EFE5"/>
            <w:vAlign w:val="center"/>
          </w:tcPr>
          <w:p>
            <w:pPr>
              <w:spacing w:after="0"/>
            </w:pPr>
            <w:r>
              <w:rPr>
                <w:rFonts w:ascii="Arial" w:hAnsi="Arial"/>
                <w:color w:val="1B1B1C"/>
                <w:sz w:val="14"/>
              </w:rPr>
              <w:t>Assessments distinguish control design, operating effectiveness and independent assurance.</w:t>
            </w:r>
          </w:p>
        </w:tc>
        <w:tc>
          <w:tcPr>
            <w:tcW w:type="dxa" w:w="3000"/>
            <w:tcMar>
              <w:top w:w="70" w:type="dxa"/>
              <w:start w:w="90" w:type="dxa"/>
              <w:bottom w:w="70" w:type="dxa"/>
              <w:end w:w="90" w:type="dxa"/>
            </w:tcMar>
            <w:shd w:fill="F1EFE5"/>
            <w:vAlign w:val="center"/>
          </w:tcPr>
          <w:p>
            <w:pPr>
              <w:spacing w:after="0"/>
            </w:pPr>
            <w:r>
              <w:rPr>
                <w:rFonts w:ascii="Arial" w:hAnsi="Arial"/>
                <w:color w:val="1B1B1C"/>
                <w:sz w:val="14"/>
              </w:rPr>
              <w:t>Test program; sampling; assurance opinion</w:t>
            </w:r>
          </w:p>
        </w:tc>
        <w:tc>
          <w:tcPr>
            <w:tcW w:type="dxa" w:w="1050"/>
            <w:tcMar>
              <w:top w:w="70" w:type="dxa"/>
              <w:start w:w="90" w:type="dxa"/>
              <w:bottom w:w="70" w:type="dxa"/>
              <w:end w:w="90" w:type="dxa"/>
            </w:tcMar>
            <w:shd w:fill="F1EFE5"/>
            <w:vAlign w:val="center"/>
          </w:tcPr>
          <w:p>
            <w:pPr>
              <w:spacing w:after="0"/>
            </w:pPr>
            <w:r>
              <w:rPr>
                <w:rFonts w:ascii="Arial" w:hAnsi="Arial"/>
                <w:color w:val="1B1B1C"/>
                <w:sz w:val="14"/>
              </w:rPr>
              <w:t>N05,F03</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D12.3</w:t>
            </w:r>
          </w:p>
        </w:tc>
        <w:tc>
          <w:tcPr>
            <w:tcW w:type="dxa" w:w="4500"/>
            <w:tcMar>
              <w:top w:w="70" w:type="dxa"/>
              <w:start w:w="90" w:type="dxa"/>
              <w:bottom w:w="70" w:type="dxa"/>
              <w:end w:w="90" w:type="dxa"/>
            </w:tcMar>
            <w:vAlign w:val="center"/>
          </w:tcPr>
          <w:p>
            <w:pPr>
              <w:spacing w:after="0"/>
            </w:pPr>
            <w:r>
              <w:rPr>
                <w:rFonts w:ascii="Arial" w:hAnsi="Arial"/>
                <w:color w:val="1B1B1C"/>
                <w:sz w:val="14"/>
              </w:rPr>
              <w:t>Coverage, exceptions, overdue actions and residual risk are reported to the right governance level.</w:t>
            </w:r>
          </w:p>
        </w:tc>
        <w:tc>
          <w:tcPr>
            <w:tcW w:type="dxa" w:w="3000"/>
            <w:tcMar>
              <w:top w:w="70" w:type="dxa"/>
              <w:start w:w="90" w:type="dxa"/>
              <w:bottom w:w="70" w:type="dxa"/>
              <w:end w:w="90" w:type="dxa"/>
            </w:tcMar>
            <w:vAlign w:val="center"/>
          </w:tcPr>
          <w:p>
            <w:pPr>
              <w:spacing w:after="0"/>
            </w:pPr>
            <w:r>
              <w:rPr>
                <w:rFonts w:ascii="Arial" w:hAnsi="Arial"/>
                <w:color w:val="1B1B1C"/>
                <w:sz w:val="14"/>
              </w:rPr>
              <w:t>Dashboard; escalation minutes; accepted risks</w:t>
            </w:r>
          </w:p>
        </w:tc>
        <w:tc>
          <w:tcPr>
            <w:tcW w:type="dxa" w:w="1050"/>
            <w:tcMar>
              <w:top w:w="70" w:type="dxa"/>
              <w:start w:w="90" w:type="dxa"/>
              <w:bottom w:w="70" w:type="dxa"/>
              <w:end w:w="90" w:type="dxa"/>
            </w:tcMar>
            <w:vAlign w:val="center"/>
          </w:tcPr>
          <w:p>
            <w:pPr>
              <w:spacing w:after="0"/>
            </w:pPr>
            <w:r>
              <w:rPr>
                <w:rFonts w:ascii="Arial" w:hAnsi="Arial"/>
                <w:color w:val="1B1B1C"/>
                <w:sz w:val="14"/>
              </w:rPr>
              <w:t>I01,N06</w:t>
            </w:r>
          </w:p>
        </w:tc>
      </w:tr>
      <w:tr>
        <w:trPr>
          <w:cantSplit/>
        </w:trPr>
        <w:tc>
          <w:tcPr>
            <w:tcW w:type="dxa" w:w="750"/>
            <w:tcMar>
              <w:top w:w="70" w:type="dxa"/>
              <w:start w:w="90" w:type="dxa"/>
              <w:bottom w:w="70" w:type="dxa"/>
              <w:end w:w="90" w:type="dxa"/>
            </w:tcMar>
            <w:shd w:fill="F1EFE5"/>
            <w:vAlign w:val="center"/>
          </w:tcPr>
          <w:p>
            <w:pPr>
              <w:spacing w:after="0"/>
            </w:pPr>
            <w:r>
              <w:rPr>
                <w:rFonts w:ascii="Arial" w:hAnsi="Arial"/>
                <w:b/>
                <w:color w:val="0E2530"/>
                <w:sz w:val="14"/>
              </w:rPr>
              <w:t>D12.4</w:t>
            </w:r>
          </w:p>
        </w:tc>
        <w:tc>
          <w:tcPr>
            <w:tcW w:type="dxa" w:w="4500"/>
            <w:tcMar>
              <w:top w:w="70" w:type="dxa"/>
              <w:start w:w="90" w:type="dxa"/>
              <w:bottom w:w="70" w:type="dxa"/>
              <w:end w:w="90" w:type="dxa"/>
            </w:tcMar>
            <w:shd w:fill="F1EFE5"/>
            <w:vAlign w:val="center"/>
          </w:tcPr>
          <w:p>
            <w:pPr>
              <w:spacing w:after="0"/>
            </w:pPr>
            <w:r>
              <w:rPr>
                <w:rFonts w:ascii="Arial" w:hAnsi="Arial"/>
                <w:color w:val="1B1B1C"/>
                <w:sz w:val="14"/>
              </w:rPr>
              <w:t>Findings have root cause, accountable action, target date, validation and sustainable closure.</w:t>
            </w:r>
          </w:p>
        </w:tc>
        <w:tc>
          <w:tcPr>
            <w:tcW w:type="dxa" w:w="3000"/>
            <w:tcMar>
              <w:top w:w="70" w:type="dxa"/>
              <w:start w:w="90" w:type="dxa"/>
              <w:bottom w:w="70" w:type="dxa"/>
              <w:end w:w="90" w:type="dxa"/>
            </w:tcMar>
            <w:shd w:fill="F1EFE5"/>
            <w:vAlign w:val="center"/>
          </w:tcPr>
          <w:p>
            <w:pPr>
              <w:spacing w:after="0"/>
            </w:pPr>
            <w:r>
              <w:rPr>
                <w:rFonts w:ascii="Arial" w:hAnsi="Arial"/>
                <w:color w:val="1B1B1C"/>
                <w:sz w:val="14"/>
              </w:rPr>
              <w:t>Remediation register; retest; closure approval</w:t>
            </w:r>
          </w:p>
        </w:tc>
        <w:tc>
          <w:tcPr>
            <w:tcW w:type="dxa" w:w="1050"/>
            <w:tcMar>
              <w:top w:w="70" w:type="dxa"/>
              <w:start w:w="90" w:type="dxa"/>
              <w:bottom w:w="70" w:type="dxa"/>
              <w:end w:w="90" w:type="dxa"/>
            </w:tcMar>
            <w:shd w:fill="F1EFE5"/>
            <w:vAlign w:val="center"/>
          </w:tcPr>
          <w:p>
            <w:pPr>
              <w:spacing w:after="0"/>
            </w:pPr>
            <w:r>
              <w:rPr>
                <w:rFonts w:ascii="Arial" w:hAnsi="Arial"/>
                <w:color w:val="1B1B1C"/>
                <w:sz w:val="14"/>
              </w:rPr>
              <w:t>N05,I13</w:t>
            </w:r>
          </w:p>
        </w:tc>
      </w:tr>
      <w:tr>
        <w:trPr>
          <w:cantSplit/>
        </w:trPr>
        <w:tc>
          <w:tcPr>
            <w:tcW w:type="dxa" w:w="750"/>
            <w:tcMar>
              <w:top w:w="70" w:type="dxa"/>
              <w:start w:w="90" w:type="dxa"/>
              <w:bottom w:w="70" w:type="dxa"/>
              <w:end w:w="90" w:type="dxa"/>
            </w:tcMar>
            <w:vAlign w:val="center"/>
          </w:tcPr>
          <w:p>
            <w:pPr>
              <w:spacing w:after="0"/>
            </w:pPr>
            <w:r>
              <w:rPr>
                <w:rFonts w:ascii="Arial" w:hAnsi="Arial"/>
                <w:b/>
                <w:color w:val="0E2530"/>
                <w:sz w:val="14"/>
              </w:rPr>
              <w:t>D12.5</w:t>
            </w:r>
          </w:p>
        </w:tc>
        <w:tc>
          <w:tcPr>
            <w:tcW w:type="dxa" w:w="4500"/>
            <w:tcMar>
              <w:top w:w="70" w:type="dxa"/>
              <w:start w:w="90" w:type="dxa"/>
              <w:bottom w:w="70" w:type="dxa"/>
              <w:end w:w="90" w:type="dxa"/>
            </w:tcMar>
            <w:vAlign w:val="center"/>
          </w:tcPr>
          <w:p>
            <w:pPr>
              <w:spacing w:after="0"/>
            </w:pPr>
            <w:r>
              <w:rPr>
                <w:rFonts w:ascii="Arial" w:hAnsi="Arial"/>
                <w:color w:val="1B1B1C"/>
                <w:sz w:val="14"/>
              </w:rPr>
              <w:t>The authority register is versioned and refreshed on a scheduled and event-driven basis.</w:t>
            </w:r>
          </w:p>
        </w:tc>
        <w:tc>
          <w:tcPr>
            <w:tcW w:type="dxa" w:w="3000"/>
            <w:tcMar>
              <w:top w:w="70" w:type="dxa"/>
              <w:start w:w="90" w:type="dxa"/>
              <w:bottom w:w="70" w:type="dxa"/>
              <w:end w:w="90" w:type="dxa"/>
            </w:tcMar>
            <w:vAlign w:val="center"/>
          </w:tcPr>
          <w:p>
            <w:pPr>
              <w:spacing w:after="0"/>
            </w:pPr>
            <w:r>
              <w:rPr>
                <w:rFonts w:ascii="Arial" w:hAnsi="Arial"/>
                <w:color w:val="1B1B1C"/>
                <w:sz w:val="14"/>
              </w:rPr>
              <w:t>Source register; change log; review calendar</w:t>
            </w:r>
          </w:p>
        </w:tc>
        <w:tc>
          <w:tcPr>
            <w:tcW w:type="dxa" w:w="1050"/>
            <w:tcMar>
              <w:top w:w="70" w:type="dxa"/>
              <w:start w:w="90" w:type="dxa"/>
              <w:bottom w:w="70" w:type="dxa"/>
              <w:end w:w="90" w:type="dxa"/>
            </w:tcMar>
            <w:vAlign w:val="center"/>
          </w:tcPr>
          <w:p>
            <w:pPr>
              <w:spacing w:after="0"/>
            </w:pPr>
            <w:r>
              <w:rPr>
                <w:rFonts w:ascii="Arial" w:hAnsi="Arial"/>
                <w:color w:val="1B1B1C"/>
                <w:sz w:val="14"/>
              </w:rPr>
              <w:t>N08,US11,U12</w:t>
            </w:r>
          </w:p>
        </w:tc>
      </w:tr>
    </w:tbl>
    <w:p>
      <w:pPr>
        <w:pageBreakBefore/>
        <w:spacing w:after="100"/>
      </w:pPr>
      <w:r>
        <w:rPr>
          <w:rFonts w:ascii="Arial" w:hAnsi="Arial"/>
          <w:b/>
          <w:color w:val="2F7F9E"/>
          <w:sz w:val="17"/>
        </w:rPr>
        <w:t>APPLICATION PAPER</w:t>
      </w:r>
    </w:p>
    <w:p>
      <w:pPr>
        <w:pStyle w:val="Heading1"/>
      </w:pPr>
      <w:r>
        <w:t>Appendix B | Linked references and source register</w:t>
      </w:r>
    </w:p>
    <w:p>
      <w:pPr>
        <w:pStyle w:val="Subtitle"/>
        <w:spacing w:after="280"/>
      </w:pPr>
      <w:r>
        <w:rPr>
          <w:color w:val="3C3B36"/>
          <w:sz w:val="25"/>
        </w:rPr>
        <w:t>Every external source remains at the back of the paper in a compact digital endnote format.</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820"/>
      </w:tblGrid>
      <w:tr>
        <w:tc>
          <w:tcPr>
            <w:tcW w:type="dxa" w:w="1500"/>
            <w:shd w:fill="E0A64A"/>
            <w:tcMar>
              <w:top w:w="0" w:type="dxa"/>
              <w:start w:w="0" w:type="dxa"/>
              <w:bottom w:w="0" w:type="dxa"/>
              <w:end w:w="0" w:type="dxa"/>
            </w:tcMar>
          </w:tcPr>
          <w:p>
            <w:pPr>
              <w:spacing w:after="0"/>
            </w:pPr>
            <w:r>
              <w:rPr>
                <w:sz w:val="4"/>
              </w:rPr>
              <w:t xml:space="preserve"> </w:t>
            </w:r>
          </w:p>
        </w:tc>
      </w:tr>
    </w:tbl>
    <w:p>
      <w:r>
        <w:t>Each source title is clickable in the Word, PDF and HTML editions. The printed register intentionally omits a repetitive raw-URL column. Status and applicability can change. Confirm the current edition, effective date and coverage before using a source for legal advice, certification or a formal assurance opinion. Public case sources identify signals to test and do not prove enterprise maturity.</w:t>
      </w:r>
    </w:p>
    <w:tbl>
      <w:tblPr>
        <w:tblW w:type="auto" w:w="0"/>
        <w:jc w:val="center"/>
        <w:tblLayout w:type="fixed"/>
        <w:tblLook w:firstColumn="1" w:firstRow="1" w:lastColumn="0" w:lastRow="0" w:noHBand="0" w:noVBand="1" w:val="04A0"/>
        <w:tblBorders>
          <w:top w:val="single" w:sz="3" w:space="0" w:color="D8D2C3"/>
          <w:left w:val="single" w:sz="3" w:space="0" w:color="D8D2C3"/>
          <w:bottom w:val="single" w:sz="3" w:space="0" w:color="D8D2C3"/>
          <w:right w:val="single" w:sz="3" w:space="0" w:color="D8D2C3"/>
          <w:insideH w:val="single" w:sz="3" w:space="0" w:color="D8D2C3"/>
          <w:insideV w:val="single" w:sz="3" w:space="0" w:color="D8D2C3"/>
        </w:tblBorders>
      </w:tblPr>
      <w:tblGrid>
        <w:gridCol w:w="2455"/>
        <w:gridCol w:w="2455"/>
        <w:gridCol w:w="2455"/>
        <w:gridCol w:w="2455"/>
      </w:tblGrid>
      <w:tr>
        <w:trPr>
          <w:tblHeader w:val="true"/>
          <w:cantSplit/>
        </w:trPr>
        <w:tc>
          <w:tcPr>
            <w:tcW w:type="dxa" w:w="520"/>
            <w:tcMar>
              <w:top w:w="55" w:type="dxa"/>
              <w:start w:w="60" w:type="dxa"/>
              <w:bottom w:w="55" w:type="dxa"/>
              <w:end w:w="60" w:type="dxa"/>
            </w:tcMar>
            <w:shd w:fill="1B1B1C"/>
          </w:tcPr>
          <w:p>
            <w:pPr>
              <w:spacing w:after="0"/>
            </w:pPr>
            <w:r>
              <w:rPr>
                <w:rFonts w:ascii="Arial" w:hAnsi="Arial"/>
                <w:b/>
                <w:color w:val="FFFFFF"/>
                <w:sz w:val="12"/>
              </w:rPr>
              <w:t>ID</w:t>
            </w:r>
          </w:p>
        </w:tc>
        <w:tc>
          <w:tcPr>
            <w:tcW w:type="dxa" w:w="4160"/>
            <w:tcMar>
              <w:top w:w="55" w:type="dxa"/>
              <w:start w:w="60" w:type="dxa"/>
              <w:bottom w:w="55" w:type="dxa"/>
              <w:end w:w="60" w:type="dxa"/>
            </w:tcMar>
            <w:shd w:fill="1B1B1C"/>
          </w:tcPr>
          <w:p>
            <w:pPr>
              <w:spacing w:after="0"/>
            </w:pPr>
            <w:r>
              <w:rPr>
                <w:rFonts w:ascii="Arial" w:hAnsi="Arial"/>
                <w:b/>
                <w:color w:val="FFFFFF"/>
                <w:sz w:val="12"/>
              </w:rPr>
              <w:t>Linked source</w:t>
            </w:r>
          </w:p>
        </w:tc>
        <w:tc>
          <w:tcPr>
            <w:tcW w:type="dxa" w:w="520"/>
            <w:tcMar>
              <w:top w:w="55" w:type="dxa"/>
              <w:start w:w="60" w:type="dxa"/>
              <w:bottom w:w="55" w:type="dxa"/>
              <w:end w:w="60" w:type="dxa"/>
            </w:tcMar>
            <w:shd w:fill="1B1B1C"/>
          </w:tcPr>
          <w:p>
            <w:pPr>
              <w:spacing w:after="0"/>
            </w:pPr>
            <w:r>
              <w:rPr>
                <w:rFonts w:ascii="Arial" w:hAnsi="Arial"/>
                <w:b/>
                <w:color w:val="FFFFFF"/>
                <w:sz w:val="12"/>
              </w:rPr>
              <w:t>ID</w:t>
            </w:r>
          </w:p>
        </w:tc>
        <w:tc>
          <w:tcPr>
            <w:tcW w:type="dxa" w:w="4160"/>
            <w:tcMar>
              <w:top w:w="55" w:type="dxa"/>
              <w:start w:w="60" w:type="dxa"/>
              <w:bottom w:w="55" w:type="dxa"/>
              <w:end w:w="60" w:type="dxa"/>
            </w:tcMar>
            <w:shd w:fill="1B1B1C"/>
          </w:tcPr>
          <w:p>
            <w:pPr>
              <w:spacing w:after="0"/>
            </w:pPr>
            <w:r>
              <w:rPr>
                <w:rFonts w:ascii="Arial" w:hAnsi="Arial"/>
                <w:b/>
                <w:color w:val="FFFFFF"/>
                <w:sz w:val="12"/>
              </w:rPr>
              <w:t>Linked source</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I01</w:t>
            </w:r>
          </w:p>
        </w:tc>
        <w:tc>
          <w:tcPr>
            <w:tcW w:type="dxa" w:w="4160"/>
            <w:tcMar>
              <w:top w:w="42" w:type="dxa"/>
              <w:start w:w="70" w:type="dxa"/>
              <w:bottom w:w="42" w:type="dxa"/>
              <w:end w:w="70" w:type="dxa"/>
            </w:tcMar>
            <w:vAlign w:val="center"/>
          </w:tcPr>
          <w:p>
            <w:pPr>
              <w:spacing w:after="20"/>
            </w:pPr>
            <w:hyperlink r:id="rId48">
              <w:r>
                <w:rPr>
                  <w:color w:val="2F7F9E"/>
                  <w:rFonts w:ascii="Arial" w:hAnsi="Arial"/>
                  <w:sz w:val="12"/>
                  <w:b/>
                  <w:u w:val="none"/>
                </w:rPr>
                <w:t>ISO/IEC 38505-1:2017 - Governance of data, Part 1</w:t>
              </w:r>
            </w:hyperlink>
          </w:p>
          <w:p>
            <w:pPr>
              <w:spacing w:before="0" w:after="0"/>
            </w:pPr>
            <w:r>
              <w:rPr>
                <w:rFonts w:ascii="Arial" w:hAnsi="Arial"/>
                <w:color w:val="7D766A"/>
                <w:sz w:val="10"/>
              </w:rPr>
              <w:t>ISO/IEC | Published; confirmed 2022</w:t>
            </w:r>
          </w:p>
        </w:tc>
        <w:tc>
          <w:tcPr>
            <w:tcW w:type="dxa" w:w="520"/>
            <w:tcMar>
              <w:top w:w="42" w:type="dxa"/>
              <w:start w:w="55" w:type="dxa"/>
              <w:bottom w:w="42" w:type="dxa"/>
              <w:end w:w="55" w:type="dxa"/>
            </w:tcMar>
            <w:vAlign w:val="center"/>
          </w:tcPr>
          <w:p>
            <w:pPr>
              <w:spacing w:after="0"/>
            </w:pPr>
            <w:r>
              <w:rPr>
                <w:rFonts w:ascii="Arial" w:hAnsi="Arial"/>
                <w:b/>
                <w:color w:val="0E2530"/>
                <w:sz w:val="12"/>
              </w:rPr>
              <w:t>I02</w:t>
            </w:r>
          </w:p>
        </w:tc>
        <w:tc>
          <w:tcPr>
            <w:tcW w:type="dxa" w:w="4160"/>
            <w:tcMar>
              <w:top w:w="42" w:type="dxa"/>
              <w:start w:w="70" w:type="dxa"/>
              <w:bottom w:w="42" w:type="dxa"/>
              <w:end w:w="70" w:type="dxa"/>
            </w:tcMar>
            <w:vAlign w:val="center"/>
          </w:tcPr>
          <w:p>
            <w:pPr>
              <w:spacing w:after="20"/>
            </w:pPr>
            <w:hyperlink r:id="rId49">
              <w:r>
                <w:rPr>
                  <w:color w:val="2F7F9E"/>
                  <w:rFonts w:ascii="Arial" w:hAnsi="Arial"/>
                  <w:sz w:val="12"/>
                  <w:b/>
                  <w:u w:val="none"/>
                </w:rPr>
                <w:t>ISO/IEC TR 38505-2:2018 - Implications of ISO/IEC 38505-1 for data management</w:t>
              </w:r>
            </w:hyperlink>
          </w:p>
          <w:p>
            <w:pPr>
              <w:spacing w:before="0" w:after="0"/>
            </w:pPr>
            <w:r>
              <w:rPr>
                <w:rFonts w:ascii="Arial" w:hAnsi="Arial"/>
                <w:color w:val="7D766A"/>
                <w:sz w:val="10"/>
              </w:rPr>
              <w:t>ISO/IEC | Published; confirmed 2023</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I03</w:t>
            </w:r>
          </w:p>
        </w:tc>
        <w:tc>
          <w:tcPr>
            <w:tcW w:type="dxa" w:w="4160"/>
            <w:shd w:fill="F1EFE5"/>
            <w:tcMar>
              <w:top w:w="42" w:type="dxa"/>
              <w:start w:w="70" w:type="dxa"/>
              <w:bottom w:w="42" w:type="dxa"/>
              <w:end w:w="70" w:type="dxa"/>
            </w:tcMar>
            <w:vAlign w:val="center"/>
          </w:tcPr>
          <w:p>
            <w:pPr>
              <w:spacing w:after="20"/>
            </w:pPr>
            <w:hyperlink r:id="rId50">
              <w:r>
                <w:rPr>
                  <w:color w:val="2F7F9E"/>
                  <w:rFonts w:ascii="Arial" w:hAnsi="Arial"/>
                  <w:sz w:val="12"/>
                  <w:b/>
                  <w:u w:val="none"/>
                </w:rPr>
                <w:t>ISO/IEC TS 38505-3:2021 - Governance of data, Part 3: Data classification</w:t>
              </w:r>
            </w:hyperlink>
          </w:p>
          <w:p>
            <w:pPr>
              <w:spacing w:before="0" w:after="0"/>
            </w:pPr>
            <w:r>
              <w:rPr>
                <w:rFonts w:ascii="Arial" w:hAnsi="Arial"/>
                <w:color w:val="7D766A"/>
                <w:sz w:val="10"/>
              </w:rPr>
              <w:t>ISO/IEC | Published</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I04</w:t>
            </w:r>
          </w:p>
        </w:tc>
        <w:tc>
          <w:tcPr>
            <w:tcW w:type="dxa" w:w="4160"/>
            <w:shd w:fill="F1EFE5"/>
            <w:tcMar>
              <w:top w:w="42" w:type="dxa"/>
              <w:start w:w="70" w:type="dxa"/>
              <w:bottom w:w="42" w:type="dxa"/>
              <w:end w:w="70" w:type="dxa"/>
            </w:tcMar>
            <w:vAlign w:val="center"/>
          </w:tcPr>
          <w:p>
            <w:pPr>
              <w:spacing w:after="20"/>
            </w:pPr>
            <w:hyperlink r:id="rId51">
              <w:r>
                <w:rPr>
                  <w:color w:val="2F7F9E"/>
                  <w:rFonts w:ascii="Arial" w:hAnsi="Arial"/>
                  <w:sz w:val="12"/>
                  <w:b/>
                  <w:u w:val="none"/>
                </w:rPr>
                <w:t>ISO/IEC 5259-1:2024 - Data quality for analytics and ML: overview</w:t>
              </w:r>
            </w:hyperlink>
          </w:p>
          <w:p>
            <w:pPr>
              <w:spacing w:before="0" w:after="0"/>
            </w:pPr>
            <w:r>
              <w:rPr>
                <w:rFonts w:ascii="Arial" w:hAnsi="Arial"/>
                <w:color w:val="7D766A"/>
                <w:sz w:val="10"/>
              </w:rPr>
              <w:t>ISO/IEC | Published</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I05</w:t>
            </w:r>
          </w:p>
        </w:tc>
        <w:tc>
          <w:tcPr>
            <w:tcW w:type="dxa" w:w="4160"/>
            <w:tcMar>
              <w:top w:w="42" w:type="dxa"/>
              <w:start w:w="70" w:type="dxa"/>
              <w:bottom w:w="42" w:type="dxa"/>
              <w:end w:w="70" w:type="dxa"/>
            </w:tcMar>
            <w:vAlign w:val="center"/>
          </w:tcPr>
          <w:p>
            <w:pPr>
              <w:spacing w:after="20"/>
            </w:pPr>
            <w:hyperlink r:id="rId52">
              <w:r>
                <w:rPr>
                  <w:color w:val="2F7F9E"/>
                  <w:rFonts w:ascii="Arial" w:hAnsi="Arial"/>
                  <w:sz w:val="12"/>
                  <w:b/>
                  <w:u w:val="none"/>
                </w:rPr>
                <w:t>ISO/IEC 5259-2:2024 - Data quality measures</w:t>
              </w:r>
            </w:hyperlink>
          </w:p>
          <w:p>
            <w:pPr>
              <w:spacing w:before="0" w:after="0"/>
            </w:pPr>
            <w:r>
              <w:rPr>
                <w:rFonts w:ascii="Arial" w:hAnsi="Arial"/>
                <w:color w:val="7D766A"/>
                <w:sz w:val="10"/>
              </w:rPr>
              <w:t>ISO/IEC | Published</w:t>
            </w:r>
          </w:p>
        </w:tc>
        <w:tc>
          <w:tcPr>
            <w:tcW w:type="dxa" w:w="520"/>
            <w:tcMar>
              <w:top w:w="42" w:type="dxa"/>
              <w:start w:w="55" w:type="dxa"/>
              <w:bottom w:w="42" w:type="dxa"/>
              <w:end w:w="55" w:type="dxa"/>
            </w:tcMar>
            <w:vAlign w:val="center"/>
          </w:tcPr>
          <w:p>
            <w:pPr>
              <w:spacing w:after="0"/>
            </w:pPr>
            <w:r>
              <w:rPr>
                <w:rFonts w:ascii="Arial" w:hAnsi="Arial"/>
                <w:b/>
                <w:color w:val="0E2530"/>
                <w:sz w:val="12"/>
              </w:rPr>
              <w:t>I06</w:t>
            </w:r>
          </w:p>
        </w:tc>
        <w:tc>
          <w:tcPr>
            <w:tcW w:type="dxa" w:w="4160"/>
            <w:tcMar>
              <w:top w:w="42" w:type="dxa"/>
              <w:start w:w="70" w:type="dxa"/>
              <w:bottom w:w="42" w:type="dxa"/>
              <w:end w:w="70" w:type="dxa"/>
            </w:tcMar>
            <w:vAlign w:val="center"/>
          </w:tcPr>
          <w:p>
            <w:pPr>
              <w:spacing w:after="20"/>
            </w:pPr>
            <w:hyperlink r:id="rId53">
              <w:r>
                <w:rPr>
                  <w:color w:val="2F7F9E"/>
                  <w:rFonts w:ascii="Arial" w:hAnsi="Arial"/>
                  <w:sz w:val="12"/>
                  <w:b/>
                  <w:u w:val="none"/>
                </w:rPr>
                <w:t>ISO/IEC 5259-3:2024 - Data quality management requirements and guidelines</w:t>
              </w:r>
            </w:hyperlink>
          </w:p>
          <w:p>
            <w:pPr>
              <w:spacing w:before="0" w:after="0"/>
            </w:pPr>
            <w:r>
              <w:rPr>
                <w:rFonts w:ascii="Arial" w:hAnsi="Arial"/>
                <w:color w:val="7D766A"/>
                <w:sz w:val="10"/>
              </w:rPr>
              <w:t>ISO/IEC | Published</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I07</w:t>
            </w:r>
          </w:p>
        </w:tc>
        <w:tc>
          <w:tcPr>
            <w:tcW w:type="dxa" w:w="4160"/>
            <w:shd w:fill="F1EFE5"/>
            <w:tcMar>
              <w:top w:w="42" w:type="dxa"/>
              <w:start w:w="70" w:type="dxa"/>
              <w:bottom w:w="42" w:type="dxa"/>
              <w:end w:w="70" w:type="dxa"/>
            </w:tcMar>
            <w:vAlign w:val="center"/>
          </w:tcPr>
          <w:p>
            <w:pPr>
              <w:spacing w:after="20"/>
            </w:pPr>
            <w:hyperlink r:id="rId54">
              <w:r>
                <w:rPr>
                  <w:color w:val="2F7F9E"/>
                  <w:rFonts w:ascii="Arial" w:hAnsi="Arial"/>
                  <w:sz w:val="12"/>
                  <w:b/>
                  <w:u w:val="none"/>
                </w:rPr>
                <w:t>ISO/IEC 5259-4:2024 - Data quality process framework</w:t>
              </w:r>
            </w:hyperlink>
          </w:p>
          <w:p>
            <w:pPr>
              <w:spacing w:before="0" w:after="0"/>
            </w:pPr>
            <w:r>
              <w:rPr>
                <w:rFonts w:ascii="Arial" w:hAnsi="Arial"/>
                <w:color w:val="7D766A"/>
                <w:sz w:val="10"/>
              </w:rPr>
              <w:t>ISO/IEC | Published</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I08</w:t>
            </w:r>
          </w:p>
        </w:tc>
        <w:tc>
          <w:tcPr>
            <w:tcW w:type="dxa" w:w="4160"/>
            <w:shd w:fill="F1EFE5"/>
            <w:tcMar>
              <w:top w:w="42" w:type="dxa"/>
              <w:start w:w="70" w:type="dxa"/>
              <w:bottom w:w="42" w:type="dxa"/>
              <w:end w:w="70" w:type="dxa"/>
            </w:tcMar>
            <w:vAlign w:val="center"/>
          </w:tcPr>
          <w:p>
            <w:pPr>
              <w:spacing w:after="20"/>
            </w:pPr>
            <w:hyperlink r:id="rId55">
              <w:r>
                <w:rPr>
                  <w:color w:val="2F7F9E"/>
                  <w:rFonts w:ascii="Arial" w:hAnsi="Arial"/>
                  <w:sz w:val="12"/>
                  <w:b/>
                  <w:u w:val="none"/>
                </w:rPr>
                <w:t>ISO/IEC 5259-5:2025 - Data quality governance framework</w:t>
              </w:r>
            </w:hyperlink>
          </w:p>
          <w:p>
            <w:pPr>
              <w:spacing w:before="0" w:after="0"/>
            </w:pPr>
            <w:r>
              <w:rPr>
                <w:rFonts w:ascii="Arial" w:hAnsi="Arial"/>
                <w:color w:val="7D766A"/>
                <w:sz w:val="10"/>
              </w:rPr>
              <w:t>ISO/IEC | Published</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I09</w:t>
            </w:r>
          </w:p>
        </w:tc>
        <w:tc>
          <w:tcPr>
            <w:tcW w:type="dxa" w:w="4160"/>
            <w:tcMar>
              <w:top w:w="42" w:type="dxa"/>
              <w:start w:w="70" w:type="dxa"/>
              <w:bottom w:w="42" w:type="dxa"/>
              <w:end w:w="70" w:type="dxa"/>
            </w:tcMar>
            <w:vAlign w:val="center"/>
          </w:tcPr>
          <w:p>
            <w:pPr>
              <w:spacing w:after="20"/>
            </w:pPr>
            <w:hyperlink r:id="rId56">
              <w:r>
                <w:rPr>
                  <w:color w:val="2F7F9E"/>
                  <w:rFonts w:ascii="Arial" w:hAnsi="Arial"/>
                  <w:sz w:val="12"/>
                  <w:b/>
                  <w:u w:val="none"/>
                </w:rPr>
                <w:t>ISO/IEC TR 5259-6:2026 - Visualization framework for data quality</w:t>
              </w:r>
            </w:hyperlink>
          </w:p>
          <w:p>
            <w:pPr>
              <w:spacing w:before="0" w:after="0"/>
            </w:pPr>
            <w:r>
              <w:rPr>
                <w:rFonts w:ascii="Arial" w:hAnsi="Arial"/>
                <w:color w:val="7D766A"/>
                <w:sz w:val="10"/>
              </w:rPr>
              <w:t>ISO/IEC | Published</w:t>
            </w:r>
          </w:p>
        </w:tc>
        <w:tc>
          <w:tcPr>
            <w:tcW w:type="dxa" w:w="520"/>
            <w:tcMar>
              <w:top w:w="42" w:type="dxa"/>
              <w:start w:w="55" w:type="dxa"/>
              <w:bottom w:w="42" w:type="dxa"/>
              <w:end w:w="55" w:type="dxa"/>
            </w:tcMar>
            <w:vAlign w:val="center"/>
          </w:tcPr>
          <w:p>
            <w:pPr>
              <w:spacing w:after="0"/>
            </w:pPr>
            <w:r>
              <w:rPr>
                <w:rFonts w:ascii="Arial" w:hAnsi="Arial"/>
                <w:b/>
                <w:color w:val="0E2530"/>
                <w:sz w:val="12"/>
              </w:rPr>
              <w:t>I10</w:t>
            </w:r>
          </w:p>
        </w:tc>
        <w:tc>
          <w:tcPr>
            <w:tcW w:type="dxa" w:w="4160"/>
            <w:tcMar>
              <w:top w:w="42" w:type="dxa"/>
              <w:start w:w="70" w:type="dxa"/>
              <w:bottom w:w="42" w:type="dxa"/>
              <w:end w:w="70" w:type="dxa"/>
            </w:tcMar>
            <w:vAlign w:val="center"/>
          </w:tcPr>
          <w:p>
            <w:pPr>
              <w:spacing w:after="20"/>
            </w:pPr>
            <w:hyperlink r:id="rId57">
              <w:r>
                <w:rPr>
                  <w:color w:val="2F7F9E"/>
                  <w:rFonts w:ascii="Arial" w:hAnsi="Arial"/>
                  <w:sz w:val="12"/>
                  <w:b/>
                  <w:u w:val="none"/>
                </w:rPr>
                <w:t>ISO/IEC 25012:2008 - Data quality model</w:t>
              </w:r>
            </w:hyperlink>
          </w:p>
          <w:p>
            <w:pPr>
              <w:spacing w:before="0" w:after="0"/>
            </w:pPr>
            <w:r>
              <w:rPr>
                <w:rFonts w:ascii="Arial" w:hAnsi="Arial"/>
                <w:color w:val="7D766A"/>
                <w:sz w:val="10"/>
              </w:rPr>
              <w:t>ISO/IEC | Published; confirmed 2025</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I11</w:t>
            </w:r>
          </w:p>
        </w:tc>
        <w:tc>
          <w:tcPr>
            <w:tcW w:type="dxa" w:w="4160"/>
            <w:shd w:fill="F1EFE5"/>
            <w:tcMar>
              <w:top w:w="42" w:type="dxa"/>
              <w:start w:w="70" w:type="dxa"/>
              <w:bottom w:w="42" w:type="dxa"/>
              <w:end w:w="70" w:type="dxa"/>
            </w:tcMar>
            <w:vAlign w:val="center"/>
          </w:tcPr>
          <w:p>
            <w:pPr>
              <w:spacing w:after="20"/>
            </w:pPr>
            <w:hyperlink r:id="rId58">
              <w:r>
                <w:rPr>
                  <w:color w:val="2F7F9E"/>
                  <w:rFonts w:ascii="Arial" w:hAnsi="Arial"/>
                  <w:sz w:val="12"/>
                  <w:b/>
                  <w:u w:val="none"/>
                </w:rPr>
                <w:t>ISO 8000-1:2022 - Data quality overview</w:t>
              </w:r>
            </w:hyperlink>
          </w:p>
          <w:p>
            <w:pPr>
              <w:spacing w:before="0" w:after="0"/>
            </w:pPr>
            <w:r>
              <w:rPr>
                <w:rFonts w:ascii="Arial" w:hAnsi="Arial"/>
                <w:color w:val="7D766A"/>
                <w:sz w:val="10"/>
              </w:rPr>
              <w:t>ISO | Published; confirmed 2024</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I12</w:t>
            </w:r>
          </w:p>
        </w:tc>
        <w:tc>
          <w:tcPr>
            <w:tcW w:type="dxa" w:w="4160"/>
            <w:shd w:fill="F1EFE5"/>
            <w:tcMar>
              <w:top w:w="42" w:type="dxa"/>
              <w:start w:w="70" w:type="dxa"/>
              <w:bottom w:w="42" w:type="dxa"/>
              <w:end w:w="70" w:type="dxa"/>
            </w:tcMar>
            <w:vAlign w:val="center"/>
          </w:tcPr>
          <w:p>
            <w:pPr>
              <w:spacing w:after="20"/>
            </w:pPr>
            <w:hyperlink r:id="rId59">
              <w:r>
                <w:rPr>
                  <w:color w:val="2F7F9E"/>
                  <w:rFonts w:ascii="Arial" w:hAnsi="Arial"/>
                  <w:sz w:val="12"/>
                  <w:b/>
                  <w:u w:val="none"/>
                </w:rPr>
                <w:t>ISO 8000-61:2016 - Data quality management process reference model</w:t>
              </w:r>
            </w:hyperlink>
          </w:p>
          <w:p>
            <w:pPr>
              <w:spacing w:before="0" w:after="0"/>
            </w:pPr>
            <w:r>
              <w:rPr>
                <w:rFonts w:ascii="Arial" w:hAnsi="Arial"/>
                <w:color w:val="7D766A"/>
                <w:sz w:val="10"/>
              </w:rPr>
              <w:t>ISO | Published; confirmed 2022</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I13</w:t>
            </w:r>
          </w:p>
        </w:tc>
        <w:tc>
          <w:tcPr>
            <w:tcW w:type="dxa" w:w="4160"/>
            <w:tcMar>
              <w:top w:w="42" w:type="dxa"/>
              <w:start w:w="70" w:type="dxa"/>
              <w:bottom w:w="42" w:type="dxa"/>
              <w:end w:w="70" w:type="dxa"/>
            </w:tcMar>
            <w:vAlign w:val="center"/>
          </w:tcPr>
          <w:p>
            <w:pPr>
              <w:spacing w:after="20"/>
            </w:pPr>
            <w:hyperlink r:id="rId60">
              <w:r>
                <w:rPr>
                  <w:color w:val="2F7F9E"/>
                  <w:rFonts w:ascii="Arial" w:hAnsi="Arial"/>
                  <w:sz w:val="12"/>
                  <w:b/>
                  <w:u w:val="none"/>
                </w:rPr>
                <w:t>ISO 8000-64:2022 - Organizational process maturity assessment</w:t>
              </w:r>
            </w:hyperlink>
          </w:p>
          <w:p>
            <w:pPr>
              <w:spacing w:before="0" w:after="0"/>
            </w:pPr>
            <w:r>
              <w:rPr>
                <w:rFonts w:ascii="Arial" w:hAnsi="Arial"/>
                <w:color w:val="7D766A"/>
                <w:sz w:val="10"/>
              </w:rPr>
              <w:t>ISO | Published</w:t>
            </w:r>
          </w:p>
        </w:tc>
        <w:tc>
          <w:tcPr>
            <w:tcW w:type="dxa" w:w="520"/>
            <w:tcMar>
              <w:top w:w="42" w:type="dxa"/>
              <w:start w:w="55" w:type="dxa"/>
              <w:bottom w:w="42" w:type="dxa"/>
              <w:end w:w="55" w:type="dxa"/>
            </w:tcMar>
            <w:vAlign w:val="center"/>
          </w:tcPr>
          <w:p>
            <w:pPr>
              <w:spacing w:after="0"/>
            </w:pPr>
            <w:r>
              <w:rPr>
                <w:rFonts w:ascii="Arial" w:hAnsi="Arial"/>
                <w:b/>
                <w:color w:val="0E2530"/>
                <w:sz w:val="12"/>
              </w:rPr>
              <w:t>I14</w:t>
            </w:r>
          </w:p>
        </w:tc>
        <w:tc>
          <w:tcPr>
            <w:tcW w:type="dxa" w:w="4160"/>
            <w:tcMar>
              <w:top w:w="42" w:type="dxa"/>
              <w:start w:w="70" w:type="dxa"/>
              <w:bottom w:w="42" w:type="dxa"/>
              <w:end w:w="70" w:type="dxa"/>
            </w:tcMar>
            <w:vAlign w:val="center"/>
          </w:tcPr>
          <w:p>
            <w:pPr>
              <w:spacing w:after="20"/>
            </w:pPr>
            <w:hyperlink r:id="rId61">
              <w:r>
                <w:rPr>
                  <w:color w:val="2F7F9E"/>
                  <w:rFonts w:ascii="Arial" w:hAnsi="Arial"/>
                  <w:sz w:val="12"/>
                  <w:b/>
                  <w:u w:val="none"/>
                </w:rPr>
                <w:t>ISO/IEC 11179-1:2023 - Metadata registries framework</w:t>
              </w:r>
            </w:hyperlink>
          </w:p>
          <w:p>
            <w:pPr>
              <w:spacing w:before="0" w:after="0"/>
            </w:pPr>
            <w:r>
              <w:rPr>
                <w:rFonts w:ascii="Arial" w:hAnsi="Arial"/>
                <w:color w:val="7D766A"/>
                <w:sz w:val="10"/>
              </w:rPr>
              <w:t>ISO/IEC | Published</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I15</w:t>
            </w:r>
          </w:p>
        </w:tc>
        <w:tc>
          <w:tcPr>
            <w:tcW w:type="dxa" w:w="4160"/>
            <w:shd w:fill="F1EFE5"/>
            <w:tcMar>
              <w:top w:w="42" w:type="dxa"/>
              <w:start w:w="70" w:type="dxa"/>
              <w:bottom w:w="42" w:type="dxa"/>
              <w:end w:w="70" w:type="dxa"/>
            </w:tcMar>
            <w:vAlign w:val="center"/>
          </w:tcPr>
          <w:p>
            <w:pPr>
              <w:spacing w:after="20"/>
            </w:pPr>
            <w:hyperlink r:id="rId62">
              <w:r>
                <w:rPr>
                  <w:color w:val="2F7F9E"/>
                  <w:rFonts w:ascii="Arial" w:hAnsi="Arial"/>
                  <w:sz w:val="12"/>
                  <w:b/>
                  <w:u w:val="none"/>
                </w:rPr>
                <w:t>ISO/IEC 11179-30:2023 - Basic attributes of metadata</w:t>
              </w:r>
            </w:hyperlink>
          </w:p>
          <w:p>
            <w:pPr>
              <w:spacing w:before="0" w:after="0"/>
            </w:pPr>
            <w:r>
              <w:rPr>
                <w:rFonts w:ascii="Arial" w:hAnsi="Arial"/>
                <w:color w:val="7D766A"/>
                <w:sz w:val="10"/>
              </w:rPr>
              <w:t>ISO/IEC | Published</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I16</w:t>
            </w:r>
          </w:p>
        </w:tc>
        <w:tc>
          <w:tcPr>
            <w:tcW w:type="dxa" w:w="4160"/>
            <w:shd w:fill="F1EFE5"/>
            <w:tcMar>
              <w:top w:w="42" w:type="dxa"/>
              <w:start w:w="70" w:type="dxa"/>
              <w:bottom w:w="42" w:type="dxa"/>
              <w:end w:w="70" w:type="dxa"/>
            </w:tcMar>
            <w:vAlign w:val="center"/>
          </w:tcPr>
          <w:p>
            <w:pPr>
              <w:spacing w:after="20"/>
            </w:pPr>
            <w:hyperlink r:id="rId63">
              <w:r>
                <w:rPr>
                  <w:color w:val="2F7F9E"/>
                  <w:rFonts w:ascii="Arial" w:hAnsi="Arial"/>
                  <w:sz w:val="12"/>
                  <w:b/>
                  <w:u w:val="none"/>
                </w:rPr>
                <w:t>ISO/IEC 11179-33:2023 - Dataset registration metamodel</w:t>
              </w:r>
            </w:hyperlink>
          </w:p>
          <w:p>
            <w:pPr>
              <w:spacing w:before="0" w:after="0"/>
            </w:pPr>
            <w:r>
              <w:rPr>
                <w:rFonts w:ascii="Arial" w:hAnsi="Arial"/>
                <w:color w:val="7D766A"/>
                <w:sz w:val="10"/>
              </w:rPr>
              <w:t>ISO/IEC | Published</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I17</w:t>
            </w:r>
          </w:p>
        </w:tc>
        <w:tc>
          <w:tcPr>
            <w:tcW w:type="dxa" w:w="4160"/>
            <w:tcMar>
              <w:top w:w="42" w:type="dxa"/>
              <w:start w:w="70" w:type="dxa"/>
              <w:bottom w:w="42" w:type="dxa"/>
              <w:end w:w="70" w:type="dxa"/>
            </w:tcMar>
            <w:vAlign w:val="center"/>
          </w:tcPr>
          <w:p>
            <w:pPr>
              <w:spacing w:after="20"/>
            </w:pPr>
            <w:hyperlink r:id="rId64">
              <w:r>
                <w:rPr>
                  <w:color w:val="2F7F9E"/>
                  <w:rFonts w:ascii="Arial" w:hAnsi="Arial"/>
                  <w:sz w:val="12"/>
                  <w:b/>
                  <w:u w:val="none"/>
                </w:rPr>
                <w:t>ISO/IEC 42001:2023 - AI management system</w:t>
              </w:r>
            </w:hyperlink>
          </w:p>
          <w:p>
            <w:pPr>
              <w:spacing w:before="0" w:after="0"/>
            </w:pPr>
            <w:r>
              <w:rPr>
                <w:rFonts w:ascii="Arial" w:hAnsi="Arial"/>
                <w:color w:val="7D766A"/>
                <w:sz w:val="10"/>
              </w:rPr>
              <w:t>ISO/IEC | Published</w:t>
            </w:r>
          </w:p>
        </w:tc>
        <w:tc>
          <w:tcPr>
            <w:tcW w:type="dxa" w:w="520"/>
            <w:tcMar>
              <w:top w:w="42" w:type="dxa"/>
              <w:start w:w="55" w:type="dxa"/>
              <w:bottom w:w="42" w:type="dxa"/>
              <w:end w:w="55" w:type="dxa"/>
            </w:tcMar>
            <w:vAlign w:val="center"/>
          </w:tcPr>
          <w:p>
            <w:pPr>
              <w:spacing w:after="0"/>
            </w:pPr>
            <w:r>
              <w:rPr>
                <w:rFonts w:ascii="Arial" w:hAnsi="Arial"/>
                <w:b/>
                <w:color w:val="0E2530"/>
                <w:sz w:val="12"/>
              </w:rPr>
              <w:t>I18</w:t>
            </w:r>
          </w:p>
        </w:tc>
        <w:tc>
          <w:tcPr>
            <w:tcW w:type="dxa" w:w="4160"/>
            <w:tcMar>
              <w:top w:w="42" w:type="dxa"/>
              <w:start w:w="70" w:type="dxa"/>
              <w:bottom w:w="42" w:type="dxa"/>
              <w:end w:w="70" w:type="dxa"/>
            </w:tcMar>
            <w:vAlign w:val="center"/>
          </w:tcPr>
          <w:p>
            <w:pPr>
              <w:spacing w:after="20"/>
            </w:pPr>
            <w:hyperlink r:id="rId65">
              <w:r>
                <w:rPr>
                  <w:color w:val="2F7F9E"/>
                  <w:rFonts w:ascii="Arial" w:hAnsi="Arial"/>
                  <w:sz w:val="12"/>
                  <w:b/>
                  <w:u w:val="none"/>
                </w:rPr>
                <w:t>ISO/IEC 23894:2023 - AI risk management guidance</w:t>
              </w:r>
            </w:hyperlink>
          </w:p>
          <w:p>
            <w:pPr>
              <w:spacing w:before="0" w:after="0"/>
            </w:pPr>
            <w:r>
              <w:rPr>
                <w:rFonts w:ascii="Arial" w:hAnsi="Arial"/>
                <w:color w:val="7D766A"/>
                <w:sz w:val="10"/>
              </w:rPr>
              <w:t>ISO/IEC | Published</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I19</w:t>
            </w:r>
          </w:p>
        </w:tc>
        <w:tc>
          <w:tcPr>
            <w:tcW w:type="dxa" w:w="4160"/>
            <w:shd w:fill="F1EFE5"/>
            <w:tcMar>
              <w:top w:w="42" w:type="dxa"/>
              <w:start w:w="70" w:type="dxa"/>
              <w:bottom w:w="42" w:type="dxa"/>
              <w:end w:w="70" w:type="dxa"/>
            </w:tcMar>
            <w:vAlign w:val="center"/>
          </w:tcPr>
          <w:p>
            <w:pPr>
              <w:spacing w:after="20"/>
            </w:pPr>
            <w:hyperlink r:id="rId66">
              <w:r>
                <w:rPr>
                  <w:color w:val="2F7F9E"/>
                  <w:rFonts w:ascii="Arial" w:hAnsi="Arial"/>
                  <w:sz w:val="12"/>
                  <w:b/>
                  <w:u w:val="none"/>
                </w:rPr>
                <w:t>ISO/IEC 5338:2023 - AI system life-cycle processes</w:t>
              </w:r>
            </w:hyperlink>
          </w:p>
          <w:p>
            <w:pPr>
              <w:spacing w:before="0" w:after="0"/>
            </w:pPr>
            <w:r>
              <w:rPr>
                <w:rFonts w:ascii="Arial" w:hAnsi="Arial"/>
                <w:color w:val="7D766A"/>
                <w:sz w:val="10"/>
              </w:rPr>
              <w:t>ISO/IEC | Published</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I20</w:t>
            </w:r>
          </w:p>
        </w:tc>
        <w:tc>
          <w:tcPr>
            <w:tcW w:type="dxa" w:w="4160"/>
            <w:shd w:fill="F1EFE5"/>
            <w:tcMar>
              <w:top w:w="42" w:type="dxa"/>
              <w:start w:w="70" w:type="dxa"/>
              <w:bottom w:w="42" w:type="dxa"/>
              <w:end w:w="70" w:type="dxa"/>
            </w:tcMar>
            <w:vAlign w:val="center"/>
          </w:tcPr>
          <w:p>
            <w:pPr>
              <w:spacing w:after="20"/>
            </w:pPr>
            <w:hyperlink r:id="rId67">
              <w:r>
                <w:rPr>
                  <w:color w:val="2F7F9E"/>
                  <w:rFonts w:ascii="Arial" w:hAnsi="Arial"/>
                  <w:sz w:val="12"/>
                  <w:b/>
                  <w:u w:val="none"/>
                </w:rPr>
                <w:t>ISO/IEC 27001:2022 - Information security management system</w:t>
              </w:r>
            </w:hyperlink>
          </w:p>
          <w:p>
            <w:pPr>
              <w:spacing w:before="0" w:after="0"/>
            </w:pPr>
            <w:r>
              <w:rPr>
                <w:rFonts w:ascii="Arial" w:hAnsi="Arial"/>
                <w:color w:val="7D766A"/>
                <w:sz w:val="10"/>
              </w:rPr>
              <w:t>ISO/IEC | Published; amended 2024</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I21</w:t>
            </w:r>
          </w:p>
        </w:tc>
        <w:tc>
          <w:tcPr>
            <w:tcW w:type="dxa" w:w="4160"/>
            <w:tcMar>
              <w:top w:w="42" w:type="dxa"/>
              <w:start w:w="70" w:type="dxa"/>
              <w:bottom w:w="42" w:type="dxa"/>
              <w:end w:w="70" w:type="dxa"/>
            </w:tcMar>
            <w:vAlign w:val="center"/>
          </w:tcPr>
          <w:p>
            <w:pPr>
              <w:spacing w:after="20"/>
            </w:pPr>
            <w:hyperlink r:id="rId68">
              <w:r>
                <w:rPr>
                  <w:color w:val="2F7F9E"/>
                  <w:rFonts w:ascii="Arial" w:hAnsi="Arial"/>
                  <w:sz w:val="12"/>
                  <w:b/>
                  <w:u w:val="none"/>
                </w:rPr>
                <w:t>ISO/IEC 27701:2025 - Privacy information management system</w:t>
              </w:r>
            </w:hyperlink>
          </w:p>
          <w:p>
            <w:pPr>
              <w:spacing w:before="0" w:after="0"/>
            </w:pPr>
            <w:r>
              <w:rPr>
                <w:rFonts w:ascii="Arial" w:hAnsi="Arial"/>
                <w:color w:val="7D766A"/>
                <w:sz w:val="10"/>
              </w:rPr>
              <w:t>ISO/IEC | Published</w:t>
            </w:r>
          </w:p>
        </w:tc>
        <w:tc>
          <w:tcPr>
            <w:tcW w:type="dxa" w:w="520"/>
            <w:tcMar>
              <w:top w:w="42" w:type="dxa"/>
              <w:start w:w="55" w:type="dxa"/>
              <w:bottom w:w="42" w:type="dxa"/>
              <w:end w:w="55" w:type="dxa"/>
            </w:tcMar>
            <w:vAlign w:val="center"/>
          </w:tcPr>
          <w:p>
            <w:pPr>
              <w:spacing w:after="0"/>
            </w:pPr>
            <w:r>
              <w:rPr>
                <w:rFonts w:ascii="Arial" w:hAnsi="Arial"/>
                <w:b/>
                <w:color w:val="0E2530"/>
                <w:sz w:val="12"/>
              </w:rPr>
              <w:t>I22</w:t>
            </w:r>
          </w:p>
        </w:tc>
        <w:tc>
          <w:tcPr>
            <w:tcW w:type="dxa" w:w="4160"/>
            <w:tcMar>
              <w:top w:w="42" w:type="dxa"/>
              <w:start w:w="70" w:type="dxa"/>
              <w:bottom w:w="42" w:type="dxa"/>
              <w:end w:w="70" w:type="dxa"/>
            </w:tcMar>
            <w:vAlign w:val="center"/>
          </w:tcPr>
          <w:p>
            <w:pPr>
              <w:spacing w:after="20"/>
            </w:pPr>
            <w:hyperlink r:id="rId69">
              <w:r>
                <w:rPr>
                  <w:color w:val="2F7F9E"/>
                  <w:rFonts w:ascii="Arial" w:hAnsi="Arial"/>
                  <w:sz w:val="12"/>
                  <w:b/>
                  <w:u w:val="none"/>
                </w:rPr>
                <w:t>ISO 15489-1:2016 - Records management concepts and principles</w:t>
              </w:r>
            </w:hyperlink>
          </w:p>
          <w:p>
            <w:pPr>
              <w:spacing w:before="0" w:after="0"/>
            </w:pPr>
            <w:r>
              <w:rPr>
                <w:rFonts w:ascii="Arial" w:hAnsi="Arial"/>
                <w:color w:val="7D766A"/>
                <w:sz w:val="10"/>
              </w:rPr>
              <w:t>ISO | Published; confirmed 2021</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I23</w:t>
            </w:r>
          </w:p>
        </w:tc>
        <w:tc>
          <w:tcPr>
            <w:tcW w:type="dxa" w:w="4160"/>
            <w:shd w:fill="F1EFE5"/>
            <w:tcMar>
              <w:top w:w="42" w:type="dxa"/>
              <w:start w:w="70" w:type="dxa"/>
              <w:bottom w:w="42" w:type="dxa"/>
              <w:end w:w="70" w:type="dxa"/>
            </w:tcMar>
            <w:vAlign w:val="center"/>
          </w:tcPr>
          <w:p>
            <w:pPr>
              <w:spacing w:after="20"/>
            </w:pPr>
            <w:hyperlink r:id="rId70">
              <w:r>
                <w:rPr>
                  <w:color w:val="2F7F9E"/>
                  <w:rFonts w:ascii="Arial" w:hAnsi="Arial"/>
                  <w:sz w:val="12"/>
                  <w:b/>
                  <w:u w:val="none"/>
                </w:rPr>
                <w:t>ISO 55001:2024 - Asset management system requirements</w:t>
              </w:r>
            </w:hyperlink>
          </w:p>
          <w:p>
            <w:pPr>
              <w:spacing w:before="0" w:after="0"/>
            </w:pPr>
            <w:r>
              <w:rPr>
                <w:rFonts w:ascii="Arial" w:hAnsi="Arial"/>
                <w:color w:val="7D766A"/>
                <w:sz w:val="10"/>
              </w:rPr>
              <w:t>ISO | Published</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I24</w:t>
            </w:r>
          </w:p>
        </w:tc>
        <w:tc>
          <w:tcPr>
            <w:tcW w:type="dxa" w:w="4160"/>
            <w:shd w:fill="F1EFE5"/>
            <w:tcMar>
              <w:top w:w="42" w:type="dxa"/>
              <w:start w:w="70" w:type="dxa"/>
              <w:bottom w:w="42" w:type="dxa"/>
              <w:end w:w="70" w:type="dxa"/>
            </w:tcMar>
            <w:vAlign w:val="center"/>
          </w:tcPr>
          <w:p>
            <w:pPr>
              <w:spacing w:after="20"/>
            </w:pPr>
            <w:hyperlink r:id="rId71">
              <w:r>
                <w:rPr>
                  <w:color w:val="2F7F9E"/>
                  <w:rFonts w:ascii="Arial" w:hAnsi="Arial"/>
                  <w:sz w:val="12"/>
                  <w:b/>
                  <w:u w:val="none"/>
                </w:rPr>
                <w:t>ISO 24516-1:2016 + Amd 1:2025 - Drinking-water distribution assets</w:t>
              </w:r>
            </w:hyperlink>
          </w:p>
          <w:p>
            <w:pPr>
              <w:spacing w:before="0" w:after="0"/>
            </w:pPr>
            <w:r>
              <w:rPr>
                <w:rFonts w:ascii="Arial" w:hAnsi="Arial"/>
                <w:color w:val="7D766A"/>
                <w:sz w:val="10"/>
              </w:rPr>
              <w:t>ISO | Published; revision planned</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I25</w:t>
            </w:r>
          </w:p>
        </w:tc>
        <w:tc>
          <w:tcPr>
            <w:tcW w:type="dxa" w:w="4160"/>
            <w:tcMar>
              <w:top w:w="42" w:type="dxa"/>
              <w:start w:w="70" w:type="dxa"/>
              <w:bottom w:w="42" w:type="dxa"/>
              <w:end w:w="70" w:type="dxa"/>
            </w:tcMar>
            <w:vAlign w:val="center"/>
          </w:tcPr>
          <w:p>
            <w:pPr>
              <w:spacing w:after="20"/>
            </w:pPr>
            <w:hyperlink r:id="rId72">
              <w:r>
                <w:rPr>
                  <w:color w:val="2F7F9E"/>
                  <w:rFonts w:ascii="Arial" w:hAnsi="Arial"/>
                  <w:sz w:val="12"/>
                  <w:b/>
                  <w:u w:val="none"/>
                </w:rPr>
                <w:t>ISO 24516-2:2019 - Waterworks asset management</w:t>
              </w:r>
            </w:hyperlink>
          </w:p>
          <w:p>
            <w:pPr>
              <w:spacing w:before="0" w:after="0"/>
            </w:pPr>
            <w:r>
              <w:rPr>
                <w:rFonts w:ascii="Arial" w:hAnsi="Arial"/>
                <w:color w:val="7D766A"/>
                <w:sz w:val="10"/>
              </w:rPr>
              <w:t>ISO | Published; revision planned</w:t>
            </w:r>
          </w:p>
        </w:tc>
        <w:tc>
          <w:tcPr>
            <w:tcW w:type="dxa" w:w="520"/>
            <w:tcMar>
              <w:top w:w="42" w:type="dxa"/>
              <w:start w:w="55" w:type="dxa"/>
              <w:bottom w:w="42" w:type="dxa"/>
              <w:end w:w="55" w:type="dxa"/>
            </w:tcMar>
            <w:vAlign w:val="center"/>
          </w:tcPr>
          <w:p>
            <w:pPr>
              <w:spacing w:after="0"/>
            </w:pPr>
            <w:r>
              <w:rPr>
                <w:rFonts w:ascii="Arial" w:hAnsi="Arial"/>
                <w:b/>
                <w:color w:val="0E2530"/>
                <w:sz w:val="12"/>
              </w:rPr>
              <w:t>I26</w:t>
            </w:r>
          </w:p>
        </w:tc>
        <w:tc>
          <w:tcPr>
            <w:tcW w:type="dxa" w:w="4160"/>
            <w:tcMar>
              <w:top w:w="42" w:type="dxa"/>
              <w:start w:w="70" w:type="dxa"/>
              <w:bottom w:w="42" w:type="dxa"/>
              <w:end w:w="70" w:type="dxa"/>
            </w:tcMar>
            <w:vAlign w:val="center"/>
          </w:tcPr>
          <w:p>
            <w:pPr>
              <w:spacing w:after="20"/>
            </w:pPr>
            <w:hyperlink r:id="rId73">
              <w:r>
                <w:rPr>
                  <w:color w:val="2F7F9E"/>
                  <w:rFonts w:ascii="Arial" w:hAnsi="Arial"/>
                  <w:sz w:val="12"/>
                  <w:b/>
                  <w:u w:val="none"/>
                </w:rPr>
                <w:t>ISO 24516-3:2017 - Wastewater collection-network assets</w:t>
              </w:r>
            </w:hyperlink>
          </w:p>
          <w:p>
            <w:pPr>
              <w:spacing w:before="0" w:after="0"/>
            </w:pPr>
            <w:r>
              <w:rPr>
                <w:rFonts w:ascii="Arial" w:hAnsi="Arial"/>
                <w:color w:val="7D766A"/>
                <w:sz w:val="10"/>
              </w:rPr>
              <w:t>ISO | Published; confirmed 2023</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W01</w:t>
            </w:r>
          </w:p>
        </w:tc>
        <w:tc>
          <w:tcPr>
            <w:tcW w:type="dxa" w:w="4160"/>
            <w:shd w:fill="F1EFE5"/>
            <w:tcMar>
              <w:top w:w="42" w:type="dxa"/>
              <w:start w:w="70" w:type="dxa"/>
              <w:bottom w:w="42" w:type="dxa"/>
              <w:end w:w="70" w:type="dxa"/>
            </w:tcMar>
            <w:vAlign w:val="center"/>
          </w:tcPr>
          <w:p>
            <w:pPr>
              <w:spacing w:after="20"/>
            </w:pPr>
            <w:hyperlink r:id="rId74">
              <w:r>
                <w:rPr>
                  <w:color w:val="2F7F9E"/>
                  <w:rFonts w:ascii="Arial" w:hAnsi="Arial"/>
                  <w:sz w:val="12"/>
                  <w:b/>
                  <w:u w:val="none"/>
                </w:rPr>
                <w:t>PROV-O: The PROV Ontology</w:t>
              </w:r>
            </w:hyperlink>
          </w:p>
          <w:p>
            <w:pPr>
              <w:spacing w:before="0" w:after="0"/>
            </w:pPr>
            <w:r>
              <w:rPr>
                <w:rFonts w:ascii="Arial" w:hAnsi="Arial"/>
                <w:color w:val="7D766A"/>
                <w:sz w:val="10"/>
              </w:rPr>
              <w:t>W3C | Recommendation</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W02</w:t>
            </w:r>
          </w:p>
        </w:tc>
        <w:tc>
          <w:tcPr>
            <w:tcW w:type="dxa" w:w="4160"/>
            <w:shd w:fill="F1EFE5"/>
            <w:tcMar>
              <w:top w:w="42" w:type="dxa"/>
              <w:start w:w="70" w:type="dxa"/>
              <w:bottom w:w="42" w:type="dxa"/>
              <w:end w:w="70" w:type="dxa"/>
            </w:tcMar>
            <w:vAlign w:val="center"/>
          </w:tcPr>
          <w:p>
            <w:pPr>
              <w:spacing w:after="20"/>
            </w:pPr>
            <w:hyperlink r:id="rId75">
              <w:r>
                <w:rPr>
                  <w:color w:val="2F7F9E"/>
                  <w:rFonts w:ascii="Arial" w:hAnsi="Arial"/>
                  <w:sz w:val="12"/>
                  <w:b/>
                  <w:u w:val="none"/>
                </w:rPr>
                <w:t>PROV Overview</w:t>
              </w:r>
            </w:hyperlink>
          </w:p>
          <w:p>
            <w:pPr>
              <w:spacing w:before="0" w:after="0"/>
            </w:pPr>
            <w:r>
              <w:rPr>
                <w:rFonts w:ascii="Arial" w:hAnsi="Arial"/>
                <w:color w:val="7D766A"/>
                <w:sz w:val="10"/>
              </w:rPr>
              <w:t>W3C | Working Group Note</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W03</w:t>
            </w:r>
          </w:p>
        </w:tc>
        <w:tc>
          <w:tcPr>
            <w:tcW w:type="dxa" w:w="4160"/>
            <w:tcMar>
              <w:top w:w="42" w:type="dxa"/>
              <w:start w:w="70" w:type="dxa"/>
              <w:bottom w:w="42" w:type="dxa"/>
              <w:end w:w="70" w:type="dxa"/>
            </w:tcMar>
            <w:vAlign w:val="center"/>
          </w:tcPr>
          <w:p>
            <w:pPr>
              <w:spacing w:after="20"/>
            </w:pPr>
            <w:hyperlink r:id="rId76">
              <w:r>
                <w:rPr>
                  <w:color w:val="2F7F9E"/>
                  <w:rFonts w:ascii="Arial" w:hAnsi="Arial"/>
                  <w:sz w:val="12"/>
                  <w:b/>
                  <w:u w:val="none"/>
                </w:rPr>
                <w:t>Data Catalog Vocabulary (DCAT) 3</w:t>
              </w:r>
            </w:hyperlink>
          </w:p>
          <w:p>
            <w:pPr>
              <w:spacing w:before="0" w:after="0"/>
            </w:pPr>
            <w:r>
              <w:rPr>
                <w:rFonts w:ascii="Arial" w:hAnsi="Arial"/>
                <w:color w:val="7D766A"/>
                <w:sz w:val="10"/>
              </w:rPr>
              <w:t>W3C | Recommendation; 2024</w:t>
            </w:r>
          </w:p>
        </w:tc>
        <w:tc>
          <w:tcPr>
            <w:tcW w:type="dxa" w:w="520"/>
            <w:tcMar>
              <w:top w:w="42" w:type="dxa"/>
              <w:start w:w="55" w:type="dxa"/>
              <w:bottom w:w="42" w:type="dxa"/>
              <w:end w:w="55" w:type="dxa"/>
            </w:tcMar>
            <w:vAlign w:val="center"/>
          </w:tcPr>
          <w:p>
            <w:pPr>
              <w:spacing w:after="0"/>
            </w:pPr>
            <w:r>
              <w:rPr>
                <w:rFonts w:ascii="Arial" w:hAnsi="Arial"/>
                <w:b/>
                <w:color w:val="0E2530"/>
                <w:sz w:val="12"/>
              </w:rPr>
              <w:t>W04</w:t>
            </w:r>
          </w:p>
        </w:tc>
        <w:tc>
          <w:tcPr>
            <w:tcW w:type="dxa" w:w="4160"/>
            <w:tcMar>
              <w:top w:w="42" w:type="dxa"/>
              <w:start w:w="70" w:type="dxa"/>
              <w:bottom w:w="42" w:type="dxa"/>
              <w:end w:w="70" w:type="dxa"/>
            </w:tcMar>
            <w:vAlign w:val="center"/>
          </w:tcPr>
          <w:p>
            <w:pPr>
              <w:spacing w:after="20"/>
            </w:pPr>
            <w:hyperlink r:id="rId77">
              <w:r>
                <w:rPr>
                  <w:color w:val="2F7F9E"/>
                  <w:rFonts w:ascii="Arial" w:hAnsi="Arial"/>
                  <w:sz w:val="12"/>
                  <w:b/>
                  <w:u w:val="none"/>
                </w:rPr>
                <w:t>Data Quality Vocabulary (DQV)</w:t>
              </w:r>
            </w:hyperlink>
          </w:p>
          <w:p>
            <w:pPr>
              <w:spacing w:before="0" w:after="0"/>
            </w:pPr>
            <w:r>
              <w:rPr>
                <w:rFonts w:ascii="Arial" w:hAnsi="Arial"/>
                <w:color w:val="7D766A"/>
                <w:sz w:val="10"/>
              </w:rPr>
              <w:t>W3C | Working Group Note</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W05</w:t>
            </w:r>
          </w:p>
        </w:tc>
        <w:tc>
          <w:tcPr>
            <w:tcW w:type="dxa" w:w="4160"/>
            <w:shd w:fill="F1EFE5"/>
            <w:tcMar>
              <w:top w:w="42" w:type="dxa"/>
              <w:start w:w="70" w:type="dxa"/>
              <w:bottom w:w="42" w:type="dxa"/>
              <w:end w:w="70" w:type="dxa"/>
            </w:tcMar>
            <w:vAlign w:val="center"/>
          </w:tcPr>
          <w:p>
            <w:pPr>
              <w:spacing w:after="20"/>
            </w:pPr>
            <w:hyperlink r:id="rId78">
              <w:r>
                <w:rPr>
                  <w:color w:val="2F7F9E"/>
                  <w:rFonts w:ascii="Arial" w:hAnsi="Arial"/>
                  <w:sz w:val="12"/>
                  <w:b/>
                  <w:u w:val="none"/>
                </w:rPr>
                <w:t>Data on the Web Best Practices</w:t>
              </w:r>
            </w:hyperlink>
          </w:p>
          <w:p>
            <w:pPr>
              <w:spacing w:before="0" w:after="0"/>
            </w:pPr>
            <w:r>
              <w:rPr>
                <w:rFonts w:ascii="Arial" w:hAnsi="Arial"/>
                <w:color w:val="7D766A"/>
                <w:sz w:val="10"/>
              </w:rPr>
              <w:t>W3C | Recommendation</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W06</w:t>
            </w:r>
          </w:p>
        </w:tc>
        <w:tc>
          <w:tcPr>
            <w:tcW w:type="dxa" w:w="4160"/>
            <w:shd w:fill="F1EFE5"/>
            <w:tcMar>
              <w:top w:w="42" w:type="dxa"/>
              <w:start w:w="70" w:type="dxa"/>
              <w:bottom w:w="42" w:type="dxa"/>
              <w:end w:w="70" w:type="dxa"/>
            </w:tcMar>
            <w:vAlign w:val="center"/>
          </w:tcPr>
          <w:p>
            <w:pPr>
              <w:spacing w:after="20"/>
            </w:pPr>
            <w:hyperlink r:id="rId79">
              <w:r>
                <w:rPr>
                  <w:color w:val="2F7F9E"/>
                  <w:rFonts w:ascii="Arial" w:hAnsi="Arial"/>
                  <w:sz w:val="12"/>
                  <w:b/>
                  <w:u w:val="none"/>
                </w:rPr>
                <w:t>Shapes Constraint Language (SHACL)</w:t>
              </w:r>
            </w:hyperlink>
          </w:p>
          <w:p>
            <w:pPr>
              <w:spacing w:before="0" w:after="0"/>
            </w:pPr>
            <w:r>
              <w:rPr>
                <w:rFonts w:ascii="Arial" w:hAnsi="Arial"/>
                <w:color w:val="7D766A"/>
                <w:sz w:val="10"/>
              </w:rPr>
              <w:t>W3C | Recommendation</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W07</w:t>
            </w:r>
          </w:p>
        </w:tc>
        <w:tc>
          <w:tcPr>
            <w:tcW w:type="dxa" w:w="4160"/>
            <w:tcMar>
              <w:top w:w="42" w:type="dxa"/>
              <w:start w:w="70" w:type="dxa"/>
              <w:bottom w:w="42" w:type="dxa"/>
              <w:end w:w="70" w:type="dxa"/>
            </w:tcMar>
            <w:vAlign w:val="center"/>
          </w:tcPr>
          <w:p>
            <w:pPr>
              <w:spacing w:after="20"/>
            </w:pPr>
            <w:hyperlink r:id="rId80">
              <w:r>
                <w:rPr>
                  <w:color w:val="2F7F9E"/>
                  <w:rFonts w:ascii="Arial" w:hAnsi="Arial"/>
                  <w:sz w:val="12"/>
                  <w:b/>
                  <w:u w:val="none"/>
                </w:rPr>
                <w:t>ODRL Information Model 2.2</w:t>
              </w:r>
            </w:hyperlink>
          </w:p>
          <w:p>
            <w:pPr>
              <w:spacing w:before="0" w:after="0"/>
            </w:pPr>
            <w:r>
              <w:rPr>
                <w:rFonts w:ascii="Arial" w:hAnsi="Arial"/>
                <w:color w:val="7D766A"/>
                <w:sz w:val="10"/>
              </w:rPr>
              <w:t>W3C | Recommendation</w:t>
            </w:r>
          </w:p>
        </w:tc>
        <w:tc>
          <w:tcPr>
            <w:tcW w:type="dxa" w:w="520"/>
            <w:tcMar>
              <w:top w:w="42" w:type="dxa"/>
              <w:start w:w="55" w:type="dxa"/>
              <w:bottom w:w="42" w:type="dxa"/>
              <w:end w:w="55" w:type="dxa"/>
            </w:tcMar>
            <w:vAlign w:val="center"/>
          </w:tcPr>
          <w:p>
            <w:pPr>
              <w:spacing w:after="0"/>
            </w:pPr>
            <w:r>
              <w:rPr>
                <w:rFonts w:ascii="Arial" w:hAnsi="Arial"/>
                <w:b/>
                <w:color w:val="0E2530"/>
                <w:sz w:val="12"/>
              </w:rPr>
              <w:t>W08</w:t>
            </w:r>
          </w:p>
        </w:tc>
        <w:tc>
          <w:tcPr>
            <w:tcW w:type="dxa" w:w="4160"/>
            <w:tcMar>
              <w:top w:w="42" w:type="dxa"/>
              <w:start w:w="70" w:type="dxa"/>
              <w:bottom w:w="42" w:type="dxa"/>
              <w:end w:w="70" w:type="dxa"/>
            </w:tcMar>
            <w:vAlign w:val="center"/>
          </w:tcPr>
          <w:p>
            <w:pPr>
              <w:spacing w:after="20"/>
            </w:pPr>
            <w:hyperlink r:id="rId81">
              <w:r>
                <w:rPr>
                  <w:color w:val="2F7F9E"/>
                  <w:rFonts w:ascii="Arial" w:hAnsi="Arial"/>
                  <w:sz w:val="12"/>
                  <w:b/>
                  <w:u w:val="none"/>
                </w:rPr>
                <w:t>Verifiable Credentials Data Model 2.0</w:t>
              </w:r>
            </w:hyperlink>
          </w:p>
          <w:p>
            <w:pPr>
              <w:spacing w:before="0" w:after="0"/>
            </w:pPr>
            <w:r>
              <w:rPr>
                <w:rFonts w:ascii="Arial" w:hAnsi="Arial"/>
                <w:color w:val="7D766A"/>
                <w:sz w:val="10"/>
              </w:rPr>
              <w:t>W3C | Recommendation; 2025</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W09</w:t>
            </w:r>
          </w:p>
        </w:tc>
        <w:tc>
          <w:tcPr>
            <w:tcW w:type="dxa" w:w="4160"/>
            <w:shd w:fill="F1EFE5"/>
            <w:tcMar>
              <w:top w:w="42" w:type="dxa"/>
              <w:start w:w="70" w:type="dxa"/>
              <w:bottom w:w="42" w:type="dxa"/>
              <w:end w:w="70" w:type="dxa"/>
            </w:tcMar>
            <w:vAlign w:val="center"/>
          </w:tcPr>
          <w:p>
            <w:pPr>
              <w:spacing w:after="20"/>
            </w:pPr>
            <w:hyperlink r:id="rId82">
              <w:r>
                <w:rPr>
                  <w:color w:val="2F7F9E"/>
                  <w:rFonts w:ascii="Arial" w:hAnsi="Arial"/>
                  <w:sz w:val="12"/>
                  <w:b/>
                  <w:u w:val="none"/>
                </w:rPr>
                <w:t>Verifiable Credential Data Integrity 1.0</w:t>
              </w:r>
            </w:hyperlink>
          </w:p>
          <w:p>
            <w:pPr>
              <w:spacing w:before="0" w:after="0"/>
            </w:pPr>
            <w:r>
              <w:rPr>
                <w:rFonts w:ascii="Arial" w:hAnsi="Arial"/>
                <w:color w:val="7D766A"/>
                <w:sz w:val="10"/>
              </w:rPr>
              <w:t>W3C | Recommendation</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W10</w:t>
            </w:r>
          </w:p>
        </w:tc>
        <w:tc>
          <w:tcPr>
            <w:tcW w:type="dxa" w:w="4160"/>
            <w:shd w:fill="F1EFE5"/>
            <w:tcMar>
              <w:top w:w="42" w:type="dxa"/>
              <w:start w:w="70" w:type="dxa"/>
              <w:bottom w:w="42" w:type="dxa"/>
              <w:end w:w="70" w:type="dxa"/>
            </w:tcMar>
            <w:vAlign w:val="center"/>
          </w:tcPr>
          <w:p>
            <w:pPr>
              <w:spacing w:after="20"/>
            </w:pPr>
            <w:hyperlink r:id="rId83">
              <w:r>
                <w:rPr>
                  <w:color w:val="2F7F9E"/>
                  <w:rFonts w:ascii="Arial" w:hAnsi="Arial"/>
                  <w:sz w:val="12"/>
                  <w:b/>
                  <w:u w:val="none"/>
                </w:rPr>
                <w:t>RDF 1.1 Concepts and Abstract Syntax</w:t>
              </w:r>
            </w:hyperlink>
          </w:p>
          <w:p>
            <w:pPr>
              <w:spacing w:before="0" w:after="0"/>
            </w:pPr>
            <w:r>
              <w:rPr>
                <w:rFonts w:ascii="Arial" w:hAnsi="Arial"/>
                <w:color w:val="7D766A"/>
                <w:sz w:val="10"/>
              </w:rPr>
              <w:t>W3C | Recommendation</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W11</w:t>
            </w:r>
          </w:p>
        </w:tc>
        <w:tc>
          <w:tcPr>
            <w:tcW w:type="dxa" w:w="4160"/>
            <w:tcMar>
              <w:top w:w="42" w:type="dxa"/>
              <w:start w:w="70" w:type="dxa"/>
              <w:bottom w:w="42" w:type="dxa"/>
              <w:end w:w="70" w:type="dxa"/>
            </w:tcMar>
            <w:vAlign w:val="center"/>
          </w:tcPr>
          <w:p>
            <w:pPr>
              <w:spacing w:after="20"/>
            </w:pPr>
            <w:hyperlink r:id="rId84">
              <w:r>
                <w:rPr>
                  <w:color w:val="2F7F9E"/>
                  <w:rFonts w:ascii="Arial" w:hAnsi="Arial"/>
                  <w:sz w:val="12"/>
                  <w:b/>
                  <w:u w:val="none"/>
                </w:rPr>
                <w:t>SKOS Simple Knowledge Organization System</w:t>
              </w:r>
            </w:hyperlink>
          </w:p>
          <w:p>
            <w:pPr>
              <w:spacing w:before="0" w:after="0"/>
            </w:pPr>
            <w:r>
              <w:rPr>
                <w:rFonts w:ascii="Arial" w:hAnsi="Arial"/>
                <w:color w:val="7D766A"/>
                <w:sz w:val="10"/>
              </w:rPr>
              <w:t>W3C | Recommendation</w:t>
            </w:r>
          </w:p>
        </w:tc>
        <w:tc>
          <w:tcPr>
            <w:tcW w:type="dxa" w:w="520"/>
            <w:tcMar>
              <w:top w:w="42" w:type="dxa"/>
              <w:start w:w="55" w:type="dxa"/>
              <w:bottom w:w="42" w:type="dxa"/>
              <w:end w:w="55" w:type="dxa"/>
            </w:tcMar>
            <w:vAlign w:val="center"/>
          </w:tcPr>
          <w:p>
            <w:pPr>
              <w:spacing w:after="0"/>
            </w:pPr>
            <w:r>
              <w:rPr>
                <w:rFonts w:ascii="Arial" w:hAnsi="Arial"/>
                <w:b/>
                <w:color w:val="0E2530"/>
                <w:sz w:val="12"/>
              </w:rPr>
              <w:t>W12</w:t>
            </w:r>
          </w:p>
        </w:tc>
        <w:tc>
          <w:tcPr>
            <w:tcW w:type="dxa" w:w="4160"/>
            <w:tcMar>
              <w:top w:w="42" w:type="dxa"/>
              <w:start w:w="70" w:type="dxa"/>
              <w:bottom w:w="42" w:type="dxa"/>
              <w:end w:w="70" w:type="dxa"/>
            </w:tcMar>
            <w:vAlign w:val="center"/>
          </w:tcPr>
          <w:p>
            <w:pPr>
              <w:spacing w:after="20"/>
            </w:pPr>
            <w:hyperlink r:id="rId85">
              <w:r>
                <w:rPr>
                  <w:color w:val="2F7F9E"/>
                  <w:rFonts w:ascii="Arial" w:hAnsi="Arial"/>
                  <w:sz w:val="12"/>
                  <w:b/>
                  <w:u w:val="none"/>
                </w:rPr>
                <w:t>JSON-LD 1.1</w:t>
              </w:r>
            </w:hyperlink>
          </w:p>
          <w:p>
            <w:pPr>
              <w:spacing w:before="0" w:after="0"/>
            </w:pPr>
            <w:r>
              <w:rPr>
                <w:rFonts w:ascii="Arial" w:hAnsi="Arial"/>
                <w:color w:val="7D766A"/>
                <w:sz w:val="10"/>
              </w:rPr>
              <w:t>W3C | Recommendation</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N01</w:t>
            </w:r>
          </w:p>
        </w:tc>
        <w:tc>
          <w:tcPr>
            <w:tcW w:type="dxa" w:w="4160"/>
            <w:shd w:fill="F1EFE5"/>
            <w:tcMar>
              <w:top w:w="42" w:type="dxa"/>
              <w:start w:w="70" w:type="dxa"/>
              <w:bottom w:w="42" w:type="dxa"/>
              <w:end w:w="70" w:type="dxa"/>
            </w:tcMar>
            <w:vAlign w:val="center"/>
          </w:tcPr>
          <w:p>
            <w:pPr>
              <w:spacing w:after="20"/>
            </w:pPr>
            <w:hyperlink r:id="rId86">
              <w:r>
                <w:rPr>
                  <w:color w:val="2F7F9E"/>
                  <w:rFonts w:ascii="Arial" w:hAnsi="Arial"/>
                  <w:sz w:val="12"/>
                  <w:b/>
                  <w:u w:val="none"/>
                </w:rPr>
                <w:t>AI Risk Management Framework 1.0</w:t>
              </w:r>
            </w:hyperlink>
          </w:p>
          <w:p>
            <w:pPr>
              <w:spacing w:before="0" w:after="0"/>
            </w:pPr>
            <w:r>
              <w:rPr>
                <w:rFonts w:ascii="Arial" w:hAnsi="Arial"/>
                <w:color w:val="7D766A"/>
                <w:sz w:val="10"/>
              </w:rPr>
              <w:t>NIST | Current baseline; revision underway in 2026</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N02</w:t>
            </w:r>
          </w:p>
        </w:tc>
        <w:tc>
          <w:tcPr>
            <w:tcW w:type="dxa" w:w="4160"/>
            <w:shd w:fill="F1EFE5"/>
            <w:tcMar>
              <w:top w:w="42" w:type="dxa"/>
              <w:start w:w="70" w:type="dxa"/>
              <w:bottom w:w="42" w:type="dxa"/>
              <w:end w:w="70" w:type="dxa"/>
            </w:tcMar>
            <w:vAlign w:val="center"/>
          </w:tcPr>
          <w:p>
            <w:pPr>
              <w:spacing w:after="20"/>
            </w:pPr>
            <w:hyperlink r:id="rId87">
              <w:r>
                <w:rPr>
                  <w:color w:val="2F7F9E"/>
                  <w:rFonts w:ascii="Arial" w:hAnsi="Arial"/>
                  <w:sz w:val="12"/>
                  <w:b/>
                  <w:u w:val="none"/>
                </w:rPr>
                <w:t>Research Data Framework (RDaF), SP 1500-18r2</w:t>
              </w:r>
            </w:hyperlink>
          </w:p>
          <w:p>
            <w:pPr>
              <w:spacing w:before="0" w:after="0"/>
            </w:pPr>
            <w:r>
              <w:rPr>
                <w:rFonts w:ascii="Arial" w:hAnsi="Arial"/>
                <w:color w:val="7D766A"/>
                <w:sz w:val="10"/>
              </w:rPr>
              <w:t>NIST | Final</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N03</w:t>
            </w:r>
          </w:p>
        </w:tc>
        <w:tc>
          <w:tcPr>
            <w:tcW w:type="dxa" w:w="4160"/>
            <w:tcMar>
              <w:top w:w="42" w:type="dxa"/>
              <w:start w:w="70" w:type="dxa"/>
              <w:bottom w:w="42" w:type="dxa"/>
              <w:end w:w="70" w:type="dxa"/>
            </w:tcMar>
            <w:vAlign w:val="center"/>
          </w:tcPr>
          <w:p>
            <w:pPr>
              <w:spacing w:after="20"/>
            </w:pPr>
            <w:hyperlink r:id="rId88">
              <w:r>
                <w:rPr>
                  <w:color w:val="2F7F9E"/>
                  <w:rFonts w:ascii="Arial" w:hAnsi="Arial"/>
                  <w:sz w:val="12"/>
                  <w:b/>
                  <w:u w:val="none"/>
                </w:rPr>
                <w:t>CSRC glossary: provenance</w:t>
              </w:r>
            </w:hyperlink>
          </w:p>
          <w:p>
            <w:pPr>
              <w:spacing w:before="0" w:after="0"/>
            </w:pPr>
            <w:r>
              <w:rPr>
                <w:rFonts w:ascii="Arial" w:hAnsi="Arial"/>
                <w:color w:val="7D766A"/>
                <w:sz w:val="10"/>
              </w:rPr>
              <w:t>NIST | Current glossary entry</w:t>
            </w:r>
          </w:p>
        </w:tc>
        <w:tc>
          <w:tcPr>
            <w:tcW w:type="dxa" w:w="520"/>
            <w:tcMar>
              <w:top w:w="42" w:type="dxa"/>
              <w:start w:w="55" w:type="dxa"/>
              <w:bottom w:w="42" w:type="dxa"/>
              <w:end w:w="55" w:type="dxa"/>
            </w:tcMar>
            <w:vAlign w:val="center"/>
          </w:tcPr>
          <w:p>
            <w:pPr>
              <w:spacing w:after="0"/>
            </w:pPr>
            <w:r>
              <w:rPr>
                <w:rFonts w:ascii="Arial" w:hAnsi="Arial"/>
                <w:b/>
                <w:color w:val="0E2530"/>
                <w:sz w:val="12"/>
              </w:rPr>
              <w:t>N04</w:t>
            </w:r>
          </w:p>
        </w:tc>
        <w:tc>
          <w:tcPr>
            <w:tcW w:type="dxa" w:w="4160"/>
            <w:tcMar>
              <w:top w:w="42" w:type="dxa"/>
              <w:start w:w="70" w:type="dxa"/>
              <w:bottom w:w="42" w:type="dxa"/>
              <w:end w:w="70" w:type="dxa"/>
            </w:tcMar>
            <w:vAlign w:val="center"/>
          </w:tcPr>
          <w:p>
            <w:pPr>
              <w:spacing w:after="20"/>
            </w:pPr>
            <w:hyperlink r:id="rId89">
              <w:r>
                <w:rPr>
                  <w:color w:val="2F7F9E"/>
                  <w:rFonts w:ascii="Arial" w:hAnsi="Arial"/>
                  <w:sz w:val="12"/>
                  <w:b/>
                  <w:u w:val="none"/>
                </w:rPr>
                <w:t>SP 800-53 Rev. 5, Release 5.2.0</w:t>
              </w:r>
            </w:hyperlink>
          </w:p>
          <w:p>
            <w:pPr>
              <w:spacing w:before="0" w:after="0"/>
            </w:pPr>
            <w:r>
              <w:rPr>
                <w:rFonts w:ascii="Arial" w:hAnsi="Arial"/>
                <w:color w:val="7D766A"/>
                <w:sz w:val="10"/>
              </w:rPr>
              <w:t>NIST | Final; August 2025 release</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N05</w:t>
            </w:r>
          </w:p>
        </w:tc>
        <w:tc>
          <w:tcPr>
            <w:tcW w:type="dxa" w:w="4160"/>
            <w:shd w:fill="F1EFE5"/>
            <w:tcMar>
              <w:top w:w="42" w:type="dxa"/>
              <w:start w:w="70" w:type="dxa"/>
              <w:bottom w:w="42" w:type="dxa"/>
              <w:end w:w="70" w:type="dxa"/>
            </w:tcMar>
            <w:vAlign w:val="center"/>
          </w:tcPr>
          <w:p>
            <w:pPr>
              <w:spacing w:after="20"/>
            </w:pPr>
            <w:hyperlink r:id="rId90">
              <w:r>
                <w:rPr>
                  <w:color w:val="2F7F9E"/>
                  <w:rFonts w:ascii="Arial" w:hAnsi="Arial"/>
                  <w:sz w:val="12"/>
                  <w:b/>
                  <w:u w:val="none"/>
                </w:rPr>
                <w:t>SP 800-53A Rev. 5</w:t>
              </w:r>
            </w:hyperlink>
          </w:p>
          <w:p>
            <w:pPr>
              <w:spacing w:before="0" w:after="0"/>
            </w:pPr>
            <w:r>
              <w:rPr>
                <w:rFonts w:ascii="Arial" w:hAnsi="Arial"/>
                <w:color w:val="7D766A"/>
                <w:sz w:val="10"/>
              </w:rPr>
              <w:t>NIST | Final</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N06</w:t>
            </w:r>
          </w:p>
        </w:tc>
        <w:tc>
          <w:tcPr>
            <w:tcW w:type="dxa" w:w="4160"/>
            <w:shd w:fill="F1EFE5"/>
            <w:tcMar>
              <w:top w:w="42" w:type="dxa"/>
              <w:start w:w="70" w:type="dxa"/>
              <w:bottom w:w="42" w:type="dxa"/>
              <w:end w:w="70" w:type="dxa"/>
            </w:tcMar>
            <w:vAlign w:val="center"/>
          </w:tcPr>
          <w:p>
            <w:pPr>
              <w:spacing w:after="20"/>
            </w:pPr>
            <w:hyperlink r:id="rId91">
              <w:r>
                <w:rPr>
                  <w:color w:val="2F7F9E"/>
                  <w:rFonts w:ascii="Arial" w:hAnsi="Arial"/>
                  <w:sz w:val="12"/>
                  <w:b/>
                  <w:u w:val="none"/>
                </w:rPr>
                <w:t>Cybersecurity Framework 2.0</w:t>
              </w:r>
            </w:hyperlink>
          </w:p>
          <w:p>
            <w:pPr>
              <w:spacing w:before="0" w:after="0"/>
            </w:pPr>
            <w:r>
              <w:rPr>
                <w:rFonts w:ascii="Arial" w:hAnsi="Arial"/>
                <w:color w:val="7D766A"/>
                <w:sz w:val="10"/>
              </w:rPr>
              <w:t>NIST | Final</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N07</w:t>
            </w:r>
          </w:p>
        </w:tc>
        <w:tc>
          <w:tcPr>
            <w:tcW w:type="dxa" w:w="4160"/>
            <w:tcMar>
              <w:top w:w="42" w:type="dxa"/>
              <w:start w:w="70" w:type="dxa"/>
              <w:bottom w:w="42" w:type="dxa"/>
              <w:end w:w="70" w:type="dxa"/>
            </w:tcMar>
            <w:vAlign w:val="center"/>
          </w:tcPr>
          <w:p>
            <w:pPr>
              <w:spacing w:after="20"/>
            </w:pPr>
            <w:hyperlink r:id="rId92">
              <w:r>
                <w:rPr>
                  <w:color w:val="2F7F9E"/>
                  <w:rFonts w:ascii="Arial" w:hAnsi="Arial"/>
                  <w:sz w:val="12"/>
                  <w:b/>
                  <w:u w:val="none"/>
                </w:rPr>
                <w:t>Privacy Framework 1.0 / 1.1 initial public draft</w:t>
              </w:r>
            </w:hyperlink>
          </w:p>
          <w:p>
            <w:pPr>
              <w:spacing w:before="0" w:after="0"/>
            </w:pPr>
            <w:r>
              <w:rPr>
                <w:rFonts w:ascii="Arial" w:hAnsi="Arial"/>
                <w:color w:val="7D766A"/>
                <w:sz w:val="10"/>
              </w:rPr>
              <w:t>NIST | 1.0 final; 1.1 draft</w:t>
            </w:r>
          </w:p>
        </w:tc>
        <w:tc>
          <w:tcPr>
            <w:tcW w:type="dxa" w:w="520"/>
            <w:tcMar>
              <w:top w:w="42" w:type="dxa"/>
              <w:start w:w="55" w:type="dxa"/>
              <w:bottom w:w="42" w:type="dxa"/>
              <w:end w:w="55" w:type="dxa"/>
            </w:tcMar>
            <w:vAlign w:val="center"/>
          </w:tcPr>
          <w:p>
            <w:pPr>
              <w:spacing w:after="0"/>
            </w:pPr>
            <w:r>
              <w:rPr>
                <w:rFonts w:ascii="Arial" w:hAnsi="Arial"/>
                <w:b/>
                <w:color w:val="0E2530"/>
                <w:sz w:val="12"/>
              </w:rPr>
              <w:t>N08</w:t>
            </w:r>
          </w:p>
        </w:tc>
        <w:tc>
          <w:tcPr>
            <w:tcW w:type="dxa" w:w="4160"/>
            <w:tcMar>
              <w:top w:w="42" w:type="dxa"/>
              <w:start w:w="70" w:type="dxa"/>
              <w:bottom w:w="42" w:type="dxa"/>
              <w:end w:w="70" w:type="dxa"/>
            </w:tcMar>
            <w:vAlign w:val="center"/>
          </w:tcPr>
          <w:p>
            <w:pPr>
              <w:spacing w:after="20"/>
            </w:pPr>
            <w:hyperlink r:id="rId93">
              <w:r>
                <w:rPr>
                  <w:color w:val="2F7F9E"/>
                  <w:rFonts w:ascii="Arial" w:hAnsi="Arial"/>
                  <w:sz w:val="12"/>
                  <w:b/>
                  <w:u w:val="none"/>
                </w:rPr>
                <w:t>Joint Frameworks Data Governance and Management Profile</w:t>
              </w:r>
            </w:hyperlink>
          </w:p>
          <w:p>
            <w:pPr>
              <w:spacing w:before="0" w:after="0"/>
            </w:pPr>
            <w:r>
              <w:rPr>
                <w:rFonts w:ascii="Arial" w:hAnsi="Arial"/>
                <w:color w:val="7D766A"/>
                <w:sz w:val="10"/>
              </w:rPr>
              <w:t>NIST | In development; sessions through May 2026</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N09</w:t>
            </w:r>
          </w:p>
        </w:tc>
        <w:tc>
          <w:tcPr>
            <w:tcW w:type="dxa" w:w="4160"/>
            <w:shd w:fill="F1EFE5"/>
            <w:tcMar>
              <w:top w:w="42" w:type="dxa"/>
              <w:start w:w="70" w:type="dxa"/>
              <w:bottom w:w="42" w:type="dxa"/>
              <w:end w:w="70" w:type="dxa"/>
            </w:tcMar>
            <w:vAlign w:val="center"/>
          </w:tcPr>
          <w:p>
            <w:pPr>
              <w:spacing w:after="20"/>
            </w:pPr>
            <w:hyperlink r:id="rId94">
              <w:r>
                <w:rPr>
                  <w:color w:val="2F7F9E"/>
                  <w:rFonts w:ascii="Arial" w:hAnsi="Arial"/>
                  <w:sz w:val="12"/>
                  <w:b/>
                  <w:u w:val="none"/>
                </w:rPr>
                <w:t>SP 800-161 Rev. 1 - Cybersecurity supply-chain risk management</w:t>
              </w:r>
            </w:hyperlink>
          </w:p>
          <w:p>
            <w:pPr>
              <w:spacing w:before="0" w:after="0"/>
            </w:pPr>
            <w:r>
              <w:rPr>
                <w:rFonts w:ascii="Arial" w:hAnsi="Arial"/>
                <w:color w:val="7D766A"/>
                <w:sz w:val="10"/>
              </w:rPr>
              <w:t>NIST | Final</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N10</w:t>
            </w:r>
          </w:p>
        </w:tc>
        <w:tc>
          <w:tcPr>
            <w:tcW w:type="dxa" w:w="4160"/>
            <w:shd w:fill="F1EFE5"/>
            <w:tcMar>
              <w:top w:w="42" w:type="dxa"/>
              <w:start w:w="70" w:type="dxa"/>
              <w:bottom w:w="42" w:type="dxa"/>
              <w:end w:w="70" w:type="dxa"/>
            </w:tcMar>
            <w:vAlign w:val="center"/>
          </w:tcPr>
          <w:p>
            <w:pPr>
              <w:spacing w:after="20"/>
            </w:pPr>
            <w:hyperlink r:id="rId95">
              <w:r>
                <w:rPr>
                  <w:color w:val="2F7F9E"/>
                  <w:rFonts w:ascii="Arial" w:hAnsi="Arial"/>
                  <w:sz w:val="12"/>
                  <w:b/>
                  <w:u w:val="none"/>
                </w:rPr>
                <w:t>OSCAL - Open Security Controls Assessment Language</w:t>
              </w:r>
            </w:hyperlink>
          </w:p>
          <w:p>
            <w:pPr>
              <w:spacing w:before="0" w:after="0"/>
            </w:pPr>
            <w:r>
              <w:rPr>
                <w:rFonts w:ascii="Arial" w:hAnsi="Arial"/>
                <w:color w:val="7D766A"/>
                <w:sz w:val="10"/>
              </w:rPr>
              <w:t>NIST | Active program</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U01</w:t>
            </w:r>
          </w:p>
        </w:tc>
        <w:tc>
          <w:tcPr>
            <w:tcW w:type="dxa" w:w="4160"/>
            <w:tcMar>
              <w:top w:w="42" w:type="dxa"/>
              <w:start w:w="70" w:type="dxa"/>
              <w:bottom w:w="42" w:type="dxa"/>
              <w:end w:w="70" w:type="dxa"/>
            </w:tcMar>
            <w:vAlign w:val="center"/>
          </w:tcPr>
          <w:p>
            <w:pPr>
              <w:spacing w:after="20"/>
            </w:pPr>
            <w:hyperlink r:id="rId96">
              <w:r>
                <w:rPr>
                  <w:color w:val="2F7F9E"/>
                  <w:rFonts w:ascii="Arial" w:hAnsi="Arial"/>
                  <w:sz w:val="12"/>
                  <w:b/>
                  <w:u w:val="none"/>
                </w:rPr>
                <w:t>IEC 61968-11:2013 - Common Information Model for distribution</w:t>
              </w:r>
            </w:hyperlink>
          </w:p>
          <w:p>
            <w:pPr>
              <w:spacing w:before="0" w:after="0"/>
            </w:pPr>
            <w:r>
              <w:rPr>
                <w:rFonts w:ascii="Arial" w:hAnsi="Arial"/>
                <w:color w:val="7D766A"/>
                <w:sz w:val="10"/>
              </w:rPr>
              <w:t>IEC | Published</w:t>
            </w:r>
          </w:p>
        </w:tc>
        <w:tc>
          <w:tcPr>
            <w:tcW w:type="dxa" w:w="520"/>
            <w:tcMar>
              <w:top w:w="42" w:type="dxa"/>
              <w:start w:w="55" w:type="dxa"/>
              <w:bottom w:w="42" w:type="dxa"/>
              <w:end w:w="55" w:type="dxa"/>
            </w:tcMar>
            <w:vAlign w:val="center"/>
          </w:tcPr>
          <w:p>
            <w:pPr>
              <w:spacing w:after="0"/>
            </w:pPr>
            <w:r>
              <w:rPr>
                <w:rFonts w:ascii="Arial" w:hAnsi="Arial"/>
                <w:b/>
                <w:color w:val="0E2530"/>
                <w:sz w:val="12"/>
              </w:rPr>
              <w:t>U02</w:t>
            </w:r>
          </w:p>
        </w:tc>
        <w:tc>
          <w:tcPr>
            <w:tcW w:type="dxa" w:w="4160"/>
            <w:tcMar>
              <w:top w:w="42" w:type="dxa"/>
              <w:start w:w="70" w:type="dxa"/>
              <w:bottom w:w="42" w:type="dxa"/>
              <w:end w:w="70" w:type="dxa"/>
            </w:tcMar>
            <w:vAlign w:val="center"/>
          </w:tcPr>
          <w:p>
            <w:pPr>
              <w:spacing w:after="20"/>
            </w:pPr>
            <w:hyperlink r:id="rId97">
              <w:r>
                <w:rPr>
                  <w:color w:val="2F7F9E"/>
                  <w:rFonts w:ascii="Arial" w:hAnsi="Arial"/>
                  <w:sz w:val="12"/>
                  <w:b/>
                  <w:u w:val="none"/>
                </w:rPr>
                <w:t>IEC 61970 Common Information Model</w:t>
              </w:r>
            </w:hyperlink>
          </w:p>
          <w:p>
            <w:pPr>
              <w:spacing w:before="0" w:after="0"/>
            </w:pPr>
            <w:r>
              <w:rPr>
                <w:rFonts w:ascii="Arial" w:hAnsi="Arial"/>
                <w:color w:val="7D766A"/>
                <w:sz w:val="10"/>
              </w:rPr>
              <w:t>IEC | Published series</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U03</w:t>
            </w:r>
          </w:p>
        </w:tc>
        <w:tc>
          <w:tcPr>
            <w:tcW w:type="dxa" w:w="4160"/>
            <w:shd w:fill="F1EFE5"/>
            <w:tcMar>
              <w:top w:w="42" w:type="dxa"/>
              <w:start w:w="70" w:type="dxa"/>
              <w:bottom w:w="42" w:type="dxa"/>
              <w:end w:w="70" w:type="dxa"/>
            </w:tcMar>
            <w:vAlign w:val="center"/>
          </w:tcPr>
          <w:p>
            <w:pPr>
              <w:spacing w:after="20"/>
            </w:pPr>
            <w:hyperlink r:id="rId98">
              <w:r>
                <w:rPr>
                  <w:color w:val="2F7F9E"/>
                  <w:rFonts w:ascii="Arial" w:hAnsi="Arial"/>
                  <w:sz w:val="12"/>
                  <w:b/>
                  <w:u w:val="none"/>
                </w:rPr>
                <w:t>IEC 61850 family - Power utility automation</w:t>
              </w:r>
            </w:hyperlink>
          </w:p>
          <w:p>
            <w:pPr>
              <w:spacing w:before="0" w:after="0"/>
            </w:pPr>
            <w:r>
              <w:rPr>
                <w:rFonts w:ascii="Arial" w:hAnsi="Arial"/>
                <w:color w:val="7D766A"/>
                <w:sz w:val="10"/>
              </w:rPr>
              <w:t>IEC | Published / evolving series</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U04</w:t>
            </w:r>
          </w:p>
        </w:tc>
        <w:tc>
          <w:tcPr>
            <w:tcW w:type="dxa" w:w="4160"/>
            <w:shd w:fill="F1EFE5"/>
            <w:tcMar>
              <w:top w:w="42" w:type="dxa"/>
              <w:start w:w="70" w:type="dxa"/>
              <w:bottom w:w="42" w:type="dxa"/>
              <w:end w:w="70" w:type="dxa"/>
            </w:tcMar>
            <w:vAlign w:val="center"/>
          </w:tcPr>
          <w:p>
            <w:pPr>
              <w:spacing w:after="20"/>
            </w:pPr>
            <w:hyperlink r:id="rId99">
              <w:r>
                <w:rPr>
                  <w:color w:val="2F7F9E"/>
                  <w:rFonts w:ascii="Arial" w:hAnsi="Arial"/>
                  <w:sz w:val="12"/>
                  <w:b/>
                  <w:u w:val="none"/>
                </w:rPr>
                <w:t>IEC 62443-2-1:2024 - IACS security program requirements</w:t>
              </w:r>
            </w:hyperlink>
          </w:p>
          <w:p>
            <w:pPr>
              <w:spacing w:before="0" w:after="0"/>
            </w:pPr>
            <w:r>
              <w:rPr>
                <w:rFonts w:ascii="Arial" w:hAnsi="Arial"/>
                <w:color w:val="7D766A"/>
                <w:sz w:val="10"/>
              </w:rPr>
              <w:t>IEC | Published</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U05</w:t>
            </w:r>
          </w:p>
        </w:tc>
        <w:tc>
          <w:tcPr>
            <w:tcW w:type="dxa" w:w="4160"/>
            <w:tcMar>
              <w:top w:w="42" w:type="dxa"/>
              <w:start w:w="70" w:type="dxa"/>
              <w:bottom w:w="42" w:type="dxa"/>
              <w:end w:w="70" w:type="dxa"/>
            </w:tcMar>
            <w:vAlign w:val="center"/>
          </w:tcPr>
          <w:p>
            <w:pPr>
              <w:spacing w:after="20"/>
            </w:pPr>
            <w:hyperlink r:id="rId100">
              <w:r>
                <w:rPr>
                  <w:color w:val="2F7F9E"/>
                  <w:rFonts w:ascii="Arial" w:hAnsi="Arial"/>
                  <w:sz w:val="12"/>
                  <w:b/>
                  <w:u w:val="none"/>
                </w:rPr>
                <w:t>IEEE 7000-series standards projects</w:t>
              </w:r>
            </w:hyperlink>
          </w:p>
          <w:p>
            <w:pPr>
              <w:spacing w:before="0" w:after="0"/>
            </w:pPr>
            <w:r>
              <w:rPr>
                <w:rFonts w:ascii="Arial" w:hAnsi="Arial"/>
                <w:color w:val="7D766A"/>
                <w:sz w:val="10"/>
              </w:rPr>
              <w:t>IEEE | Published series</w:t>
            </w:r>
          </w:p>
        </w:tc>
        <w:tc>
          <w:tcPr>
            <w:tcW w:type="dxa" w:w="520"/>
            <w:tcMar>
              <w:top w:w="42" w:type="dxa"/>
              <w:start w:w="55" w:type="dxa"/>
              <w:bottom w:w="42" w:type="dxa"/>
              <w:end w:w="55" w:type="dxa"/>
            </w:tcMar>
            <w:vAlign w:val="center"/>
          </w:tcPr>
          <w:p>
            <w:pPr>
              <w:spacing w:after="0"/>
            </w:pPr>
            <w:r>
              <w:rPr>
                <w:rFonts w:ascii="Arial" w:hAnsi="Arial"/>
                <w:b/>
                <w:color w:val="0E2530"/>
                <w:sz w:val="12"/>
              </w:rPr>
              <w:t>U06</w:t>
            </w:r>
          </w:p>
        </w:tc>
        <w:tc>
          <w:tcPr>
            <w:tcW w:type="dxa" w:w="4160"/>
            <w:tcMar>
              <w:top w:w="42" w:type="dxa"/>
              <w:start w:w="70" w:type="dxa"/>
              <w:bottom w:w="42" w:type="dxa"/>
              <w:end w:w="70" w:type="dxa"/>
            </w:tcMar>
            <w:vAlign w:val="center"/>
          </w:tcPr>
          <w:p>
            <w:pPr>
              <w:spacing w:after="20"/>
            </w:pPr>
            <w:hyperlink r:id="rId101">
              <w:r>
                <w:rPr>
                  <w:color w:val="2F7F9E"/>
                  <w:rFonts w:ascii="Arial" w:hAnsi="Arial"/>
                  <w:sz w:val="12"/>
                  <w:b/>
                  <w:u w:val="none"/>
                </w:rPr>
                <w:t>OpenLineage specification</w:t>
              </w:r>
            </w:hyperlink>
          </w:p>
          <w:p>
            <w:pPr>
              <w:spacing w:before="0" w:after="0"/>
            </w:pPr>
            <w:r>
              <w:rPr>
                <w:rFonts w:ascii="Arial" w:hAnsi="Arial"/>
                <w:color w:val="7D766A"/>
                <w:sz w:val="10"/>
              </w:rPr>
              <w:t>OpenLineage | Active open standard</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U07</w:t>
            </w:r>
          </w:p>
        </w:tc>
        <w:tc>
          <w:tcPr>
            <w:tcW w:type="dxa" w:w="4160"/>
            <w:shd w:fill="F1EFE5"/>
            <w:tcMar>
              <w:top w:w="42" w:type="dxa"/>
              <w:start w:w="70" w:type="dxa"/>
              <w:bottom w:w="42" w:type="dxa"/>
              <w:end w:w="70" w:type="dxa"/>
            </w:tcMar>
            <w:vAlign w:val="center"/>
          </w:tcPr>
          <w:p>
            <w:pPr>
              <w:spacing w:after="20"/>
            </w:pPr>
            <w:hyperlink r:id="rId102">
              <w:r>
                <w:rPr>
                  <w:color w:val="2F7F9E"/>
                  <w:rFonts w:ascii="Arial" w:hAnsi="Arial"/>
                  <w:sz w:val="12"/>
                  <w:b/>
                  <w:u w:val="none"/>
                </w:rPr>
                <w:t>RFC 8785 - JSON Canonicalization Scheme</w:t>
              </w:r>
            </w:hyperlink>
          </w:p>
          <w:p>
            <w:pPr>
              <w:spacing w:before="0" w:after="0"/>
            </w:pPr>
            <w:r>
              <w:rPr>
                <w:rFonts w:ascii="Arial" w:hAnsi="Arial"/>
                <w:color w:val="7D766A"/>
                <w:sz w:val="10"/>
              </w:rPr>
              <w:t>IETF / RFC Editor | Informational RFC</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U08</w:t>
            </w:r>
          </w:p>
        </w:tc>
        <w:tc>
          <w:tcPr>
            <w:tcW w:type="dxa" w:w="4160"/>
            <w:shd w:fill="F1EFE5"/>
            <w:tcMar>
              <w:top w:w="42" w:type="dxa"/>
              <w:start w:w="70" w:type="dxa"/>
              <w:bottom w:w="42" w:type="dxa"/>
              <w:end w:w="70" w:type="dxa"/>
            </w:tcMar>
            <w:vAlign w:val="center"/>
          </w:tcPr>
          <w:p>
            <w:pPr>
              <w:spacing w:after="20"/>
            </w:pPr>
            <w:hyperlink r:id="rId103">
              <w:r>
                <w:rPr>
                  <w:color w:val="2F7F9E"/>
                  <w:rFonts w:ascii="Arial" w:hAnsi="Arial"/>
                  <w:sz w:val="12"/>
                  <w:b/>
                  <w:u w:val="none"/>
                </w:rPr>
                <w:t>America's Water Infrastructure Act: risk and resilience</w:t>
              </w:r>
            </w:hyperlink>
          </w:p>
          <w:p>
            <w:pPr>
              <w:spacing w:before="0" w:after="0"/>
            </w:pPr>
            <w:r>
              <w:rPr>
                <w:rFonts w:ascii="Arial" w:hAnsi="Arial"/>
                <w:color w:val="7D766A"/>
                <w:sz w:val="10"/>
              </w:rPr>
              <w:t>EPA | Statutory program</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U09</w:t>
            </w:r>
          </w:p>
        </w:tc>
        <w:tc>
          <w:tcPr>
            <w:tcW w:type="dxa" w:w="4160"/>
            <w:tcMar>
              <w:top w:w="42" w:type="dxa"/>
              <w:start w:w="70" w:type="dxa"/>
              <w:bottom w:w="42" w:type="dxa"/>
              <w:end w:w="70" w:type="dxa"/>
            </w:tcMar>
            <w:vAlign w:val="center"/>
          </w:tcPr>
          <w:p>
            <w:pPr>
              <w:spacing w:after="20"/>
            </w:pPr>
            <w:hyperlink r:id="rId104">
              <w:r>
                <w:rPr>
                  <w:color w:val="2F7F9E"/>
                  <w:rFonts w:ascii="Arial" w:hAnsi="Arial"/>
                  <w:sz w:val="12"/>
                  <w:b/>
                  <w:u w:val="none"/>
                </w:rPr>
                <w:t>Cybersecurity assessments for public water systems</w:t>
              </w:r>
            </w:hyperlink>
          </w:p>
          <w:p>
            <w:pPr>
              <w:spacing w:before="0" w:after="0"/>
            </w:pPr>
            <w:r>
              <w:rPr>
                <w:rFonts w:ascii="Arial" w:hAnsi="Arial"/>
                <w:color w:val="7D766A"/>
                <w:sz w:val="10"/>
              </w:rPr>
              <w:t>EPA | Current program</w:t>
            </w:r>
          </w:p>
        </w:tc>
        <w:tc>
          <w:tcPr>
            <w:tcW w:type="dxa" w:w="520"/>
            <w:tcMar>
              <w:top w:w="42" w:type="dxa"/>
              <w:start w:w="55" w:type="dxa"/>
              <w:bottom w:w="42" w:type="dxa"/>
              <w:end w:w="55" w:type="dxa"/>
            </w:tcMar>
            <w:vAlign w:val="center"/>
          </w:tcPr>
          <w:p>
            <w:pPr>
              <w:spacing w:after="0"/>
            </w:pPr>
            <w:r>
              <w:rPr>
                <w:rFonts w:ascii="Arial" w:hAnsi="Arial"/>
                <w:b/>
                <w:color w:val="0E2530"/>
                <w:sz w:val="12"/>
              </w:rPr>
              <w:t>U10</w:t>
            </w:r>
          </w:p>
        </w:tc>
        <w:tc>
          <w:tcPr>
            <w:tcW w:type="dxa" w:w="4160"/>
            <w:tcMar>
              <w:top w:w="42" w:type="dxa"/>
              <w:start w:w="70" w:type="dxa"/>
              <w:bottom w:w="42" w:type="dxa"/>
              <w:end w:w="70" w:type="dxa"/>
            </w:tcMar>
            <w:vAlign w:val="center"/>
          </w:tcPr>
          <w:p>
            <w:pPr>
              <w:spacing w:after="20"/>
            </w:pPr>
            <w:hyperlink r:id="rId105">
              <w:r>
                <w:rPr>
                  <w:color w:val="2F7F9E"/>
                  <w:rFonts w:ascii="Arial" w:hAnsi="Arial"/>
                  <w:sz w:val="12"/>
                  <w:b/>
                  <w:u w:val="none"/>
                </w:rPr>
                <w:t>Top cyber actions for securing water systems</w:t>
              </w:r>
            </w:hyperlink>
          </w:p>
          <w:p>
            <w:pPr>
              <w:spacing w:before="0" w:after="0"/>
            </w:pPr>
            <w:r>
              <w:rPr>
                <w:rFonts w:ascii="Arial" w:hAnsi="Arial"/>
                <w:color w:val="7D766A"/>
                <w:sz w:val="10"/>
              </w:rPr>
              <w:t>CISA / EPA / FBI | 2024 joint guidance</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U11</w:t>
            </w:r>
          </w:p>
        </w:tc>
        <w:tc>
          <w:tcPr>
            <w:tcW w:type="dxa" w:w="4160"/>
            <w:shd w:fill="F1EFE5"/>
            <w:tcMar>
              <w:top w:w="42" w:type="dxa"/>
              <w:start w:w="70" w:type="dxa"/>
              <w:bottom w:w="42" w:type="dxa"/>
              <w:end w:w="70" w:type="dxa"/>
            </w:tcMar>
            <w:vAlign w:val="center"/>
          </w:tcPr>
          <w:p>
            <w:pPr>
              <w:spacing w:after="20"/>
            </w:pPr>
            <w:hyperlink r:id="rId106">
              <w:r>
                <w:rPr>
                  <w:color w:val="2F7F9E"/>
                  <w:rFonts w:ascii="Arial" w:hAnsi="Arial"/>
                  <w:sz w:val="12"/>
                  <w:b/>
                  <w:u w:val="none"/>
                </w:rPr>
                <w:t>Data Best Practice guidance</w:t>
              </w:r>
            </w:hyperlink>
          </w:p>
          <w:p>
            <w:pPr>
              <w:spacing w:before="0" w:after="0"/>
            </w:pPr>
            <w:r>
              <w:rPr>
                <w:rFonts w:ascii="Arial" w:hAnsi="Arial"/>
                <w:color w:val="7D766A"/>
                <w:sz w:val="10"/>
              </w:rPr>
              <w:t>Ofgem | Published 17 Nov 2025</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U12</w:t>
            </w:r>
          </w:p>
        </w:tc>
        <w:tc>
          <w:tcPr>
            <w:tcW w:type="dxa" w:w="4160"/>
            <w:shd w:fill="F1EFE5"/>
            <w:tcMar>
              <w:top w:w="42" w:type="dxa"/>
              <w:start w:w="70" w:type="dxa"/>
              <w:bottom w:w="42" w:type="dxa"/>
              <w:end w:w="70" w:type="dxa"/>
            </w:tcMar>
            <w:vAlign w:val="center"/>
          </w:tcPr>
          <w:p>
            <w:pPr>
              <w:spacing w:after="20"/>
            </w:pPr>
            <w:hyperlink r:id="rId107">
              <w:r>
                <w:rPr>
                  <w:color w:val="2F7F9E"/>
                  <w:rFonts w:ascii="Arial" w:hAnsi="Arial"/>
                  <w:sz w:val="12"/>
                  <w:b/>
                  <w:u w:val="none"/>
                </w:rPr>
                <w:t>Securing open data in energy consultation</w:t>
              </w:r>
            </w:hyperlink>
          </w:p>
          <w:p>
            <w:pPr>
              <w:spacing w:before="0" w:after="0"/>
            </w:pPr>
            <w:r>
              <w:rPr>
                <w:rFonts w:ascii="Arial" w:hAnsi="Arial"/>
                <w:color w:val="7D766A"/>
                <w:sz w:val="10"/>
              </w:rPr>
              <w:t>Ofgem | Closed 15 Jul 2026; decision pending</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U13</w:t>
            </w:r>
          </w:p>
        </w:tc>
        <w:tc>
          <w:tcPr>
            <w:tcW w:type="dxa" w:w="4160"/>
            <w:tcMar>
              <w:top w:w="42" w:type="dxa"/>
              <w:start w:w="70" w:type="dxa"/>
              <w:bottom w:w="42" w:type="dxa"/>
              <w:end w:w="70" w:type="dxa"/>
            </w:tcMar>
            <w:vAlign w:val="center"/>
          </w:tcPr>
          <w:p>
            <w:pPr>
              <w:spacing w:after="20"/>
            </w:pPr>
            <w:hyperlink r:id="rId108">
              <w:r>
                <w:rPr>
                  <w:color w:val="2F7F9E"/>
                  <w:rFonts w:ascii="Arial" w:hAnsi="Arial"/>
                  <w:sz w:val="12"/>
                  <w:b/>
                  <w:u w:val="none"/>
                </w:rPr>
                <w:t>Open data in the water industry</w:t>
              </w:r>
            </w:hyperlink>
          </w:p>
          <w:p>
            <w:pPr>
              <w:spacing w:before="0" w:after="0"/>
            </w:pPr>
            <w:r>
              <w:rPr>
                <w:rFonts w:ascii="Arial" w:hAnsi="Arial"/>
                <w:color w:val="7D766A"/>
                <w:sz w:val="10"/>
              </w:rPr>
              <w:t>Ofwat | Current sector program</w:t>
            </w:r>
          </w:p>
        </w:tc>
        <w:tc>
          <w:tcPr>
            <w:tcW w:type="dxa" w:w="520"/>
            <w:tcMar>
              <w:top w:w="42" w:type="dxa"/>
              <w:start w:w="55" w:type="dxa"/>
              <w:bottom w:w="42" w:type="dxa"/>
              <w:end w:w="55" w:type="dxa"/>
            </w:tcMar>
            <w:vAlign w:val="center"/>
          </w:tcPr>
          <w:p>
            <w:pPr>
              <w:spacing w:after="0"/>
            </w:pPr>
            <w:r>
              <w:rPr>
                <w:rFonts w:ascii="Arial" w:hAnsi="Arial"/>
                <w:b/>
                <w:color w:val="0E2530"/>
                <w:sz w:val="12"/>
              </w:rPr>
              <w:t>U14</w:t>
            </w:r>
          </w:p>
        </w:tc>
        <w:tc>
          <w:tcPr>
            <w:tcW w:type="dxa" w:w="4160"/>
            <w:tcMar>
              <w:top w:w="42" w:type="dxa"/>
              <w:start w:w="70" w:type="dxa"/>
              <w:bottom w:w="42" w:type="dxa"/>
              <w:end w:w="70" w:type="dxa"/>
            </w:tcMar>
            <w:vAlign w:val="center"/>
          </w:tcPr>
          <w:p>
            <w:pPr>
              <w:spacing w:after="20"/>
            </w:pPr>
            <w:hyperlink r:id="rId109">
              <w:r>
                <w:rPr>
                  <w:color w:val="2F7F9E"/>
                  <w:rFonts w:ascii="Arial" w:hAnsi="Arial"/>
                  <w:sz w:val="12"/>
                  <w:b/>
                  <w:u w:val="none"/>
                </w:rPr>
                <w:t>AWWA Standards program</w:t>
              </w:r>
            </w:hyperlink>
          </w:p>
          <w:p>
            <w:pPr>
              <w:spacing w:before="0" w:after="0"/>
            </w:pPr>
            <w:r>
              <w:rPr>
                <w:rFonts w:ascii="Arial" w:hAnsi="Arial"/>
                <w:color w:val="7D766A"/>
                <w:sz w:val="10"/>
              </w:rPr>
              <w:t>AWWA | Current</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F01</w:t>
            </w:r>
          </w:p>
        </w:tc>
        <w:tc>
          <w:tcPr>
            <w:tcW w:type="dxa" w:w="4160"/>
            <w:shd w:fill="F1EFE5"/>
            <w:tcMar>
              <w:top w:w="42" w:type="dxa"/>
              <w:start w:w="70" w:type="dxa"/>
              <w:bottom w:w="42" w:type="dxa"/>
              <w:end w:w="70" w:type="dxa"/>
            </w:tcMar>
            <w:vAlign w:val="center"/>
          </w:tcPr>
          <w:p>
            <w:pPr>
              <w:spacing w:after="20"/>
            </w:pPr>
            <w:hyperlink r:id="rId110">
              <w:r>
                <w:rPr>
                  <w:color w:val="2F7F9E"/>
                  <w:rFonts w:ascii="Arial" w:hAnsi="Arial"/>
                  <w:sz w:val="12"/>
                  <w:b/>
                  <w:u w:val="none"/>
                </w:rPr>
                <w:t>DAMA-DMBOK2 Revised</w:t>
              </w:r>
            </w:hyperlink>
          </w:p>
          <w:p>
            <w:pPr>
              <w:spacing w:before="0" w:after="0"/>
            </w:pPr>
            <w:r>
              <w:rPr>
                <w:rFonts w:ascii="Arial" w:hAnsi="Arial"/>
                <w:color w:val="7D766A"/>
                <w:sz w:val="10"/>
              </w:rPr>
              <w:t>DAMA International | Current; DMBOK 3.0 in development</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F02</w:t>
            </w:r>
          </w:p>
        </w:tc>
        <w:tc>
          <w:tcPr>
            <w:tcW w:type="dxa" w:w="4160"/>
            <w:shd w:fill="F1EFE5"/>
            <w:tcMar>
              <w:top w:w="42" w:type="dxa"/>
              <w:start w:w="70" w:type="dxa"/>
              <w:bottom w:w="42" w:type="dxa"/>
              <w:end w:w="70" w:type="dxa"/>
            </w:tcMar>
            <w:vAlign w:val="center"/>
          </w:tcPr>
          <w:p>
            <w:pPr>
              <w:spacing w:after="20"/>
            </w:pPr>
            <w:hyperlink r:id="rId111">
              <w:r>
                <w:rPr>
                  <w:color w:val="2F7F9E"/>
                  <w:rFonts w:ascii="Arial" w:hAnsi="Arial"/>
                  <w:sz w:val="12"/>
                  <w:b/>
                  <w:u w:val="none"/>
                </w:rPr>
                <w:t>DCAM v3</w:t>
              </w:r>
            </w:hyperlink>
          </w:p>
          <w:p>
            <w:pPr>
              <w:spacing w:before="0" w:after="0"/>
            </w:pPr>
            <w:r>
              <w:rPr>
                <w:rFonts w:ascii="Arial" w:hAnsi="Arial"/>
                <w:color w:val="7D766A"/>
                <w:sz w:val="10"/>
              </w:rPr>
              <w:t>EDM Council | Announced June 2025</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F03</w:t>
            </w:r>
          </w:p>
        </w:tc>
        <w:tc>
          <w:tcPr>
            <w:tcW w:type="dxa" w:w="4160"/>
            <w:tcMar>
              <w:top w:w="42" w:type="dxa"/>
              <w:start w:w="70" w:type="dxa"/>
              <w:bottom w:w="42" w:type="dxa"/>
              <w:end w:w="70" w:type="dxa"/>
            </w:tcMar>
            <w:vAlign w:val="center"/>
          </w:tcPr>
          <w:p>
            <w:pPr>
              <w:spacing w:after="20"/>
            </w:pPr>
            <w:hyperlink r:id="rId112">
              <w:r>
                <w:rPr>
                  <w:color w:val="2F7F9E"/>
                  <w:rFonts w:ascii="Arial" w:hAnsi="Arial"/>
                  <w:sz w:val="12"/>
                  <w:b/>
                  <w:u w:val="none"/>
                </w:rPr>
                <w:t>Cloud Data Management Capabilities (CDMC)</w:t>
              </w:r>
            </w:hyperlink>
          </w:p>
          <w:p>
            <w:pPr>
              <w:spacing w:before="0" w:after="0"/>
            </w:pPr>
            <w:r>
              <w:rPr>
                <w:rFonts w:ascii="Arial" w:hAnsi="Arial"/>
                <w:color w:val="7D766A"/>
                <w:sz w:val="10"/>
              </w:rPr>
              <w:t>EDM Council | Version 1.1</w:t>
            </w:r>
          </w:p>
        </w:tc>
        <w:tc>
          <w:tcPr>
            <w:tcW w:type="dxa" w:w="520"/>
            <w:tcMar>
              <w:top w:w="42" w:type="dxa"/>
              <w:start w:w="55" w:type="dxa"/>
              <w:bottom w:w="42" w:type="dxa"/>
              <w:end w:w="55" w:type="dxa"/>
            </w:tcMar>
            <w:vAlign w:val="center"/>
          </w:tcPr>
          <w:p>
            <w:pPr>
              <w:spacing w:after="0"/>
            </w:pPr>
            <w:r>
              <w:rPr>
                <w:rFonts w:ascii="Arial" w:hAnsi="Arial"/>
                <w:b/>
                <w:color w:val="0E2530"/>
                <w:sz w:val="12"/>
              </w:rPr>
              <w:t>F04</w:t>
            </w:r>
          </w:p>
        </w:tc>
        <w:tc>
          <w:tcPr>
            <w:tcW w:type="dxa" w:w="4160"/>
            <w:tcMar>
              <w:top w:w="42" w:type="dxa"/>
              <w:start w:w="70" w:type="dxa"/>
              <w:bottom w:w="42" w:type="dxa"/>
              <w:end w:w="70" w:type="dxa"/>
            </w:tcMar>
            <w:vAlign w:val="center"/>
          </w:tcPr>
          <w:p>
            <w:pPr>
              <w:spacing w:after="20"/>
            </w:pPr>
            <w:hyperlink r:id="rId113">
              <w:r>
                <w:rPr>
                  <w:color w:val="2F7F9E"/>
                  <w:rFonts w:ascii="Arial" w:hAnsi="Arial"/>
                  <w:sz w:val="12"/>
                  <w:b/>
                  <w:u w:val="none"/>
                </w:rPr>
                <w:t>COBIT 2019</w:t>
              </w:r>
            </w:hyperlink>
          </w:p>
          <w:p>
            <w:pPr>
              <w:spacing w:before="0" w:after="0"/>
            </w:pPr>
            <w:r>
              <w:rPr>
                <w:rFonts w:ascii="Arial" w:hAnsi="Arial"/>
                <w:color w:val="7D766A"/>
                <w:sz w:val="10"/>
              </w:rPr>
              <w:t>ISACA | Current</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F05</w:t>
            </w:r>
          </w:p>
        </w:tc>
        <w:tc>
          <w:tcPr>
            <w:tcW w:type="dxa" w:w="4160"/>
            <w:shd w:fill="F1EFE5"/>
            <w:tcMar>
              <w:top w:w="42" w:type="dxa"/>
              <w:start w:w="70" w:type="dxa"/>
              <w:bottom w:w="42" w:type="dxa"/>
              <w:end w:w="70" w:type="dxa"/>
            </w:tcMar>
            <w:vAlign w:val="center"/>
          </w:tcPr>
          <w:p>
            <w:pPr>
              <w:spacing w:after="20"/>
            </w:pPr>
            <w:hyperlink r:id="rId114">
              <w:r>
                <w:rPr>
                  <w:color w:val="2F7F9E"/>
                  <w:rFonts w:ascii="Arial" w:hAnsi="Arial"/>
                  <w:sz w:val="12"/>
                  <w:b/>
                  <w:u w:val="none"/>
                </w:rPr>
                <w:t>FAIR Guiding Principles</w:t>
              </w:r>
            </w:hyperlink>
          </w:p>
          <w:p>
            <w:pPr>
              <w:spacing w:before="0" w:after="0"/>
            </w:pPr>
            <w:r>
              <w:rPr>
                <w:rFonts w:ascii="Arial" w:hAnsi="Arial"/>
                <w:color w:val="7D766A"/>
                <w:sz w:val="10"/>
              </w:rPr>
              <w:t>GO FAIR | Current principles</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F06</w:t>
            </w:r>
          </w:p>
        </w:tc>
        <w:tc>
          <w:tcPr>
            <w:tcW w:type="dxa" w:w="4160"/>
            <w:shd w:fill="F1EFE5"/>
            <w:tcMar>
              <w:top w:w="42" w:type="dxa"/>
              <w:start w:w="70" w:type="dxa"/>
              <w:bottom w:w="42" w:type="dxa"/>
              <w:end w:w="70" w:type="dxa"/>
            </w:tcMar>
            <w:vAlign w:val="center"/>
          </w:tcPr>
          <w:p>
            <w:pPr>
              <w:spacing w:after="20"/>
            </w:pPr>
            <w:hyperlink r:id="rId115">
              <w:r>
                <w:rPr>
                  <w:color w:val="2F7F9E"/>
                  <w:rFonts w:ascii="Arial" w:hAnsi="Arial"/>
                  <w:sz w:val="12"/>
                  <w:b/>
                  <w:u w:val="none"/>
                </w:rPr>
                <w:t>OECD AI Principles</w:t>
              </w:r>
            </w:hyperlink>
          </w:p>
          <w:p>
            <w:pPr>
              <w:spacing w:before="0" w:after="0"/>
            </w:pPr>
            <w:r>
              <w:rPr>
                <w:rFonts w:ascii="Arial" w:hAnsi="Arial"/>
                <w:color w:val="7D766A"/>
                <w:sz w:val="10"/>
              </w:rPr>
              <w:t>OECD | Updated May 2024</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F07</w:t>
            </w:r>
          </w:p>
        </w:tc>
        <w:tc>
          <w:tcPr>
            <w:tcW w:type="dxa" w:w="4160"/>
            <w:tcMar>
              <w:top w:w="42" w:type="dxa"/>
              <w:start w:w="70" w:type="dxa"/>
              <w:bottom w:w="42" w:type="dxa"/>
              <w:end w:w="70" w:type="dxa"/>
            </w:tcMar>
            <w:vAlign w:val="center"/>
          </w:tcPr>
          <w:p>
            <w:pPr>
              <w:spacing w:after="20"/>
            </w:pPr>
            <w:hyperlink r:id="rId116">
              <w:r>
                <w:rPr>
                  <w:color w:val="2F7F9E"/>
                  <w:rFonts w:ascii="Arial" w:hAnsi="Arial"/>
                  <w:sz w:val="12"/>
                  <w:b/>
                  <w:u w:val="none"/>
                </w:rPr>
                <w:t>Recommendation on the Ethics of Artificial Intelligence</w:t>
              </w:r>
            </w:hyperlink>
          </w:p>
          <w:p>
            <w:pPr>
              <w:spacing w:before="0" w:after="0"/>
            </w:pPr>
            <w:r>
              <w:rPr>
                <w:rFonts w:ascii="Arial" w:hAnsi="Arial"/>
                <w:color w:val="7D766A"/>
                <w:sz w:val="10"/>
              </w:rPr>
              <w:t>UNESCO | Adopted 2021</w:t>
            </w:r>
          </w:p>
        </w:tc>
        <w:tc>
          <w:tcPr>
            <w:tcW w:type="dxa" w:w="520"/>
            <w:tcMar>
              <w:top w:w="42" w:type="dxa"/>
              <w:start w:w="55" w:type="dxa"/>
              <w:bottom w:w="42" w:type="dxa"/>
              <w:end w:w="55" w:type="dxa"/>
            </w:tcMar>
            <w:vAlign w:val="center"/>
          </w:tcPr>
          <w:p>
            <w:pPr>
              <w:spacing w:after="0"/>
            </w:pPr>
            <w:r>
              <w:rPr>
                <w:rFonts w:ascii="Arial" w:hAnsi="Arial"/>
                <w:b/>
                <w:color w:val="0E2530"/>
                <w:sz w:val="12"/>
              </w:rPr>
              <w:t>US01</w:t>
            </w:r>
          </w:p>
        </w:tc>
        <w:tc>
          <w:tcPr>
            <w:tcW w:type="dxa" w:w="4160"/>
            <w:tcMar>
              <w:top w:w="42" w:type="dxa"/>
              <w:start w:w="70" w:type="dxa"/>
              <w:bottom w:w="42" w:type="dxa"/>
              <w:end w:w="70" w:type="dxa"/>
            </w:tcMar>
            <w:vAlign w:val="center"/>
          </w:tcPr>
          <w:p>
            <w:pPr>
              <w:spacing w:after="20"/>
            </w:pPr>
            <w:hyperlink r:id="rId117">
              <w:r>
                <w:rPr>
                  <w:color w:val="2F7F9E"/>
                  <w:rFonts w:ascii="Arial" w:hAnsi="Arial"/>
                  <w:sz w:val="12"/>
                  <w:b/>
                  <w:u w:val="none"/>
                </w:rPr>
                <w:t>America's AI Action Plan</w:t>
              </w:r>
            </w:hyperlink>
          </w:p>
          <w:p>
            <w:pPr>
              <w:spacing w:before="0" w:after="0"/>
            </w:pPr>
            <w:r>
              <w:rPr>
                <w:rFonts w:ascii="Arial" w:hAnsi="Arial"/>
                <w:color w:val="7D766A"/>
                <w:sz w:val="10"/>
              </w:rPr>
              <w:t>White House | Published 23 Jul 2025</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US02</w:t>
            </w:r>
          </w:p>
        </w:tc>
        <w:tc>
          <w:tcPr>
            <w:tcW w:type="dxa" w:w="4160"/>
            <w:shd w:fill="F1EFE5"/>
            <w:tcMar>
              <w:top w:w="42" w:type="dxa"/>
              <w:start w:w="70" w:type="dxa"/>
              <w:bottom w:w="42" w:type="dxa"/>
              <w:end w:w="70" w:type="dxa"/>
            </w:tcMar>
            <w:vAlign w:val="center"/>
          </w:tcPr>
          <w:p>
            <w:pPr>
              <w:spacing w:after="20"/>
            </w:pPr>
            <w:hyperlink r:id="rId118">
              <w:r>
                <w:rPr>
                  <w:color w:val="2F7F9E"/>
                  <w:rFonts w:ascii="Arial" w:hAnsi="Arial"/>
                  <w:sz w:val="12"/>
                  <w:b/>
                  <w:u w:val="none"/>
                </w:rPr>
                <w:t>Executive Order 14179 - Removing Barriers to American Leadership in AI</w:t>
              </w:r>
            </w:hyperlink>
          </w:p>
          <w:p>
            <w:pPr>
              <w:spacing w:before="0" w:after="0"/>
            </w:pPr>
            <w:r>
              <w:rPr>
                <w:rFonts w:ascii="Arial" w:hAnsi="Arial"/>
                <w:color w:val="7D766A"/>
                <w:sz w:val="10"/>
              </w:rPr>
              <w:t>White House | Issued 23 Jan 2025</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US03</w:t>
            </w:r>
          </w:p>
        </w:tc>
        <w:tc>
          <w:tcPr>
            <w:tcW w:type="dxa" w:w="4160"/>
            <w:shd w:fill="F1EFE5"/>
            <w:tcMar>
              <w:top w:w="42" w:type="dxa"/>
              <w:start w:w="70" w:type="dxa"/>
              <w:bottom w:w="42" w:type="dxa"/>
              <w:end w:w="70" w:type="dxa"/>
            </w:tcMar>
            <w:vAlign w:val="center"/>
          </w:tcPr>
          <w:p>
            <w:pPr>
              <w:spacing w:after="20"/>
            </w:pPr>
            <w:hyperlink r:id="rId119">
              <w:r>
                <w:rPr>
                  <w:color w:val="2F7F9E"/>
                  <w:rFonts w:ascii="Arial" w:hAnsi="Arial"/>
                  <w:sz w:val="12"/>
                  <w:b/>
                  <w:u w:val="none"/>
                </w:rPr>
                <w:t>M-25-21 - Accelerating Federal Use of AI through Innovation, Governance, and Public Trust</w:t>
              </w:r>
            </w:hyperlink>
          </w:p>
          <w:p>
            <w:pPr>
              <w:spacing w:before="0" w:after="0"/>
            </w:pPr>
            <w:r>
              <w:rPr>
                <w:rFonts w:ascii="Arial" w:hAnsi="Arial"/>
                <w:color w:val="7D766A"/>
                <w:sz w:val="10"/>
              </w:rPr>
              <w:t>OMB | Issued 3 Apr 2025</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US04</w:t>
            </w:r>
          </w:p>
        </w:tc>
        <w:tc>
          <w:tcPr>
            <w:tcW w:type="dxa" w:w="4160"/>
            <w:tcMar>
              <w:top w:w="42" w:type="dxa"/>
              <w:start w:w="70" w:type="dxa"/>
              <w:bottom w:w="42" w:type="dxa"/>
              <w:end w:w="70" w:type="dxa"/>
            </w:tcMar>
            <w:vAlign w:val="center"/>
          </w:tcPr>
          <w:p>
            <w:pPr>
              <w:spacing w:after="20"/>
            </w:pPr>
            <w:hyperlink r:id="rId120">
              <w:r>
                <w:rPr>
                  <w:color w:val="2F7F9E"/>
                  <w:rFonts w:ascii="Arial" w:hAnsi="Arial"/>
                  <w:sz w:val="12"/>
                  <w:b/>
                  <w:u w:val="none"/>
                </w:rPr>
                <w:t>M-25-22 - Driving Efficient Acquisition of Artificial Intelligence in Government</w:t>
              </w:r>
            </w:hyperlink>
          </w:p>
          <w:p>
            <w:pPr>
              <w:spacing w:before="0" w:after="0"/>
            </w:pPr>
            <w:r>
              <w:rPr>
                <w:rFonts w:ascii="Arial" w:hAnsi="Arial"/>
                <w:color w:val="7D766A"/>
                <w:sz w:val="10"/>
              </w:rPr>
              <w:t>OMB | Issued 3 Apr 2025</w:t>
            </w:r>
          </w:p>
        </w:tc>
        <w:tc>
          <w:tcPr>
            <w:tcW w:type="dxa" w:w="520"/>
            <w:tcMar>
              <w:top w:w="42" w:type="dxa"/>
              <w:start w:w="55" w:type="dxa"/>
              <w:bottom w:w="42" w:type="dxa"/>
              <w:end w:w="55" w:type="dxa"/>
            </w:tcMar>
            <w:vAlign w:val="center"/>
          </w:tcPr>
          <w:p>
            <w:pPr>
              <w:spacing w:after="0"/>
            </w:pPr>
            <w:r>
              <w:rPr>
                <w:rFonts w:ascii="Arial" w:hAnsi="Arial"/>
                <w:b/>
                <w:color w:val="0E2530"/>
                <w:sz w:val="12"/>
              </w:rPr>
              <w:t>US05</w:t>
            </w:r>
          </w:p>
        </w:tc>
        <w:tc>
          <w:tcPr>
            <w:tcW w:type="dxa" w:w="4160"/>
            <w:tcMar>
              <w:top w:w="42" w:type="dxa"/>
              <w:start w:w="70" w:type="dxa"/>
              <w:bottom w:w="42" w:type="dxa"/>
              <w:end w:w="70" w:type="dxa"/>
            </w:tcMar>
            <w:vAlign w:val="center"/>
          </w:tcPr>
          <w:p>
            <w:pPr>
              <w:spacing w:after="20"/>
            </w:pPr>
            <w:hyperlink r:id="rId121">
              <w:r>
                <w:rPr>
                  <w:color w:val="2F7F9E"/>
                  <w:rFonts w:ascii="Arial" w:hAnsi="Arial"/>
                  <w:sz w:val="12"/>
                  <w:b/>
                  <w:u w:val="none"/>
                </w:rPr>
                <w:t>M-25-05 - Phase 2 OPEN Government Data Act guidance</w:t>
              </w:r>
            </w:hyperlink>
          </w:p>
          <w:p>
            <w:pPr>
              <w:spacing w:before="0" w:after="0"/>
            </w:pPr>
            <w:r>
              <w:rPr>
                <w:rFonts w:ascii="Arial" w:hAnsi="Arial"/>
                <w:color w:val="7D766A"/>
                <w:sz w:val="10"/>
              </w:rPr>
              <w:t>OMB | Issued 15 Jan 2025</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US06</w:t>
            </w:r>
          </w:p>
        </w:tc>
        <w:tc>
          <w:tcPr>
            <w:tcW w:type="dxa" w:w="4160"/>
            <w:shd w:fill="F1EFE5"/>
            <w:tcMar>
              <w:top w:w="42" w:type="dxa"/>
              <w:start w:w="70" w:type="dxa"/>
              <w:bottom w:w="42" w:type="dxa"/>
              <w:end w:w="70" w:type="dxa"/>
            </w:tcMar>
            <w:vAlign w:val="center"/>
          </w:tcPr>
          <w:p>
            <w:pPr>
              <w:spacing w:after="20"/>
            </w:pPr>
            <w:hyperlink r:id="rId122">
              <w:r>
                <w:rPr>
                  <w:color w:val="2F7F9E"/>
                  <w:rFonts w:ascii="Arial" w:hAnsi="Arial"/>
                  <w:sz w:val="12"/>
                  <w:b/>
                  <w:u w:val="none"/>
                </w:rPr>
                <w:t>Federal Data Strategy principles</w:t>
              </w:r>
            </w:hyperlink>
          </w:p>
          <w:p>
            <w:pPr>
              <w:spacing w:before="0" w:after="0"/>
            </w:pPr>
            <w:r>
              <w:rPr>
                <w:rFonts w:ascii="Arial" w:hAnsi="Arial"/>
                <w:color w:val="7D766A"/>
                <w:sz w:val="10"/>
              </w:rPr>
              <w:t>Federal Data Strategy | Current</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US07</w:t>
            </w:r>
          </w:p>
        </w:tc>
        <w:tc>
          <w:tcPr>
            <w:tcW w:type="dxa" w:w="4160"/>
            <w:shd w:fill="F1EFE5"/>
            <w:tcMar>
              <w:top w:w="42" w:type="dxa"/>
              <w:start w:w="70" w:type="dxa"/>
              <w:bottom w:w="42" w:type="dxa"/>
              <w:end w:w="70" w:type="dxa"/>
            </w:tcMar>
            <w:vAlign w:val="center"/>
          </w:tcPr>
          <w:p>
            <w:pPr>
              <w:spacing w:after="20"/>
            </w:pPr>
            <w:hyperlink r:id="rId123">
              <w:r>
                <w:rPr>
                  <w:color w:val="2F7F9E"/>
                  <w:rFonts w:ascii="Arial" w:hAnsi="Arial"/>
                  <w:sz w:val="12"/>
                  <w:b/>
                  <w:u w:val="none"/>
                </w:rPr>
                <w:t>Federal Data Strategy practices</w:t>
              </w:r>
            </w:hyperlink>
          </w:p>
          <w:p>
            <w:pPr>
              <w:spacing w:before="0" w:after="0"/>
            </w:pPr>
            <w:r>
              <w:rPr>
                <w:rFonts w:ascii="Arial" w:hAnsi="Arial"/>
                <w:color w:val="7D766A"/>
                <w:sz w:val="10"/>
              </w:rPr>
              <w:t>Federal Data Strategy | Current</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US08</w:t>
            </w:r>
          </w:p>
        </w:tc>
        <w:tc>
          <w:tcPr>
            <w:tcW w:type="dxa" w:w="4160"/>
            <w:tcMar>
              <w:top w:w="42" w:type="dxa"/>
              <w:start w:w="70" w:type="dxa"/>
              <w:bottom w:w="42" w:type="dxa"/>
              <w:end w:w="70" w:type="dxa"/>
            </w:tcMar>
            <w:vAlign w:val="center"/>
          </w:tcPr>
          <w:p>
            <w:pPr>
              <w:spacing w:after="20"/>
            </w:pPr>
            <w:hyperlink r:id="rId124">
              <w:r>
                <w:rPr>
                  <w:color w:val="2F7F9E"/>
                  <w:rFonts w:ascii="Arial" w:hAnsi="Arial"/>
                  <w:sz w:val="12"/>
                  <w:b/>
                  <w:u w:val="none"/>
                </w:rPr>
                <w:t>Foundations for Evidence-Based Policymaking Act / OPEN Government Data Act</w:t>
              </w:r>
            </w:hyperlink>
          </w:p>
          <w:p>
            <w:pPr>
              <w:spacing w:before="0" w:after="0"/>
            </w:pPr>
            <w:r>
              <w:rPr>
                <w:rFonts w:ascii="Arial" w:hAnsi="Arial"/>
                <w:color w:val="7D766A"/>
                <w:sz w:val="10"/>
              </w:rPr>
              <w:t>US Congress | Enacted 2019</w:t>
            </w:r>
          </w:p>
        </w:tc>
        <w:tc>
          <w:tcPr>
            <w:tcW w:type="dxa" w:w="520"/>
            <w:tcMar>
              <w:top w:w="42" w:type="dxa"/>
              <w:start w:w="55" w:type="dxa"/>
              <w:bottom w:w="42" w:type="dxa"/>
              <w:end w:w="55" w:type="dxa"/>
            </w:tcMar>
            <w:vAlign w:val="center"/>
          </w:tcPr>
          <w:p>
            <w:pPr>
              <w:spacing w:after="0"/>
            </w:pPr>
            <w:r>
              <w:rPr>
                <w:rFonts w:ascii="Arial" w:hAnsi="Arial"/>
                <w:b/>
                <w:color w:val="0E2530"/>
                <w:sz w:val="12"/>
              </w:rPr>
              <w:t>US09</w:t>
            </w:r>
          </w:p>
        </w:tc>
        <w:tc>
          <w:tcPr>
            <w:tcW w:type="dxa" w:w="4160"/>
            <w:tcMar>
              <w:top w:w="42" w:type="dxa"/>
              <w:start w:w="70" w:type="dxa"/>
              <w:bottom w:w="42" w:type="dxa"/>
              <w:end w:w="70" w:type="dxa"/>
            </w:tcMar>
            <w:vAlign w:val="center"/>
          </w:tcPr>
          <w:p>
            <w:pPr>
              <w:spacing w:after="20"/>
            </w:pPr>
            <w:hyperlink r:id="rId125">
              <w:r>
                <w:rPr>
                  <w:color w:val="2F7F9E"/>
                  <w:rFonts w:ascii="Arial" w:hAnsi="Arial"/>
                  <w:sz w:val="12"/>
                  <w:b/>
                  <w:u w:val="none"/>
                </w:rPr>
                <w:t>Circular A-130 - Managing Information as a Strategic Resource</w:t>
              </w:r>
            </w:hyperlink>
          </w:p>
          <w:p>
            <w:pPr>
              <w:spacing w:before="0" w:after="0"/>
            </w:pPr>
            <w:r>
              <w:rPr>
                <w:rFonts w:ascii="Arial" w:hAnsi="Arial"/>
                <w:color w:val="7D766A"/>
                <w:sz w:val="10"/>
              </w:rPr>
              <w:t>OMB | Current baseline</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US10</w:t>
            </w:r>
          </w:p>
        </w:tc>
        <w:tc>
          <w:tcPr>
            <w:tcW w:type="dxa" w:w="4160"/>
            <w:shd w:fill="F1EFE5"/>
            <w:tcMar>
              <w:top w:w="42" w:type="dxa"/>
              <w:start w:w="70" w:type="dxa"/>
              <w:bottom w:w="42" w:type="dxa"/>
              <w:end w:w="70" w:type="dxa"/>
            </w:tcMar>
            <w:vAlign w:val="center"/>
          </w:tcPr>
          <w:p>
            <w:pPr>
              <w:spacing w:after="20"/>
            </w:pPr>
            <w:hyperlink r:id="rId126">
              <w:r>
                <w:rPr>
                  <w:color w:val="2F7F9E"/>
                  <w:rFonts w:ascii="Arial" w:hAnsi="Arial"/>
                  <w:sz w:val="12"/>
                  <w:b/>
                  <w:u w:val="none"/>
                </w:rPr>
                <w:t>President's FY 2026 Discretionary Budget Request</w:t>
              </w:r>
            </w:hyperlink>
          </w:p>
          <w:p>
            <w:pPr>
              <w:spacing w:before="0" w:after="0"/>
            </w:pPr>
            <w:r>
              <w:rPr>
                <w:rFonts w:ascii="Arial" w:hAnsi="Arial"/>
                <w:color w:val="7D766A"/>
                <w:sz w:val="10"/>
              </w:rPr>
              <w:t>OMB | Published 2025</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US11</w:t>
            </w:r>
          </w:p>
        </w:tc>
        <w:tc>
          <w:tcPr>
            <w:tcW w:type="dxa" w:w="4160"/>
            <w:shd w:fill="F1EFE5"/>
            <w:tcMar>
              <w:top w:w="42" w:type="dxa"/>
              <w:start w:w="70" w:type="dxa"/>
              <w:bottom w:w="42" w:type="dxa"/>
              <w:end w:w="70" w:type="dxa"/>
            </w:tcMar>
            <w:vAlign w:val="center"/>
          </w:tcPr>
          <w:p>
            <w:pPr>
              <w:spacing w:after="20"/>
            </w:pPr>
            <w:hyperlink r:id="rId127">
              <w:r>
                <w:rPr>
                  <w:color w:val="2F7F9E"/>
                  <w:rFonts w:ascii="Arial" w:hAnsi="Arial"/>
                  <w:sz w:val="12"/>
                  <w:b/>
                  <w:u w:val="none"/>
                </w:rPr>
                <w:t>M-26-10 - Transparency, Accountability, and Oversight of Federal Technology</w:t>
              </w:r>
            </w:hyperlink>
          </w:p>
          <w:p>
            <w:pPr>
              <w:spacing w:before="0" w:after="0"/>
            </w:pPr>
            <w:r>
              <w:rPr>
                <w:rFonts w:ascii="Arial" w:hAnsi="Arial"/>
                <w:color w:val="7D766A"/>
                <w:sz w:val="10"/>
              </w:rPr>
              <w:t>OMB | Issued 31 Mar 2026</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US12</w:t>
            </w:r>
          </w:p>
        </w:tc>
        <w:tc>
          <w:tcPr>
            <w:tcW w:type="dxa" w:w="4160"/>
            <w:tcMar>
              <w:top w:w="42" w:type="dxa"/>
              <w:start w:w="70" w:type="dxa"/>
              <w:bottom w:w="42" w:type="dxa"/>
              <w:end w:w="70" w:type="dxa"/>
            </w:tcMar>
            <w:vAlign w:val="center"/>
          </w:tcPr>
          <w:p>
            <w:pPr>
              <w:spacing w:after="20"/>
            </w:pPr>
            <w:hyperlink r:id="rId128">
              <w:r>
                <w:rPr>
                  <w:color w:val="2F7F9E"/>
                  <w:rFonts w:ascii="Arial" w:hAnsi="Arial"/>
                  <w:sz w:val="12"/>
                  <w:b/>
                  <w:u w:val="none"/>
                </w:rPr>
                <w:t>SB24-205 - Consumer Protections for Artificial Intelligence</w:t>
              </w:r>
            </w:hyperlink>
          </w:p>
          <w:p>
            <w:pPr>
              <w:spacing w:before="0" w:after="0"/>
            </w:pPr>
            <w:r>
              <w:rPr>
                <w:rFonts w:ascii="Arial" w:hAnsi="Arial"/>
                <w:color w:val="7D766A"/>
                <w:sz w:val="10"/>
              </w:rPr>
              <w:t>Colorado | Signed 17 May 2024; effective-date watch</w:t>
            </w:r>
          </w:p>
        </w:tc>
        <w:tc>
          <w:tcPr>
            <w:tcW w:type="dxa" w:w="520"/>
            <w:tcMar>
              <w:top w:w="42" w:type="dxa"/>
              <w:start w:w="55" w:type="dxa"/>
              <w:bottom w:w="42" w:type="dxa"/>
              <w:end w:w="55" w:type="dxa"/>
            </w:tcMar>
            <w:vAlign w:val="center"/>
          </w:tcPr>
          <w:p>
            <w:pPr>
              <w:spacing w:after="0"/>
            </w:pPr>
            <w:r>
              <w:rPr>
                <w:rFonts w:ascii="Arial" w:hAnsi="Arial"/>
                <w:b/>
                <w:color w:val="0E2530"/>
                <w:sz w:val="12"/>
              </w:rPr>
              <w:t>US13</w:t>
            </w:r>
          </w:p>
        </w:tc>
        <w:tc>
          <w:tcPr>
            <w:tcW w:type="dxa" w:w="4160"/>
            <w:tcMar>
              <w:top w:w="42" w:type="dxa"/>
              <w:start w:w="70" w:type="dxa"/>
              <w:bottom w:w="42" w:type="dxa"/>
              <w:end w:w="70" w:type="dxa"/>
            </w:tcMar>
            <w:vAlign w:val="center"/>
          </w:tcPr>
          <w:p>
            <w:pPr>
              <w:spacing w:after="20"/>
            </w:pPr>
            <w:hyperlink r:id="rId129">
              <w:r>
                <w:rPr>
                  <w:color w:val="2F7F9E"/>
                  <w:rFonts w:ascii="Arial" w:hAnsi="Arial"/>
                  <w:sz w:val="12"/>
                  <w:b/>
                  <w:u w:val="none"/>
                </w:rPr>
                <w:t>HB 149 - Texas Responsible Artificial Intelligence Governance Act</w:t>
              </w:r>
            </w:hyperlink>
          </w:p>
          <w:p>
            <w:pPr>
              <w:spacing w:before="0" w:after="0"/>
            </w:pPr>
            <w:r>
              <w:rPr>
                <w:rFonts w:ascii="Arial" w:hAnsi="Arial"/>
                <w:color w:val="7D766A"/>
                <w:sz w:val="10"/>
              </w:rPr>
              <w:t>Texas | Effective 1 Jan 2026</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US14</w:t>
            </w:r>
          </w:p>
        </w:tc>
        <w:tc>
          <w:tcPr>
            <w:tcW w:type="dxa" w:w="4160"/>
            <w:shd w:fill="F1EFE5"/>
            <w:tcMar>
              <w:top w:w="42" w:type="dxa"/>
              <w:start w:w="70" w:type="dxa"/>
              <w:bottom w:w="42" w:type="dxa"/>
              <w:end w:w="70" w:type="dxa"/>
            </w:tcMar>
            <w:vAlign w:val="center"/>
          </w:tcPr>
          <w:p>
            <w:pPr>
              <w:spacing w:after="20"/>
            </w:pPr>
            <w:hyperlink r:id="rId130">
              <w:r>
                <w:rPr>
                  <w:color w:val="2F7F9E"/>
                  <w:rFonts w:ascii="Arial" w:hAnsi="Arial"/>
                  <w:sz w:val="12"/>
                  <w:b/>
                  <w:u w:val="none"/>
                </w:rPr>
                <w:t>SB 149 / Artificial Intelligence Policy Act</w:t>
              </w:r>
            </w:hyperlink>
          </w:p>
          <w:p>
            <w:pPr>
              <w:spacing w:before="0" w:after="0"/>
            </w:pPr>
            <w:r>
              <w:rPr>
                <w:rFonts w:ascii="Arial" w:hAnsi="Arial"/>
                <w:color w:val="7D766A"/>
                <w:sz w:val="10"/>
              </w:rPr>
              <w:t>Utah | Effective 1 May 2024</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US15</w:t>
            </w:r>
          </w:p>
        </w:tc>
        <w:tc>
          <w:tcPr>
            <w:tcW w:type="dxa" w:w="4160"/>
            <w:shd w:fill="F1EFE5"/>
            <w:tcMar>
              <w:top w:w="42" w:type="dxa"/>
              <w:start w:w="70" w:type="dxa"/>
              <w:bottom w:w="42" w:type="dxa"/>
              <w:end w:w="70" w:type="dxa"/>
            </w:tcMar>
            <w:vAlign w:val="center"/>
          </w:tcPr>
          <w:p>
            <w:pPr>
              <w:spacing w:after="20"/>
            </w:pPr>
            <w:hyperlink r:id="rId131">
              <w:r>
                <w:rPr>
                  <w:color w:val="2F7F9E"/>
                  <w:rFonts w:ascii="Arial" w:hAnsi="Arial"/>
                  <w:sz w:val="12"/>
                  <w:b/>
                  <w:u w:val="none"/>
                </w:rPr>
                <w:t>AB 2013 - Generative AI training-data transparency</w:t>
              </w:r>
            </w:hyperlink>
          </w:p>
          <w:p>
            <w:pPr>
              <w:spacing w:before="0" w:after="0"/>
            </w:pPr>
            <w:r>
              <w:rPr>
                <w:rFonts w:ascii="Arial" w:hAnsi="Arial"/>
                <w:color w:val="7D766A"/>
                <w:sz w:val="10"/>
              </w:rPr>
              <w:t>California | Enacted 2024</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US16</w:t>
            </w:r>
          </w:p>
        </w:tc>
        <w:tc>
          <w:tcPr>
            <w:tcW w:type="dxa" w:w="4160"/>
            <w:tcMar>
              <w:top w:w="42" w:type="dxa"/>
              <w:start w:w="70" w:type="dxa"/>
              <w:bottom w:w="42" w:type="dxa"/>
              <w:end w:w="70" w:type="dxa"/>
            </w:tcMar>
            <w:vAlign w:val="center"/>
          </w:tcPr>
          <w:p>
            <w:pPr>
              <w:spacing w:after="20"/>
            </w:pPr>
            <w:hyperlink r:id="rId132">
              <w:r>
                <w:rPr>
                  <w:color w:val="2F7F9E"/>
                  <w:rFonts w:ascii="Arial" w:hAnsi="Arial"/>
                  <w:sz w:val="12"/>
                  <w:b/>
                  <w:u w:val="none"/>
                </w:rPr>
                <w:t>SB 942 - AI-generated content transparency</w:t>
              </w:r>
            </w:hyperlink>
          </w:p>
          <w:p>
            <w:pPr>
              <w:spacing w:before="0" w:after="0"/>
            </w:pPr>
            <w:r>
              <w:rPr>
                <w:rFonts w:ascii="Arial" w:hAnsi="Arial"/>
                <w:color w:val="7D766A"/>
                <w:sz w:val="10"/>
              </w:rPr>
              <w:t>California | Enacted 2024</w:t>
            </w:r>
          </w:p>
        </w:tc>
        <w:tc>
          <w:tcPr>
            <w:tcW w:type="dxa" w:w="520"/>
            <w:tcMar>
              <w:top w:w="42" w:type="dxa"/>
              <w:start w:w="55" w:type="dxa"/>
              <w:bottom w:w="42" w:type="dxa"/>
              <w:end w:w="55" w:type="dxa"/>
            </w:tcMar>
            <w:vAlign w:val="center"/>
          </w:tcPr>
          <w:p>
            <w:pPr>
              <w:spacing w:after="0"/>
            </w:pPr>
            <w:r>
              <w:rPr>
                <w:rFonts w:ascii="Arial" w:hAnsi="Arial"/>
                <w:b/>
                <w:color w:val="0E2530"/>
                <w:sz w:val="12"/>
              </w:rPr>
              <w:t>US17</w:t>
            </w:r>
          </w:p>
        </w:tc>
        <w:tc>
          <w:tcPr>
            <w:tcW w:type="dxa" w:w="4160"/>
            <w:tcMar>
              <w:top w:w="42" w:type="dxa"/>
              <w:start w:w="70" w:type="dxa"/>
              <w:bottom w:w="42" w:type="dxa"/>
              <w:end w:w="70" w:type="dxa"/>
            </w:tcMar>
            <w:vAlign w:val="center"/>
          </w:tcPr>
          <w:p>
            <w:pPr>
              <w:spacing w:after="20"/>
            </w:pPr>
            <w:hyperlink r:id="rId133">
              <w:r>
                <w:rPr>
                  <w:color w:val="2F7F9E"/>
                  <w:rFonts w:ascii="Arial" w:hAnsi="Arial"/>
                  <w:sz w:val="12"/>
                  <w:b/>
                  <w:u w:val="none"/>
                </w:rPr>
                <w:t>Local Law 144 - Automated Employment Decision Tools</w:t>
              </w:r>
            </w:hyperlink>
          </w:p>
          <w:p>
            <w:pPr>
              <w:spacing w:before="0" w:after="0"/>
            </w:pPr>
            <w:r>
              <w:rPr>
                <w:rFonts w:ascii="Arial" w:hAnsi="Arial"/>
                <w:color w:val="7D766A"/>
                <w:sz w:val="10"/>
              </w:rPr>
              <w:t>New York City | Enforced from 5 Jul 2023</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EU01</w:t>
            </w:r>
          </w:p>
        </w:tc>
        <w:tc>
          <w:tcPr>
            <w:tcW w:type="dxa" w:w="4160"/>
            <w:shd w:fill="F1EFE5"/>
            <w:tcMar>
              <w:top w:w="42" w:type="dxa"/>
              <w:start w:w="70" w:type="dxa"/>
              <w:bottom w:w="42" w:type="dxa"/>
              <w:end w:w="70" w:type="dxa"/>
            </w:tcMar>
            <w:vAlign w:val="center"/>
          </w:tcPr>
          <w:p>
            <w:pPr>
              <w:spacing w:after="20"/>
            </w:pPr>
            <w:hyperlink r:id="rId134">
              <w:r>
                <w:rPr>
                  <w:color w:val="2F7F9E"/>
                  <w:rFonts w:ascii="Arial" w:hAnsi="Arial"/>
                  <w:sz w:val="12"/>
                  <w:b/>
                  <w:u w:val="none"/>
                </w:rPr>
                <w:t>Regulation (EU) 2024/1689 - AI Act</w:t>
              </w:r>
            </w:hyperlink>
          </w:p>
          <w:p>
            <w:pPr>
              <w:spacing w:before="0" w:after="0"/>
            </w:pPr>
            <w:r>
              <w:rPr>
                <w:rFonts w:ascii="Arial" w:hAnsi="Arial"/>
                <w:color w:val="7D766A"/>
                <w:sz w:val="10"/>
              </w:rPr>
              <w:t>European Union | In force; phased application</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EU02</w:t>
            </w:r>
          </w:p>
        </w:tc>
        <w:tc>
          <w:tcPr>
            <w:tcW w:type="dxa" w:w="4160"/>
            <w:shd w:fill="F1EFE5"/>
            <w:tcMar>
              <w:top w:w="42" w:type="dxa"/>
              <w:start w:w="70" w:type="dxa"/>
              <w:bottom w:w="42" w:type="dxa"/>
              <w:end w:w="70" w:type="dxa"/>
            </w:tcMar>
            <w:vAlign w:val="center"/>
          </w:tcPr>
          <w:p>
            <w:pPr>
              <w:spacing w:after="20"/>
            </w:pPr>
            <w:hyperlink r:id="rId135">
              <w:r>
                <w:rPr>
                  <w:color w:val="2F7F9E"/>
                  <w:rFonts w:ascii="Arial" w:hAnsi="Arial"/>
                  <w:sz w:val="12"/>
                  <w:b/>
                  <w:u w:val="none"/>
                </w:rPr>
                <w:t>Regulation (EU) 2022/868 - Data Governance Act</w:t>
              </w:r>
            </w:hyperlink>
          </w:p>
          <w:p>
            <w:pPr>
              <w:spacing w:before="0" w:after="0"/>
            </w:pPr>
            <w:r>
              <w:rPr>
                <w:rFonts w:ascii="Arial" w:hAnsi="Arial"/>
                <w:color w:val="7D766A"/>
                <w:sz w:val="10"/>
              </w:rPr>
              <w:t>European Union | Applicable</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EU03</w:t>
            </w:r>
          </w:p>
        </w:tc>
        <w:tc>
          <w:tcPr>
            <w:tcW w:type="dxa" w:w="4160"/>
            <w:tcMar>
              <w:top w:w="42" w:type="dxa"/>
              <w:start w:w="70" w:type="dxa"/>
              <w:bottom w:w="42" w:type="dxa"/>
              <w:end w:w="70" w:type="dxa"/>
            </w:tcMar>
            <w:vAlign w:val="center"/>
          </w:tcPr>
          <w:p>
            <w:pPr>
              <w:spacing w:after="20"/>
            </w:pPr>
            <w:hyperlink r:id="rId136">
              <w:r>
                <w:rPr>
                  <w:color w:val="2F7F9E"/>
                  <w:rFonts w:ascii="Arial" w:hAnsi="Arial"/>
                  <w:sz w:val="12"/>
                  <w:b/>
                  <w:u w:val="none"/>
                </w:rPr>
                <w:t>Regulation (EU) 2023/2854 - Data Act</w:t>
              </w:r>
            </w:hyperlink>
          </w:p>
          <w:p>
            <w:pPr>
              <w:spacing w:before="0" w:after="0"/>
            </w:pPr>
            <w:r>
              <w:rPr>
                <w:rFonts w:ascii="Arial" w:hAnsi="Arial"/>
                <w:color w:val="7D766A"/>
                <w:sz w:val="10"/>
              </w:rPr>
              <w:t>European Union | Applicable from 12 Sep 2025</w:t>
            </w:r>
          </w:p>
        </w:tc>
        <w:tc>
          <w:tcPr>
            <w:tcW w:type="dxa" w:w="520"/>
            <w:tcMar>
              <w:top w:w="42" w:type="dxa"/>
              <w:start w:w="55" w:type="dxa"/>
              <w:bottom w:w="42" w:type="dxa"/>
              <w:end w:w="55" w:type="dxa"/>
            </w:tcMar>
            <w:vAlign w:val="center"/>
          </w:tcPr>
          <w:p>
            <w:pPr>
              <w:spacing w:after="0"/>
            </w:pPr>
            <w:r>
              <w:rPr>
                <w:rFonts w:ascii="Arial" w:hAnsi="Arial"/>
                <w:b/>
                <w:color w:val="0E2530"/>
                <w:sz w:val="12"/>
              </w:rPr>
              <w:t>EU04</w:t>
            </w:r>
          </w:p>
        </w:tc>
        <w:tc>
          <w:tcPr>
            <w:tcW w:type="dxa" w:w="4160"/>
            <w:tcMar>
              <w:top w:w="42" w:type="dxa"/>
              <w:start w:w="70" w:type="dxa"/>
              <w:bottom w:w="42" w:type="dxa"/>
              <w:end w:w="70" w:type="dxa"/>
            </w:tcMar>
            <w:vAlign w:val="center"/>
          </w:tcPr>
          <w:p>
            <w:pPr>
              <w:spacing w:after="20"/>
            </w:pPr>
            <w:hyperlink r:id="rId137">
              <w:r>
                <w:rPr>
                  <w:color w:val="2F7F9E"/>
                  <w:rFonts w:ascii="Arial" w:hAnsi="Arial"/>
                  <w:sz w:val="12"/>
                  <w:b/>
                  <w:u w:val="none"/>
                </w:rPr>
                <w:t>Regulation (EU) 2016/679 - General Data Protection Regulation</w:t>
              </w:r>
            </w:hyperlink>
          </w:p>
          <w:p>
            <w:pPr>
              <w:spacing w:before="0" w:after="0"/>
            </w:pPr>
            <w:r>
              <w:rPr>
                <w:rFonts w:ascii="Arial" w:hAnsi="Arial"/>
                <w:color w:val="7D766A"/>
                <w:sz w:val="10"/>
              </w:rPr>
              <w:t>European Union | Applicable</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EU05</w:t>
            </w:r>
          </w:p>
        </w:tc>
        <w:tc>
          <w:tcPr>
            <w:tcW w:type="dxa" w:w="4160"/>
            <w:shd w:fill="F1EFE5"/>
            <w:tcMar>
              <w:top w:w="42" w:type="dxa"/>
              <w:start w:w="70" w:type="dxa"/>
              <w:bottom w:w="42" w:type="dxa"/>
              <w:end w:w="70" w:type="dxa"/>
            </w:tcMar>
            <w:vAlign w:val="center"/>
          </w:tcPr>
          <w:p>
            <w:pPr>
              <w:spacing w:after="20"/>
            </w:pPr>
            <w:hyperlink r:id="rId138">
              <w:r>
                <w:rPr>
                  <w:color w:val="2F7F9E"/>
                  <w:rFonts w:ascii="Arial" w:hAnsi="Arial"/>
                  <w:sz w:val="12"/>
                  <w:b/>
                  <w:u w:val="none"/>
                </w:rPr>
                <w:t>Directive (EU) 2022/2555 - NIS2</w:t>
              </w:r>
            </w:hyperlink>
          </w:p>
          <w:p>
            <w:pPr>
              <w:spacing w:before="0" w:after="0"/>
            </w:pPr>
            <w:r>
              <w:rPr>
                <w:rFonts w:ascii="Arial" w:hAnsi="Arial"/>
                <w:color w:val="7D766A"/>
                <w:sz w:val="10"/>
              </w:rPr>
              <w:t>European Union | Transposition / enforcement varies</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EU06</w:t>
            </w:r>
          </w:p>
        </w:tc>
        <w:tc>
          <w:tcPr>
            <w:tcW w:type="dxa" w:w="4160"/>
            <w:shd w:fill="F1EFE5"/>
            <w:tcMar>
              <w:top w:w="42" w:type="dxa"/>
              <w:start w:w="70" w:type="dxa"/>
              <w:bottom w:w="42" w:type="dxa"/>
              <w:end w:w="70" w:type="dxa"/>
            </w:tcMar>
            <w:vAlign w:val="center"/>
          </w:tcPr>
          <w:p>
            <w:pPr>
              <w:spacing w:after="20"/>
            </w:pPr>
            <w:hyperlink r:id="rId139">
              <w:r>
                <w:rPr>
                  <w:color w:val="2F7F9E"/>
                  <w:rFonts w:ascii="Arial" w:hAnsi="Arial"/>
                  <w:sz w:val="12"/>
                  <w:b/>
                  <w:u w:val="none"/>
                </w:rPr>
                <w:t>Directive (EU) 2019/1024 - Open Data Directive</w:t>
              </w:r>
            </w:hyperlink>
          </w:p>
          <w:p>
            <w:pPr>
              <w:spacing w:before="0" w:after="0"/>
            </w:pPr>
            <w:r>
              <w:rPr>
                <w:rFonts w:ascii="Arial" w:hAnsi="Arial"/>
                <w:color w:val="7D766A"/>
                <w:sz w:val="10"/>
              </w:rPr>
              <w:t>European Union | Transposed</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EU07</w:t>
            </w:r>
          </w:p>
        </w:tc>
        <w:tc>
          <w:tcPr>
            <w:tcW w:type="dxa" w:w="4160"/>
            <w:tcMar>
              <w:top w:w="42" w:type="dxa"/>
              <w:start w:w="70" w:type="dxa"/>
              <w:bottom w:w="42" w:type="dxa"/>
              <w:end w:w="70" w:type="dxa"/>
            </w:tcMar>
            <w:vAlign w:val="center"/>
          </w:tcPr>
          <w:p>
            <w:pPr>
              <w:spacing w:after="20"/>
            </w:pPr>
            <w:hyperlink r:id="rId140">
              <w:r>
                <w:rPr>
                  <w:color w:val="2F7F9E"/>
                  <w:rFonts w:ascii="Arial" w:hAnsi="Arial"/>
                  <w:sz w:val="12"/>
                  <w:b/>
                  <w:u w:val="none"/>
                </w:rPr>
                <w:t>AI Continent Action Plan</w:t>
              </w:r>
            </w:hyperlink>
          </w:p>
          <w:p>
            <w:pPr>
              <w:spacing w:before="0" w:after="0"/>
            </w:pPr>
            <w:r>
              <w:rPr>
                <w:rFonts w:ascii="Arial" w:hAnsi="Arial"/>
                <w:color w:val="7D766A"/>
                <w:sz w:val="10"/>
              </w:rPr>
              <w:t>European Commission | Published 9 Apr 2025</w:t>
            </w:r>
          </w:p>
        </w:tc>
        <w:tc>
          <w:tcPr>
            <w:tcW w:type="dxa" w:w="520"/>
            <w:tcMar>
              <w:top w:w="42" w:type="dxa"/>
              <w:start w:w="55" w:type="dxa"/>
              <w:bottom w:w="42" w:type="dxa"/>
              <w:end w:w="55" w:type="dxa"/>
            </w:tcMar>
            <w:vAlign w:val="center"/>
          </w:tcPr>
          <w:p>
            <w:pPr>
              <w:spacing w:after="0"/>
            </w:pPr>
            <w:r>
              <w:rPr>
                <w:rFonts w:ascii="Arial" w:hAnsi="Arial"/>
                <w:b/>
                <w:color w:val="0E2530"/>
                <w:sz w:val="12"/>
              </w:rPr>
              <w:t>EU08</w:t>
            </w:r>
          </w:p>
        </w:tc>
        <w:tc>
          <w:tcPr>
            <w:tcW w:type="dxa" w:w="4160"/>
            <w:tcMar>
              <w:top w:w="42" w:type="dxa"/>
              <w:start w:w="70" w:type="dxa"/>
              <w:bottom w:w="42" w:type="dxa"/>
              <w:end w:w="70" w:type="dxa"/>
            </w:tcMar>
            <w:vAlign w:val="center"/>
          </w:tcPr>
          <w:p>
            <w:pPr>
              <w:spacing w:after="20"/>
            </w:pPr>
            <w:hyperlink r:id="rId141">
              <w:r>
                <w:rPr>
                  <w:color w:val="2F7F9E"/>
                  <w:rFonts w:ascii="Arial" w:hAnsi="Arial"/>
                  <w:sz w:val="12"/>
                  <w:b/>
                  <w:u w:val="none"/>
                </w:rPr>
                <w:t>Apply AI Strategy</w:t>
              </w:r>
            </w:hyperlink>
          </w:p>
          <w:p>
            <w:pPr>
              <w:spacing w:before="0" w:after="0"/>
            </w:pPr>
            <w:r>
              <w:rPr>
                <w:rFonts w:ascii="Arial" w:hAnsi="Arial"/>
                <w:color w:val="7D766A"/>
                <w:sz w:val="10"/>
              </w:rPr>
              <w:t>European Commission | Published 8 Oct 2025</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EU09</w:t>
            </w:r>
          </w:p>
        </w:tc>
        <w:tc>
          <w:tcPr>
            <w:tcW w:type="dxa" w:w="4160"/>
            <w:shd w:fill="F1EFE5"/>
            <w:tcMar>
              <w:top w:w="42" w:type="dxa"/>
              <w:start w:w="70" w:type="dxa"/>
              <w:bottom w:w="42" w:type="dxa"/>
              <w:end w:w="70" w:type="dxa"/>
            </w:tcMar>
            <w:vAlign w:val="center"/>
          </w:tcPr>
          <w:p>
            <w:pPr>
              <w:spacing w:after="20"/>
            </w:pPr>
            <w:hyperlink r:id="rId142">
              <w:r>
                <w:rPr>
                  <w:color w:val="2F7F9E"/>
                  <w:rFonts w:ascii="Arial" w:hAnsi="Arial"/>
                  <w:sz w:val="12"/>
                  <w:b/>
                  <w:u w:val="none"/>
                </w:rPr>
                <w:t>European Data Union Strategy</w:t>
              </w:r>
            </w:hyperlink>
          </w:p>
          <w:p>
            <w:pPr>
              <w:spacing w:before="0" w:after="0"/>
            </w:pPr>
            <w:r>
              <w:rPr>
                <w:rFonts w:ascii="Arial" w:hAnsi="Arial"/>
                <w:color w:val="7D766A"/>
                <w:sz w:val="10"/>
              </w:rPr>
              <w:t>European Commission | Published 19 Nov 2025</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G01</w:t>
            </w:r>
          </w:p>
        </w:tc>
        <w:tc>
          <w:tcPr>
            <w:tcW w:type="dxa" w:w="4160"/>
            <w:shd w:fill="F1EFE5"/>
            <w:tcMar>
              <w:top w:w="42" w:type="dxa"/>
              <w:start w:w="70" w:type="dxa"/>
              <w:bottom w:w="42" w:type="dxa"/>
              <w:end w:w="70" w:type="dxa"/>
            </w:tcMar>
            <w:vAlign w:val="center"/>
          </w:tcPr>
          <w:p>
            <w:pPr>
              <w:spacing w:after="20"/>
            </w:pPr>
            <w:hyperlink r:id="rId143">
              <w:r>
                <w:rPr>
                  <w:color w:val="2F7F9E"/>
                  <w:rFonts w:ascii="Arial" w:hAnsi="Arial"/>
                  <w:sz w:val="12"/>
                  <w:b/>
                  <w:u w:val="none"/>
                </w:rPr>
                <w:t>Data (Use and Access) Act 2025</w:t>
              </w:r>
            </w:hyperlink>
          </w:p>
          <w:p>
            <w:pPr>
              <w:spacing w:before="0" w:after="0"/>
            </w:pPr>
            <w:r>
              <w:rPr>
                <w:rFonts w:ascii="Arial" w:hAnsi="Arial"/>
                <w:color w:val="7D766A"/>
                <w:sz w:val="10"/>
              </w:rPr>
              <w:t>United Kingdom | Royal Assent 19 Jun 2025; phased commencement</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G02</w:t>
            </w:r>
          </w:p>
        </w:tc>
        <w:tc>
          <w:tcPr>
            <w:tcW w:type="dxa" w:w="4160"/>
            <w:tcMar>
              <w:top w:w="42" w:type="dxa"/>
              <w:start w:w="70" w:type="dxa"/>
              <w:bottom w:w="42" w:type="dxa"/>
              <w:end w:w="70" w:type="dxa"/>
            </w:tcMar>
            <w:vAlign w:val="center"/>
          </w:tcPr>
          <w:p>
            <w:pPr>
              <w:spacing w:after="20"/>
            </w:pPr>
            <w:hyperlink r:id="rId144">
              <w:r>
                <w:rPr>
                  <w:color w:val="2F7F9E"/>
                  <w:rFonts w:ascii="Arial" w:hAnsi="Arial"/>
                  <w:sz w:val="12"/>
                  <w:b/>
                  <w:u w:val="none"/>
                </w:rPr>
                <w:t>Directive on Automated Decision-Making + Algorithmic Impact Assessment</w:t>
              </w:r>
            </w:hyperlink>
          </w:p>
          <w:p>
            <w:pPr>
              <w:spacing w:before="0" w:after="0"/>
            </w:pPr>
            <w:r>
              <w:rPr>
                <w:rFonts w:ascii="Arial" w:hAnsi="Arial"/>
                <w:color w:val="7D766A"/>
                <w:sz w:val="10"/>
              </w:rPr>
              <w:t>Canada | Current</w:t>
            </w:r>
          </w:p>
        </w:tc>
        <w:tc>
          <w:tcPr>
            <w:tcW w:type="dxa" w:w="520"/>
            <w:tcMar>
              <w:top w:w="42" w:type="dxa"/>
              <w:start w:w="55" w:type="dxa"/>
              <w:bottom w:w="42" w:type="dxa"/>
              <w:end w:w="55" w:type="dxa"/>
            </w:tcMar>
            <w:vAlign w:val="center"/>
          </w:tcPr>
          <w:p>
            <w:pPr>
              <w:spacing w:after="0"/>
            </w:pPr>
            <w:r>
              <w:rPr>
                <w:rFonts w:ascii="Arial" w:hAnsi="Arial"/>
                <w:b/>
                <w:color w:val="0E2530"/>
                <w:sz w:val="12"/>
              </w:rPr>
              <w:t>G03</w:t>
            </w:r>
          </w:p>
        </w:tc>
        <w:tc>
          <w:tcPr>
            <w:tcW w:type="dxa" w:w="4160"/>
            <w:tcMar>
              <w:top w:w="42" w:type="dxa"/>
              <w:start w:w="70" w:type="dxa"/>
              <w:bottom w:w="42" w:type="dxa"/>
              <w:end w:w="70" w:type="dxa"/>
            </w:tcMar>
            <w:vAlign w:val="center"/>
          </w:tcPr>
          <w:p>
            <w:pPr>
              <w:spacing w:after="20"/>
            </w:pPr>
            <w:hyperlink r:id="rId145">
              <w:r>
                <w:rPr>
                  <w:color w:val="2F7F9E"/>
                  <w:rFonts w:ascii="Arial" w:hAnsi="Arial"/>
                  <w:sz w:val="12"/>
                  <w:b/>
                  <w:u w:val="none"/>
                </w:rPr>
                <w:t>2023-2026 Data Strategy for the Federal Public Service</w:t>
              </w:r>
            </w:hyperlink>
          </w:p>
          <w:p>
            <w:pPr>
              <w:spacing w:before="0" w:after="0"/>
            </w:pPr>
            <w:r>
              <w:rPr>
                <w:rFonts w:ascii="Arial" w:hAnsi="Arial"/>
                <w:color w:val="7D766A"/>
                <w:sz w:val="10"/>
              </w:rPr>
              <w:t>Canada | Current strategy</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G04</w:t>
            </w:r>
          </w:p>
        </w:tc>
        <w:tc>
          <w:tcPr>
            <w:tcW w:type="dxa" w:w="4160"/>
            <w:shd w:fill="F1EFE5"/>
            <w:tcMar>
              <w:top w:w="42" w:type="dxa"/>
              <w:start w:w="70" w:type="dxa"/>
              <w:bottom w:w="42" w:type="dxa"/>
              <w:end w:w="70" w:type="dxa"/>
            </w:tcMar>
            <w:vAlign w:val="center"/>
          </w:tcPr>
          <w:p>
            <w:pPr>
              <w:spacing w:after="20"/>
            </w:pPr>
            <w:hyperlink r:id="rId146">
              <w:r>
                <w:rPr>
                  <w:color w:val="2F7F9E"/>
                  <w:rFonts w:ascii="Arial" w:hAnsi="Arial"/>
                  <w:sz w:val="12"/>
                  <w:b/>
                  <w:u w:val="none"/>
                </w:rPr>
                <w:t>Policy for responsible use of AI in government v2.0</w:t>
              </w:r>
            </w:hyperlink>
          </w:p>
          <w:p>
            <w:pPr>
              <w:spacing w:before="0" w:after="0"/>
            </w:pPr>
            <w:r>
              <w:rPr>
                <w:rFonts w:ascii="Arial" w:hAnsi="Arial"/>
                <w:color w:val="7D766A"/>
                <w:sz w:val="10"/>
              </w:rPr>
              <w:t>Australia | Effective 15 Dec 2025</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G05</w:t>
            </w:r>
          </w:p>
        </w:tc>
        <w:tc>
          <w:tcPr>
            <w:tcW w:type="dxa" w:w="4160"/>
            <w:shd w:fill="F1EFE5"/>
            <w:tcMar>
              <w:top w:w="42" w:type="dxa"/>
              <w:start w:w="70" w:type="dxa"/>
              <w:bottom w:w="42" w:type="dxa"/>
              <w:end w:w="70" w:type="dxa"/>
            </w:tcMar>
            <w:vAlign w:val="center"/>
          </w:tcPr>
          <w:p>
            <w:pPr>
              <w:spacing w:after="20"/>
            </w:pPr>
            <w:hyperlink r:id="rId147">
              <w:r>
                <w:rPr>
                  <w:color w:val="2F7F9E"/>
                  <w:rFonts w:ascii="Arial" w:hAnsi="Arial"/>
                  <w:sz w:val="12"/>
                  <w:b/>
                  <w:u w:val="none"/>
                </w:rPr>
                <w:t>Australian Government Data Governance Framework</w:t>
              </w:r>
            </w:hyperlink>
          </w:p>
          <w:p>
            <w:pPr>
              <w:spacing w:before="0" w:after="0"/>
            </w:pPr>
            <w:r>
              <w:rPr>
                <w:rFonts w:ascii="Arial" w:hAnsi="Arial"/>
                <w:color w:val="7D766A"/>
                <w:sz w:val="10"/>
              </w:rPr>
              <w:t>Australia | Published 2025</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G06</w:t>
            </w:r>
          </w:p>
        </w:tc>
        <w:tc>
          <w:tcPr>
            <w:tcW w:type="dxa" w:w="4160"/>
            <w:tcMar>
              <w:top w:w="42" w:type="dxa"/>
              <w:start w:w="70" w:type="dxa"/>
              <w:bottom w:w="42" w:type="dxa"/>
              <w:end w:w="70" w:type="dxa"/>
            </w:tcMar>
            <w:vAlign w:val="center"/>
          </w:tcPr>
          <w:p>
            <w:pPr>
              <w:spacing w:after="20"/>
            </w:pPr>
            <w:hyperlink r:id="rId148">
              <w:r>
                <w:rPr>
                  <w:color w:val="2F7F9E"/>
                  <w:rFonts w:ascii="Arial" w:hAnsi="Arial"/>
                  <w:sz w:val="12"/>
                  <w:b/>
                  <w:u w:val="none"/>
                </w:rPr>
                <w:t>AI Guidelines for Business v1.0</w:t>
              </w:r>
            </w:hyperlink>
          </w:p>
          <w:p>
            <w:pPr>
              <w:spacing w:before="0" w:after="0"/>
            </w:pPr>
            <w:r>
              <w:rPr>
                <w:rFonts w:ascii="Arial" w:hAnsi="Arial"/>
                <w:color w:val="7D766A"/>
                <w:sz w:val="10"/>
              </w:rPr>
              <w:t>Japan | Published Apr 2024</w:t>
            </w:r>
          </w:p>
        </w:tc>
        <w:tc>
          <w:tcPr>
            <w:tcW w:type="dxa" w:w="520"/>
            <w:tcMar>
              <w:top w:w="42" w:type="dxa"/>
              <w:start w:w="55" w:type="dxa"/>
              <w:bottom w:w="42" w:type="dxa"/>
              <w:end w:w="55" w:type="dxa"/>
            </w:tcMar>
            <w:vAlign w:val="center"/>
          </w:tcPr>
          <w:p>
            <w:pPr>
              <w:spacing w:after="0"/>
            </w:pPr>
            <w:r>
              <w:rPr>
                <w:rFonts w:ascii="Arial" w:hAnsi="Arial"/>
                <w:b/>
                <w:color w:val="0E2530"/>
                <w:sz w:val="12"/>
              </w:rPr>
              <w:t>G07</w:t>
            </w:r>
          </w:p>
        </w:tc>
        <w:tc>
          <w:tcPr>
            <w:tcW w:type="dxa" w:w="4160"/>
            <w:tcMar>
              <w:top w:w="42" w:type="dxa"/>
              <w:start w:w="70" w:type="dxa"/>
              <w:bottom w:w="42" w:type="dxa"/>
              <w:end w:w="70" w:type="dxa"/>
            </w:tcMar>
            <w:vAlign w:val="center"/>
          </w:tcPr>
          <w:p>
            <w:pPr>
              <w:spacing w:after="20"/>
            </w:pPr>
            <w:hyperlink r:id="rId149">
              <w:r>
                <w:rPr>
                  <w:color w:val="2F7F9E"/>
                  <w:rFonts w:ascii="Arial" w:hAnsi="Arial"/>
                  <w:sz w:val="12"/>
                  <w:b/>
                  <w:u w:val="none"/>
                </w:rPr>
                <w:t>Framework Act on the Development of AI and Establishment of Trust</w:t>
              </w:r>
            </w:hyperlink>
          </w:p>
          <w:p>
            <w:pPr>
              <w:spacing w:before="0" w:after="0"/>
            </w:pPr>
            <w:r>
              <w:rPr>
                <w:rFonts w:ascii="Arial" w:hAnsi="Arial"/>
                <w:color w:val="7D766A"/>
                <w:sz w:val="10"/>
              </w:rPr>
              <w:t>Republic of Korea | Effective Jan 2026</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G08</w:t>
            </w:r>
          </w:p>
        </w:tc>
        <w:tc>
          <w:tcPr>
            <w:tcW w:type="dxa" w:w="4160"/>
            <w:shd w:fill="F1EFE5"/>
            <w:tcMar>
              <w:top w:w="42" w:type="dxa"/>
              <w:start w:w="70" w:type="dxa"/>
              <w:bottom w:w="42" w:type="dxa"/>
              <w:end w:w="70" w:type="dxa"/>
            </w:tcMar>
            <w:vAlign w:val="center"/>
          </w:tcPr>
          <w:p>
            <w:pPr>
              <w:spacing w:after="20"/>
            </w:pPr>
            <w:hyperlink r:id="rId150">
              <w:r>
                <w:rPr>
                  <w:color w:val="2F7F9E"/>
                  <w:rFonts w:ascii="Arial" w:hAnsi="Arial"/>
                  <w:sz w:val="12"/>
                  <w:b/>
                  <w:u w:val="none"/>
                </w:rPr>
                <w:t>Public Sector (Governance) Act 2018</w:t>
              </w:r>
            </w:hyperlink>
          </w:p>
          <w:p>
            <w:pPr>
              <w:spacing w:before="0" w:after="0"/>
            </w:pPr>
            <w:r>
              <w:rPr>
                <w:rFonts w:ascii="Arial" w:hAnsi="Arial"/>
                <w:color w:val="7D766A"/>
                <w:sz w:val="10"/>
              </w:rPr>
              <w:t>Singapore | In force</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G09</w:t>
            </w:r>
          </w:p>
        </w:tc>
        <w:tc>
          <w:tcPr>
            <w:tcW w:type="dxa" w:w="4160"/>
            <w:shd w:fill="F1EFE5"/>
            <w:tcMar>
              <w:top w:w="42" w:type="dxa"/>
              <w:start w:w="70" w:type="dxa"/>
              <w:bottom w:w="42" w:type="dxa"/>
              <w:end w:w="70" w:type="dxa"/>
            </w:tcMar>
            <w:vAlign w:val="center"/>
          </w:tcPr>
          <w:p>
            <w:pPr>
              <w:spacing w:after="20"/>
            </w:pPr>
            <w:hyperlink r:id="rId151">
              <w:r>
                <w:rPr>
                  <w:color w:val="2F7F9E"/>
                  <w:rFonts w:ascii="Arial" w:hAnsi="Arial"/>
                  <w:sz w:val="12"/>
                  <w:b/>
                  <w:u w:val="none"/>
                </w:rPr>
                <w:t>Model AI Governance Frameworks</w:t>
              </w:r>
            </w:hyperlink>
          </w:p>
          <w:p>
            <w:pPr>
              <w:spacing w:before="0" w:after="0"/>
            </w:pPr>
            <w:r>
              <w:rPr>
                <w:rFonts w:ascii="Arial" w:hAnsi="Arial"/>
                <w:color w:val="7D766A"/>
                <w:sz w:val="10"/>
              </w:rPr>
              <w:t>Singapore / IMDA | Traditional, GenAI 2024; Agentic AI 2026</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G10</w:t>
            </w:r>
          </w:p>
        </w:tc>
        <w:tc>
          <w:tcPr>
            <w:tcW w:type="dxa" w:w="4160"/>
            <w:tcMar>
              <w:top w:w="42" w:type="dxa"/>
              <w:start w:w="70" w:type="dxa"/>
              <w:bottom w:w="42" w:type="dxa"/>
              <w:end w:w="70" w:type="dxa"/>
            </w:tcMar>
            <w:vAlign w:val="center"/>
          </w:tcPr>
          <w:p>
            <w:pPr>
              <w:spacing w:after="20"/>
            </w:pPr>
            <w:hyperlink r:id="rId152">
              <w:r>
                <w:rPr>
                  <w:color w:val="2F7F9E"/>
                  <w:rFonts w:ascii="Arial" w:hAnsi="Arial"/>
                  <w:sz w:val="12"/>
                  <w:b/>
                  <w:u w:val="none"/>
                </w:rPr>
                <w:t>Digital Personal Data Protection Rules 2025</w:t>
              </w:r>
            </w:hyperlink>
          </w:p>
          <w:p>
            <w:pPr>
              <w:spacing w:before="0" w:after="0"/>
            </w:pPr>
            <w:r>
              <w:rPr>
                <w:rFonts w:ascii="Arial" w:hAnsi="Arial"/>
                <w:color w:val="7D766A"/>
                <w:sz w:val="10"/>
              </w:rPr>
              <w:t>India | Notified with phased implementation</w:t>
            </w:r>
          </w:p>
        </w:tc>
        <w:tc>
          <w:tcPr>
            <w:tcW w:type="dxa" w:w="520"/>
            <w:tcMar>
              <w:top w:w="42" w:type="dxa"/>
              <w:start w:w="55" w:type="dxa"/>
              <w:bottom w:w="42" w:type="dxa"/>
              <w:end w:w="55" w:type="dxa"/>
            </w:tcMar>
            <w:vAlign w:val="center"/>
          </w:tcPr>
          <w:p>
            <w:pPr>
              <w:spacing w:after="0"/>
            </w:pPr>
            <w:r>
              <w:rPr>
                <w:rFonts w:ascii="Arial" w:hAnsi="Arial"/>
                <w:b/>
                <w:color w:val="0E2530"/>
                <w:sz w:val="12"/>
              </w:rPr>
              <w:t>G11</w:t>
            </w:r>
          </w:p>
        </w:tc>
        <w:tc>
          <w:tcPr>
            <w:tcW w:type="dxa" w:w="4160"/>
            <w:tcMar>
              <w:top w:w="42" w:type="dxa"/>
              <w:start w:w="70" w:type="dxa"/>
              <w:bottom w:w="42" w:type="dxa"/>
              <w:end w:w="70" w:type="dxa"/>
            </w:tcMar>
            <w:vAlign w:val="center"/>
          </w:tcPr>
          <w:p>
            <w:pPr>
              <w:spacing w:after="20"/>
            </w:pPr>
            <w:hyperlink r:id="rId153">
              <w:r>
                <w:rPr>
                  <w:color w:val="2F7F9E"/>
                  <w:rFonts w:ascii="Arial" w:hAnsi="Arial"/>
                  <w:sz w:val="12"/>
                  <w:b/>
                  <w:u w:val="none"/>
                </w:rPr>
                <w:t>Personal Information Protection Law</w:t>
              </w:r>
            </w:hyperlink>
          </w:p>
          <w:p>
            <w:pPr>
              <w:spacing w:before="0" w:after="0"/>
            </w:pPr>
            <w:r>
              <w:rPr>
                <w:rFonts w:ascii="Arial" w:hAnsi="Arial"/>
                <w:color w:val="7D766A"/>
                <w:sz w:val="10"/>
              </w:rPr>
              <w:t>China | In force</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G12</w:t>
            </w:r>
          </w:p>
        </w:tc>
        <w:tc>
          <w:tcPr>
            <w:tcW w:type="dxa" w:w="4160"/>
            <w:shd w:fill="F1EFE5"/>
            <w:tcMar>
              <w:top w:w="42" w:type="dxa"/>
              <w:start w:w="70" w:type="dxa"/>
              <w:bottom w:w="42" w:type="dxa"/>
              <w:end w:w="70" w:type="dxa"/>
            </w:tcMar>
            <w:vAlign w:val="center"/>
          </w:tcPr>
          <w:p>
            <w:pPr>
              <w:spacing w:after="20"/>
            </w:pPr>
            <w:hyperlink r:id="rId154">
              <w:r>
                <w:rPr>
                  <w:color w:val="2F7F9E"/>
                  <w:rFonts w:ascii="Arial" w:hAnsi="Arial"/>
                  <w:sz w:val="12"/>
                  <w:b/>
                  <w:u w:val="none"/>
                </w:rPr>
                <w:t>Federal Decree-Law No. 45 of 2021 on Personal Data Protection</w:t>
              </w:r>
            </w:hyperlink>
          </w:p>
          <w:p>
            <w:pPr>
              <w:spacing w:before="0" w:after="0"/>
            </w:pPr>
            <w:r>
              <w:rPr>
                <w:rFonts w:ascii="Arial" w:hAnsi="Arial"/>
                <w:color w:val="7D766A"/>
                <w:sz w:val="10"/>
              </w:rPr>
              <w:t>United Arab Emirates | In force</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G13</w:t>
            </w:r>
          </w:p>
        </w:tc>
        <w:tc>
          <w:tcPr>
            <w:tcW w:type="dxa" w:w="4160"/>
            <w:shd w:fill="F1EFE5"/>
            <w:tcMar>
              <w:top w:w="42" w:type="dxa"/>
              <w:start w:w="70" w:type="dxa"/>
              <w:bottom w:w="42" w:type="dxa"/>
              <w:end w:w="70" w:type="dxa"/>
            </w:tcMar>
            <w:vAlign w:val="center"/>
          </w:tcPr>
          <w:p>
            <w:pPr>
              <w:spacing w:after="20"/>
            </w:pPr>
            <w:hyperlink r:id="rId155">
              <w:r>
                <w:rPr>
                  <w:color w:val="2F7F9E"/>
                  <w:rFonts w:ascii="Arial" w:hAnsi="Arial"/>
                  <w:sz w:val="12"/>
                  <w:b/>
                  <w:u w:val="none"/>
                </w:rPr>
                <w:t>Lei Geral de Proteção de Dados (LGPD)</w:t>
              </w:r>
            </w:hyperlink>
          </w:p>
          <w:p>
            <w:pPr>
              <w:spacing w:before="0" w:after="0"/>
            </w:pPr>
            <w:r>
              <w:rPr>
                <w:rFonts w:ascii="Arial" w:hAnsi="Arial"/>
                <w:color w:val="7D766A"/>
                <w:sz w:val="10"/>
              </w:rPr>
              <w:t>Brazil | In force</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G14</w:t>
            </w:r>
          </w:p>
        </w:tc>
        <w:tc>
          <w:tcPr>
            <w:tcW w:type="dxa" w:w="4160"/>
            <w:tcMar>
              <w:top w:w="42" w:type="dxa"/>
              <w:start w:w="70" w:type="dxa"/>
              <w:bottom w:w="42" w:type="dxa"/>
              <w:end w:w="70" w:type="dxa"/>
            </w:tcMar>
            <w:vAlign w:val="center"/>
          </w:tcPr>
          <w:p>
            <w:pPr>
              <w:spacing w:after="20"/>
            </w:pPr>
            <w:hyperlink r:id="rId156">
              <w:r>
                <w:rPr>
                  <w:color w:val="2F7F9E"/>
                  <w:rFonts w:ascii="Arial" w:hAnsi="Arial"/>
                  <w:sz w:val="12"/>
                  <w:b/>
                  <w:u w:val="none"/>
                </w:rPr>
                <w:t>National Data Governance Interim Regulations / NDMO policies</w:t>
              </w:r>
            </w:hyperlink>
          </w:p>
          <w:p>
            <w:pPr>
              <w:spacing w:before="0" w:after="0"/>
            </w:pPr>
            <w:r>
              <w:rPr>
                <w:rFonts w:ascii="Arial" w:hAnsi="Arial"/>
                <w:color w:val="7D766A"/>
                <w:sz w:val="10"/>
              </w:rPr>
              <w:t>Saudi Arabia / SDAIA | Current national policies</w:t>
            </w:r>
          </w:p>
        </w:tc>
        <w:tc>
          <w:tcPr>
            <w:tcW w:type="dxa" w:w="520"/>
            <w:tcMar>
              <w:top w:w="42" w:type="dxa"/>
              <w:start w:w="55" w:type="dxa"/>
              <w:bottom w:w="42" w:type="dxa"/>
              <w:end w:w="55" w:type="dxa"/>
            </w:tcMar>
            <w:vAlign w:val="center"/>
          </w:tcPr>
          <w:p>
            <w:pPr>
              <w:spacing w:after="0"/>
            </w:pPr>
            <w:r>
              <w:rPr>
                <w:rFonts w:ascii="Arial" w:hAnsi="Arial"/>
                <w:b/>
                <w:color w:val="0E2530"/>
                <w:sz w:val="12"/>
              </w:rPr>
              <w:t>G15</w:t>
            </w:r>
          </w:p>
        </w:tc>
        <w:tc>
          <w:tcPr>
            <w:tcW w:type="dxa" w:w="4160"/>
            <w:tcMar>
              <w:top w:w="42" w:type="dxa"/>
              <w:start w:w="70" w:type="dxa"/>
              <w:bottom w:w="42" w:type="dxa"/>
              <w:end w:w="70" w:type="dxa"/>
            </w:tcMar>
            <w:vAlign w:val="center"/>
          </w:tcPr>
          <w:p>
            <w:pPr>
              <w:spacing w:after="20"/>
            </w:pPr>
            <w:hyperlink r:id="rId157">
              <w:r>
                <w:rPr>
                  <w:color w:val="2F7F9E"/>
                  <w:rFonts w:ascii="Arial" w:hAnsi="Arial"/>
                  <w:sz w:val="12"/>
                  <w:b/>
                  <w:u w:val="none"/>
                </w:rPr>
                <w:t>Personal Data Protection Law</w:t>
              </w:r>
            </w:hyperlink>
          </w:p>
          <w:p>
            <w:pPr>
              <w:spacing w:before="0" w:after="0"/>
            </w:pPr>
            <w:r>
              <w:rPr>
                <w:rFonts w:ascii="Arial" w:hAnsi="Arial"/>
                <w:color w:val="7D766A"/>
                <w:sz w:val="10"/>
              </w:rPr>
              <w:t>Saudi Arabia | In force</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C01</w:t>
            </w:r>
          </w:p>
        </w:tc>
        <w:tc>
          <w:tcPr>
            <w:tcW w:type="dxa" w:w="4160"/>
            <w:shd w:fill="F1EFE5"/>
            <w:tcMar>
              <w:top w:w="42" w:type="dxa"/>
              <w:start w:w="70" w:type="dxa"/>
              <w:bottom w:w="42" w:type="dxa"/>
              <w:end w:w="70" w:type="dxa"/>
            </w:tcMar>
            <w:vAlign w:val="center"/>
          </w:tcPr>
          <w:p>
            <w:pPr>
              <w:spacing w:after="20"/>
            </w:pPr>
            <w:hyperlink r:id="rId158">
              <w:r>
                <w:rPr>
                  <w:color w:val="2F7F9E"/>
                  <w:rFonts w:ascii="Arial" w:hAnsi="Arial"/>
                  <w:sz w:val="12"/>
                  <w:b/>
                  <w:u w:val="none"/>
                </w:rPr>
                <w:t>Open Data and Stream portal</w:t>
              </w:r>
            </w:hyperlink>
          </w:p>
          <w:p>
            <w:pPr>
              <w:spacing w:before="0" w:after="0"/>
            </w:pPr>
            <w:r>
              <w:rPr>
                <w:rFonts w:ascii="Arial" w:hAnsi="Arial"/>
                <w:color w:val="7D766A"/>
                <w:sz w:val="10"/>
              </w:rPr>
              <w:t>Anglian Water | Current; 2026 release schedule</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C02</w:t>
            </w:r>
          </w:p>
        </w:tc>
        <w:tc>
          <w:tcPr>
            <w:tcW w:type="dxa" w:w="4160"/>
            <w:shd w:fill="F1EFE5"/>
            <w:tcMar>
              <w:top w:w="42" w:type="dxa"/>
              <w:start w:w="70" w:type="dxa"/>
              <w:bottom w:w="42" w:type="dxa"/>
              <w:end w:w="70" w:type="dxa"/>
            </w:tcMar>
            <w:vAlign w:val="center"/>
          </w:tcPr>
          <w:p>
            <w:pPr>
              <w:spacing w:after="20"/>
            </w:pPr>
            <w:hyperlink r:id="rId159">
              <w:r>
                <w:rPr>
                  <w:color w:val="2F7F9E"/>
                  <w:rFonts w:ascii="Arial" w:hAnsi="Arial"/>
                  <w:sz w:val="12"/>
                  <w:b/>
                  <w:u w:val="none"/>
                </w:rPr>
                <w:t>CReDo: cross-sector resilient infrastructure digital twin</w:t>
              </w:r>
            </w:hyperlink>
          </w:p>
          <w:p>
            <w:pPr>
              <w:spacing w:before="0" w:after="0"/>
            </w:pPr>
            <w:r>
              <w:rPr>
                <w:rFonts w:ascii="Arial" w:hAnsi="Arial"/>
                <w:color w:val="7D766A"/>
                <w:sz w:val="10"/>
              </w:rPr>
              <w:t>Anglian Water Group | Case study</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C03</w:t>
            </w:r>
          </w:p>
        </w:tc>
        <w:tc>
          <w:tcPr>
            <w:tcW w:type="dxa" w:w="4160"/>
            <w:tcMar>
              <w:top w:w="42" w:type="dxa"/>
              <w:start w:w="70" w:type="dxa"/>
              <w:bottom w:w="42" w:type="dxa"/>
              <w:end w:w="70" w:type="dxa"/>
            </w:tcMar>
            <w:vAlign w:val="center"/>
          </w:tcPr>
          <w:p>
            <w:pPr>
              <w:spacing w:after="20"/>
            </w:pPr>
            <w:hyperlink r:id="rId160">
              <w:r>
                <w:rPr>
                  <w:color w:val="2F7F9E"/>
                  <w:rFonts w:ascii="Arial" w:hAnsi="Arial"/>
                  <w:sz w:val="12"/>
                  <w:b/>
                  <w:u w:val="none"/>
                </w:rPr>
                <w:t>Strategic Pipeline Alliance: GIS common data environment</w:t>
              </w:r>
            </w:hyperlink>
          </w:p>
          <w:p>
            <w:pPr>
              <w:spacing w:before="0" w:after="0"/>
            </w:pPr>
            <w:r>
              <w:rPr>
                <w:rFonts w:ascii="Arial" w:hAnsi="Arial"/>
                <w:color w:val="7D766A"/>
                <w:sz w:val="10"/>
              </w:rPr>
              <w:t>Digital Twin Hub / Anglian Water | Case study</w:t>
            </w:r>
          </w:p>
        </w:tc>
        <w:tc>
          <w:tcPr>
            <w:tcW w:type="dxa" w:w="520"/>
            <w:tcMar>
              <w:top w:w="42" w:type="dxa"/>
              <w:start w:w="55" w:type="dxa"/>
              <w:bottom w:w="42" w:type="dxa"/>
              <w:end w:w="55" w:type="dxa"/>
            </w:tcMar>
            <w:vAlign w:val="center"/>
          </w:tcPr>
          <w:p>
            <w:pPr>
              <w:spacing w:after="0"/>
            </w:pPr>
            <w:r>
              <w:rPr>
                <w:rFonts w:ascii="Arial" w:hAnsi="Arial"/>
                <w:b/>
                <w:color w:val="0E2530"/>
                <w:sz w:val="12"/>
              </w:rPr>
              <w:t>C04</w:t>
            </w:r>
          </w:p>
        </w:tc>
        <w:tc>
          <w:tcPr>
            <w:tcW w:type="dxa" w:w="4160"/>
            <w:tcMar>
              <w:top w:w="42" w:type="dxa"/>
              <w:start w:w="70" w:type="dxa"/>
              <w:bottom w:w="42" w:type="dxa"/>
              <w:end w:w="70" w:type="dxa"/>
            </w:tcMar>
            <w:vAlign w:val="center"/>
          </w:tcPr>
          <w:p>
            <w:pPr>
              <w:spacing w:after="20"/>
            </w:pPr>
            <w:hyperlink r:id="rId161">
              <w:r>
                <w:rPr>
                  <w:color w:val="2F7F9E"/>
                  <w:rFonts w:ascii="Arial" w:hAnsi="Arial"/>
                  <w:sz w:val="12"/>
                  <w:b/>
                  <w:u w:val="none"/>
                </w:rPr>
                <w:t>1.5 million smart meters</w:t>
              </w:r>
            </w:hyperlink>
          </w:p>
          <w:p>
            <w:pPr>
              <w:spacing w:before="0" w:after="0"/>
            </w:pPr>
            <w:r>
              <w:rPr>
                <w:rFonts w:ascii="Arial" w:hAnsi="Arial"/>
                <w:color w:val="7D766A"/>
                <w:sz w:val="10"/>
              </w:rPr>
              <w:t>Anglian Water | Published 7 Jul 2026</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C05</w:t>
            </w:r>
          </w:p>
        </w:tc>
        <w:tc>
          <w:tcPr>
            <w:tcW w:type="dxa" w:w="4160"/>
            <w:shd w:fill="F1EFE5"/>
            <w:tcMar>
              <w:top w:w="42" w:type="dxa"/>
              <w:start w:w="70" w:type="dxa"/>
              <w:bottom w:w="42" w:type="dxa"/>
              <w:end w:w="70" w:type="dxa"/>
            </w:tcMar>
            <w:vAlign w:val="center"/>
          </w:tcPr>
          <w:p>
            <w:pPr>
              <w:spacing w:after="20"/>
            </w:pPr>
            <w:hyperlink r:id="rId162">
              <w:r>
                <w:rPr>
                  <w:color w:val="2F7F9E"/>
                  <w:rFonts w:ascii="Arial" w:hAnsi="Arial"/>
                  <w:sz w:val="12"/>
                  <w:b/>
                  <w:u w:val="none"/>
                </w:rPr>
                <w:t>Smart Water Meter Programme</w:t>
              </w:r>
            </w:hyperlink>
          </w:p>
          <w:p>
            <w:pPr>
              <w:spacing w:before="0" w:after="0"/>
            </w:pPr>
            <w:r>
              <w:rPr>
                <w:rFonts w:ascii="Arial" w:hAnsi="Arial"/>
                <w:color w:val="7D766A"/>
                <w:sz w:val="10"/>
              </w:rPr>
              <w:t>Singapore PUB | Current</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C06</w:t>
            </w:r>
          </w:p>
        </w:tc>
        <w:tc>
          <w:tcPr>
            <w:tcW w:type="dxa" w:w="4160"/>
            <w:shd w:fill="F1EFE5"/>
            <w:tcMar>
              <w:top w:w="42" w:type="dxa"/>
              <w:start w:w="70" w:type="dxa"/>
              <w:bottom w:w="42" w:type="dxa"/>
              <w:end w:w="70" w:type="dxa"/>
            </w:tcMar>
            <w:vAlign w:val="center"/>
          </w:tcPr>
          <w:p>
            <w:pPr>
              <w:spacing w:after="20"/>
            </w:pPr>
            <w:hyperlink r:id="rId163">
              <w:r>
                <w:rPr>
                  <w:color w:val="2F7F9E"/>
                  <w:rFonts w:ascii="Arial" w:hAnsi="Arial"/>
                  <w:sz w:val="12"/>
                  <w:b/>
                  <w:u w:val="none"/>
                </w:rPr>
                <w:t>Smart Water Meter rollout with SP Services</w:t>
              </w:r>
            </w:hyperlink>
          </w:p>
          <w:p>
            <w:pPr>
              <w:spacing w:before="0" w:after="0"/>
            </w:pPr>
            <w:r>
              <w:rPr>
                <w:rFonts w:ascii="Arial" w:hAnsi="Arial"/>
                <w:color w:val="7D766A"/>
                <w:sz w:val="10"/>
              </w:rPr>
              <w:t>Singapore PUB | Published 2021</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C07</w:t>
            </w:r>
          </w:p>
        </w:tc>
        <w:tc>
          <w:tcPr>
            <w:tcW w:type="dxa" w:w="4160"/>
            <w:tcMar>
              <w:top w:w="42" w:type="dxa"/>
              <w:start w:w="70" w:type="dxa"/>
              <w:bottom w:w="42" w:type="dxa"/>
              <w:end w:w="70" w:type="dxa"/>
            </w:tcMar>
            <w:vAlign w:val="center"/>
          </w:tcPr>
          <w:p>
            <w:pPr>
              <w:spacing w:after="20"/>
            </w:pPr>
            <w:hyperlink r:id="rId164">
              <w:r>
                <w:rPr>
                  <w:color w:val="2F7F9E"/>
                  <w:rFonts w:ascii="Arial" w:hAnsi="Arial"/>
                  <w:sz w:val="12"/>
                  <w:b/>
                  <w:u w:val="none"/>
                </w:rPr>
                <w:t>Technology and Digital sector</w:t>
              </w:r>
            </w:hyperlink>
          </w:p>
          <w:p>
            <w:pPr>
              <w:spacing w:before="0" w:after="0"/>
            </w:pPr>
            <w:r>
              <w:rPr>
                <w:rFonts w:ascii="Arial" w:hAnsi="Arial"/>
                <w:color w:val="7D766A"/>
                <w:sz w:val="10"/>
              </w:rPr>
              <w:t>NEOM | Current</w:t>
            </w:r>
          </w:p>
        </w:tc>
        <w:tc>
          <w:tcPr>
            <w:tcW w:type="dxa" w:w="520"/>
            <w:tcMar>
              <w:top w:w="42" w:type="dxa"/>
              <w:start w:w="55" w:type="dxa"/>
              <w:bottom w:w="42" w:type="dxa"/>
              <w:end w:w="55" w:type="dxa"/>
            </w:tcMar>
            <w:vAlign w:val="center"/>
          </w:tcPr>
          <w:p>
            <w:pPr>
              <w:spacing w:after="0"/>
            </w:pPr>
            <w:r>
              <w:rPr>
                <w:rFonts w:ascii="Arial" w:hAnsi="Arial"/>
                <w:b/>
                <w:color w:val="0E2530"/>
                <w:sz w:val="12"/>
              </w:rPr>
              <w:t>C08</w:t>
            </w:r>
          </w:p>
        </w:tc>
        <w:tc>
          <w:tcPr>
            <w:tcW w:type="dxa" w:w="4160"/>
            <w:tcMar>
              <w:top w:w="42" w:type="dxa"/>
              <w:start w:w="70" w:type="dxa"/>
              <w:bottom w:w="42" w:type="dxa"/>
              <w:end w:w="70" w:type="dxa"/>
            </w:tcMar>
            <w:vAlign w:val="center"/>
          </w:tcPr>
          <w:p>
            <w:pPr>
              <w:spacing w:after="20"/>
            </w:pPr>
            <w:hyperlink r:id="rId165">
              <w:r>
                <w:rPr>
                  <w:color w:val="2F7F9E"/>
                  <w:rFonts w:ascii="Arial" w:hAnsi="Arial"/>
                  <w:sz w:val="12"/>
                  <w:b/>
                  <w:u w:val="none"/>
                </w:rPr>
                <w:t>Communications facility and data center</w:t>
              </w:r>
            </w:hyperlink>
          </w:p>
          <w:p>
            <w:pPr>
              <w:spacing w:before="0" w:after="0"/>
            </w:pPr>
            <w:r>
              <w:rPr>
                <w:rFonts w:ascii="Arial" w:hAnsi="Arial"/>
                <w:color w:val="7D766A"/>
                <w:sz w:val="10"/>
              </w:rPr>
              <w:t>NEOM / TONOMUS | Current</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C09</w:t>
            </w:r>
          </w:p>
        </w:tc>
        <w:tc>
          <w:tcPr>
            <w:tcW w:type="dxa" w:w="4160"/>
            <w:shd w:fill="F1EFE5"/>
            <w:tcMar>
              <w:top w:w="42" w:type="dxa"/>
              <w:start w:w="70" w:type="dxa"/>
              <w:bottom w:w="42" w:type="dxa"/>
              <w:end w:w="70" w:type="dxa"/>
            </w:tcMar>
            <w:vAlign w:val="center"/>
          </w:tcPr>
          <w:p>
            <w:pPr>
              <w:spacing w:after="20"/>
            </w:pPr>
            <w:hyperlink r:id="rId166">
              <w:r>
                <w:rPr>
                  <w:color w:val="2F7F9E"/>
                  <w:rFonts w:ascii="Arial" w:hAnsi="Arial"/>
                  <w:sz w:val="12"/>
                  <w:b/>
                  <w:u w:val="none"/>
                </w:rPr>
                <w:t>Privacy Notice v2.1</w:t>
              </w:r>
            </w:hyperlink>
          </w:p>
          <w:p>
            <w:pPr>
              <w:spacing w:before="0" w:after="0"/>
            </w:pPr>
            <w:r>
              <w:rPr>
                <w:rFonts w:ascii="Arial" w:hAnsi="Arial"/>
                <w:color w:val="7D766A"/>
                <w:sz w:val="10"/>
              </w:rPr>
              <w:t>NEOM | Effective 16 Apr 2025</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ISO-03</w:t>
            </w:r>
          </w:p>
        </w:tc>
        <w:tc>
          <w:tcPr>
            <w:tcW w:type="dxa" w:w="4160"/>
            <w:shd w:fill="F1EFE5"/>
            <w:tcMar>
              <w:top w:w="42" w:type="dxa"/>
              <w:start w:w="70" w:type="dxa"/>
              <w:bottom w:w="42" w:type="dxa"/>
              <w:end w:w="70" w:type="dxa"/>
            </w:tcMar>
            <w:vAlign w:val="center"/>
          </w:tcPr>
          <w:p>
            <w:pPr>
              <w:spacing w:after="20"/>
            </w:pPr>
            <w:hyperlink r:id="rId167">
              <w:r>
                <w:rPr>
                  <w:color w:val="2F7F9E"/>
                  <w:rFonts w:ascii="Arial" w:hAnsi="Arial"/>
                  <w:sz w:val="12"/>
                  <w:b/>
                  <w:u w:val="none"/>
                </w:rPr>
                <w:t>ISO/IEC 8183:2023 - Artificial intelligence - Data life cycle framework</w:t>
              </w:r>
            </w:hyperlink>
          </w:p>
          <w:p>
            <w:pPr>
              <w:spacing w:before="0" w:after="0"/>
            </w:pPr>
            <w:r>
              <w:rPr>
                <w:rFonts w:ascii="Arial" w:hAnsi="Arial"/>
                <w:color w:val="7D766A"/>
                <w:sz w:val="10"/>
              </w:rPr>
              <w:t>ISO/IEC | Consensus standard · current</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ISO-07</w:t>
            </w:r>
          </w:p>
        </w:tc>
        <w:tc>
          <w:tcPr>
            <w:tcW w:type="dxa" w:w="4160"/>
            <w:tcMar>
              <w:top w:w="42" w:type="dxa"/>
              <w:start w:w="70" w:type="dxa"/>
              <w:bottom w:w="42" w:type="dxa"/>
              <w:end w:w="70" w:type="dxa"/>
            </w:tcMar>
            <w:vAlign w:val="center"/>
          </w:tcPr>
          <w:p>
            <w:pPr>
              <w:spacing w:after="20"/>
            </w:pPr>
            <w:hyperlink r:id="rId168">
              <w:r>
                <w:rPr>
                  <w:color w:val="2F7F9E"/>
                  <w:rFonts w:ascii="Arial" w:hAnsi="Arial"/>
                  <w:sz w:val="12"/>
                  <w:b/>
                  <w:u w:val="none"/>
                </w:rPr>
                <w:t>ISO/IEC 5259-4:2024 - Data quality process framework</w:t>
              </w:r>
            </w:hyperlink>
          </w:p>
          <w:p>
            <w:pPr>
              <w:spacing w:before="0" w:after="0"/>
            </w:pPr>
            <w:r>
              <w:rPr>
                <w:rFonts w:ascii="Arial" w:hAnsi="Arial"/>
                <w:color w:val="7D766A"/>
                <w:sz w:val="10"/>
              </w:rPr>
              <w:t>ISO/IEC | Consensus standard · current</w:t>
            </w:r>
          </w:p>
        </w:tc>
        <w:tc>
          <w:tcPr>
            <w:tcW w:type="dxa" w:w="520"/>
            <w:tcMar>
              <w:top w:w="42" w:type="dxa"/>
              <w:start w:w="55" w:type="dxa"/>
              <w:bottom w:w="42" w:type="dxa"/>
              <w:end w:w="55" w:type="dxa"/>
            </w:tcMar>
            <w:vAlign w:val="center"/>
          </w:tcPr>
          <w:p>
            <w:pPr>
              <w:spacing w:after="0"/>
            </w:pPr>
            <w:r>
              <w:rPr>
                <w:rFonts w:ascii="Arial" w:hAnsi="Arial"/>
                <w:b/>
                <w:color w:val="0E2530"/>
                <w:sz w:val="12"/>
              </w:rPr>
              <w:t>ISO-10</w:t>
            </w:r>
          </w:p>
        </w:tc>
        <w:tc>
          <w:tcPr>
            <w:tcW w:type="dxa" w:w="4160"/>
            <w:tcMar>
              <w:top w:w="42" w:type="dxa"/>
              <w:start w:w="70" w:type="dxa"/>
              <w:bottom w:w="42" w:type="dxa"/>
              <w:end w:w="70" w:type="dxa"/>
            </w:tcMar>
            <w:vAlign w:val="center"/>
          </w:tcPr>
          <w:p>
            <w:pPr>
              <w:spacing w:after="20"/>
            </w:pPr>
            <w:hyperlink r:id="rId169">
              <w:r>
                <w:rPr>
                  <w:color w:val="2F7F9E"/>
                  <w:rFonts w:ascii="Arial" w:hAnsi="Arial"/>
                  <w:sz w:val="12"/>
                  <w:b/>
                  <w:u w:val="none"/>
                </w:rPr>
                <w:t>ISO/IEC 11179-3:2023 - Metadata registries - Registry metamodel and basic attributes</w:t>
              </w:r>
            </w:hyperlink>
          </w:p>
          <w:p>
            <w:pPr>
              <w:spacing w:before="0" w:after="0"/>
            </w:pPr>
            <w:r>
              <w:rPr>
                <w:rFonts w:ascii="Arial" w:hAnsi="Arial"/>
                <w:color w:val="7D766A"/>
                <w:sz w:val="10"/>
              </w:rPr>
              <w:t>ISO/IEC | Consensus standard · current</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ISO-11</w:t>
            </w:r>
          </w:p>
        </w:tc>
        <w:tc>
          <w:tcPr>
            <w:tcW w:type="dxa" w:w="4160"/>
            <w:shd w:fill="F1EFE5"/>
            <w:tcMar>
              <w:top w:w="42" w:type="dxa"/>
              <w:start w:w="70" w:type="dxa"/>
              <w:bottom w:w="42" w:type="dxa"/>
              <w:end w:w="70" w:type="dxa"/>
            </w:tcMar>
            <w:vAlign w:val="center"/>
          </w:tcPr>
          <w:p>
            <w:pPr>
              <w:spacing w:after="20"/>
            </w:pPr>
            <w:hyperlink r:id="rId170">
              <w:r>
                <w:rPr>
                  <w:color w:val="2F7F9E"/>
                  <w:rFonts w:ascii="Arial" w:hAnsi="Arial"/>
                  <w:sz w:val="12"/>
                  <w:b/>
                  <w:u w:val="none"/>
                </w:rPr>
                <w:t>ISO/IEC 11179-3:2023/Amd 1:2026 - Enhancements to Item Mapping</w:t>
              </w:r>
            </w:hyperlink>
          </w:p>
          <w:p>
            <w:pPr>
              <w:spacing w:before="0" w:after="0"/>
            </w:pPr>
            <w:r>
              <w:rPr>
                <w:rFonts w:ascii="Arial" w:hAnsi="Arial"/>
                <w:color w:val="7D766A"/>
                <w:sz w:val="10"/>
              </w:rPr>
              <w:t>ISO/IEC | Amendment · published May 2026</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ISO-14</w:t>
            </w:r>
          </w:p>
        </w:tc>
        <w:tc>
          <w:tcPr>
            <w:tcW w:type="dxa" w:w="4160"/>
            <w:shd w:fill="F1EFE5"/>
            <w:tcMar>
              <w:top w:w="42" w:type="dxa"/>
              <w:start w:w="70" w:type="dxa"/>
              <w:bottom w:w="42" w:type="dxa"/>
              <w:end w:w="70" w:type="dxa"/>
            </w:tcMar>
            <w:vAlign w:val="center"/>
          </w:tcPr>
          <w:p>
            <w:pPr>
              <w:spacing w:after="20"/>
            </w:pPr>
            <w:hyperlink r:id="rId171">
              <w:r>
                <w:rPr>
                  <w:color w:val="2F7F9E"/>
                  <w:rFonts w:ascii="Arial" w:hAnsi="Arial"/>
                  <w:sz w:val="12"/>
                  <w:b/>
                  <w:u w:val="none"/>
                </w:rPr>
                <w:t>ISO/IEC 42001:2023 - Artificial intelligence management system</w:t>
              </w:r>
            </w:hyperlink>
          </w:p>
          <w:p>
            <w:pPr>
              <w:spacing w:before="0" w:after="0"/>
            </w:pPr>
            <w:r>
              <w:rPr>
                <w:rFonts w:ascii="Arial" w:hAnsi="Arial"/>
                <w:color w:val="7D766A"/>
                <w:sz w:val="10"/>
              </w:rPr>
              <w:t>ISO/IEC | Certifiable management-system standard</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ISO-18</w:t>
            </w:r>
          </w:p>
        </w:tc>
        <w:tc>
          <w:tcPr>
            <w:tcW w:type="dxa" w:w="4160"/>
            <w:tcMar>
              <w:top w:w="42" w:type="dxa"/>
              <w:start w:w="70" w:type="dxa"/>
              <w:bottom w:w="42" w:type="dxa"/>
              <w:end w:w="70" w:type="dxa"/>
            </w:tcMar>
            <w:vAlign w:val="center"/>
          </w:tcPr>
          <w:p>
            <w:pPr>
              <w:spacing w:after="20"/>
            </w:pPr>
            <w:hyperlink r:id="rId172">
              <w:r>
                <w:rPr>
                  <w:color w:val="2F7F9E"/>
                  <w:rFonts w:ascii="Arial" w:hAnsi="Arial"/>
                  <w:sz w:val="12"/>
                  <w:b/>
                  <w:u w:val="none"/>
                </w:rPr>
                <w:t>ISO/IEC 27701 - Privacy information management</w:t>
              </w:r>
            </w:hyperlink>
          </w:p>
          <w:p>
            <w:pPr>
              <w:spacing w:before="0" w:after="0"/>
            </w:pPr>
            <w:r>
              <w:rPr>
                <w:rFonts w:ascii="Arial" w:hAnsi="Arial"/>
                <w:color w:val="7D766A"/>
                <w:sz w:val="10"/>
              </w:rPr>
              <w:t>ISO/IEC | Management-system standard</w:t>
            </w:r>
          </w:p>
        </w:tc>
        <w:tc>
          <w:tcPr>
            <w:tcW w:type="dxa" w:w="520"/>
            <w:tcMar>
              <w:top w:w="42" w:type="dxa"/>
              <w:start w:w="55" w:type="dxa"/>
              <w:bottom w:w="42" w:type="dxa"/>
              <w:end w:w="55" w:type="dxa"/>
            </w:tcMar>
            <w:vAlign w:val="center"/>
          </w:tcPr>
          <w:p>
            <w:pPr>
              <w:spacing w:after="0"/>
            </w:pPr>
            <w:r>
              <w:rPr>
                <w:rFonts w:ascii="Arial" w:hAnsi="Arial"/>
                <w:b/>
                <w:color w:val="0E2530"/>
                <w:sz w:val="12"/>
              </w:rPr>
              <w:t>ISO-20</w:t>
            </w:r>
          </w:p>
        </w:tc>
        <w:tc>
          <w:tcPr>
            <w:tcW w:type="dxa" w:w="4160"/>
            <w:tcMar>
              <w:top w:w="42" w:type="dxa"/>
              <w:start w:w="70" w:type="dxa"/>
              <w:bottom w:w="42" w:type="dxa"/>
              <w:end w:w="70" w:type="dxa"/>
            </w:tcMar>
            <w:vAlign w:val="center"/>
          </w:tcPr>
          <w:p>
            <w:pPr>
              <w:spacing w:after="20"/>
            </w:pPr>
            <w:hyperlink r:id="rId173">
              <w:r>
                <w:rPr>
                  <w:color w:val="2F7F9E"/>
                  <w:rFonts w:ascii="Arial" w:hAnsi="Arial"/>
                  <w:sz w:val="12"/>
                  <w:b/>
                  <w:u w:val="none"/>
                </w:rPr>
                <w:t>ISO 23081-1:2017 - Metadata for records - Principles</w:t>
              </w:r>
            </w:hyperlink>
          </w:p>
          <w:p>
            <w:pPr>
              <w:spacing w:before="0" w:after="0"/>
            </w:pPr>
            <w:r>
              <w:rPr>
                <w:rFonts w:ascii="Arial" w:hAnsi="Arial"/>
                <w:color w:val="7D766A"/>
                <w:sz w:val="10"/>
              </w:rPr>
              <w:t>ISO | Consensus standard · current</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ISO-22</w:t>
            </w:r>
          </w:p>
        </w:tc>
        <w:tc>
          <w:tcPr>
            <w:tcW w:type="dxa" w:w="4160"/>
            <w:shd w:fill="F1EFE5"/>
            <w:tcMar>
              <w:top w:w="42" w:type="dxa"/>
              <w:start w:w="70" w:type="dxa"/>
              <w:bottom w:w="42" w:type="dxa"/>
              <w:end w:w="70" w:type="dxa"/>
            </w:tcMar>
            <w:vAlign w:val="center"/>
          </w:tcPr>
          <w:p>
            <w:pPr>
              <w:spacing w:after="20"/>
            </w:pPr>
            <w:hyperlink r:id="rId174">
              <w:r>
                <w:rPr>
                  <w:color w:val="2F7F9E"/>
                  <w:rFonts w:ascii="Arial" w:hAnsi="Arial"/>
                  <w:sz w:val="12"/>
                  <w:b/>
                  <w:u w:val="none"/>
                </w:rPr>
                <w:t>ISO 24511:2024 - Management of wastewater utilities and service assessment</w:t>
              </w:r>
            </w:hyperlink>
          </w:p>
          <w:p>
            <w:pPr>
              <w:spacing w:before="0" w:after="0"/>
            </w:pPr>
            <w:r>
              <w:rPr>
                <w:rFonts w:ascii="Arial" w:hAnsi="Arial"/>
                <w:color w:val="7D766A"/>
                <w:sz w:val="10"/>
              </w:rPr>
              <w:t>ISO | Utility-sector consensus standard</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ISO-23</w:t>
            </w:r>
          </w:p>
        </w:tc>
        <w:tc>
          <w:tcPr>
            <w:tcW w:type="dxa" w:w="4160"/>
            <w:shd w:fill="F1EFE5"/>
            <w:tcMar>
              <w:top w:w="42" w:type="dxa"/>
              <w:start w:w="70" w:type="dxa"/>
              <w:bottom w:w="42" w:type="dxa"/>
              <w:end w:w="70" w:type="dxa"/>
            </w:tcMar>
            <w:vAlign w:val="center"/>
          </w:tcPr>
          <w:p>
            <w:pPr>
              <w:spacing w:after="20"/>
            </w:pPr>
            <w:hyperlink r:id="rId175">
              <w:r>
                <w:rPr>
                  <w:color w:val="2F7F9E"/>
                  <w:rFonts w:ascii="Arial" w:hAnsi="Arial"/>
                  <w:sz w:val="12"/>
                  <w:b/>
                  <w:u w:val="none"/>
                </w:rPr>
                <w:t>ISO/TR 24514:2018 - Examples of performance indicators for water utilities</w:t>
              </w:r>
            </w:hyperlink>
          </w:p>
          <w:p>
            <w:pPr>
              <w:spacing w:before="0" w:after="0"/>
            </w:pPr>
            <w:r>
              <w:rPr>
                <w:rFonts w:ascii="Arial" w:hAnsi="Arial"/>
                <w:color w:val="7D766A"/>
                <w:sz w:val="10"/>
              </w:rPr>
              <w:t>ISO | Technical report · current</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W3C-02</w:t>
            </w:r>
          </w:p>
        </w:tc>
        <w:tc>
          <w:tcPr>
            <w:tcW w:type="dxa" w:w="4160"/>
            <w:tcMar>
              <w:top w:w="42" w:type="dxa"/>
              <w:start w:w="70" w:type="dxa"/>
              <w:bottom w:w="42" w:type="dxa"/>
              <w:end w:w="70" w:type="dxa"/>
            </w:tcMar>
            <w:vAlign w:val="center"/>
          </w:tcPr>
          <w:p>
            <w:pPr>
              <w:spacing w:after="20"/>
            </w:pPr>
            <w:hyperlink r:id="rId176">
              <w:r>
                <w:rPr>
                  <w:color w:val="2F7F9E"/>
                  <w:rFonts w:ascii="Arial" w:hAnsi="Arial"/>
                  <w:sz w:val="12"/>
                  <w:b/>
                  <w:u w:val="none"/>
                </w:rPr>
                <w:t>PROV-DM: The PROV Data Model</w:t>
              </w:r>
            </w:hyperlink>
          </w:p>
          <w:p>
            <w:pPr>
              <w:spacing w:before="0" w:after="0"/>
            </w:pPr>
            <w:r>
              <w:rPr>
                <w:rFonts w:ascii="Arial" w:hAnsi="Arial"/>
                <w:color w:val="7D766A"/>
                <w:sz w:val="10"/>
              </w:rPr>
              <w:t>W3C | W3C Recommendation</w:t>
            </w:r>
          </w:p>
        </w:tc>
        <w:tc>
          <w:tcPr>
            <w:tcW w:type="dxa" w:w="520"/>
            <w:tcMar>
              <w:top w:w="42" w:type="dxa"/>
              <w:start w:w="55" w:type="dxa"/>
              <w:bottom w:w="42" w:type="dxa"/>
              <w:end w:w="55" w:type="dxa"/>
            </w:tcMar>
            <w:vAlign w:val="center"/>
          </w:tcPr>
          <w:p>
            <w:pPr>
              <w:spacing w:after="0"/>
            </w:pPr>
            <w:r>
              <w:rPr>
                <w:rFonts w:ascii="Arial" w:hAnsi="Arial"/>
                <w:b/>
                <w:color w:val="0E2530"/>
                <w:sz w:val="12"/>
              </w:rPr>
              <w:t>W3C-04</w:t>
            </w:r>
          </w:p>
        </w:tc>
        <w:tc>
          <w:tcPr>
            <w:tcW w:type="dxa" w:w="4160"/>
            <w:tcMar>
              <w:top w:w="42" w:type="dxa"/>
              <w:start w:w="70" w:type="dxa"/>
              <w:bottom w:w="42" w:type="dxa"/>
              <w:end w:w="70" w:type="dxa"/>
            </w:tcMar>
            <w:vAlign w:val="center"/>
          </w:tcPr>
          <w:p>
            <w:pPr>
              <w:spacing w:after="20"/>
            </w:pPr>
            <w:hyperlink r:id="rId177">
              <w:r>
                <w:rPr>
                  <w:color w:val="2F7F9E"/>
                  <w:rFonts w:ascii="Arial" w:hAnsi="Arial"/>
                  <w:sz w:val="12"/>
                  <w:b/>
                  <w:u w:val="none"/>
                </w:rPr>
                <w:t>PROV-CONSTRAINTS</w:t>
              </w:r>
            </w:hyperlink>
          </w:p>
          <w:p>
            <w:pPr>
              <w:spacing w:before="0" w:after="0"/>
            </w:pPr>
            <w:r>
              <w:rPr>
                <w:rFonts w:ascii="Arial" w:hAnsi="Arial"/>
                <w:color w:val="7D766A"/>
                <w:sz w:val="10"/>
              </w:rPr>
              <w:t>W3C | W3C Recommendation</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W3C-05</w:t>
            </w:r>
          </w:p>
        </w:tc>
        <w:tc>
          <w:tcPr>
            <w:tcW w:type="dxa" w:w="4160"/>
            <w:shd w:fill="F1EFE5"/>
            <w:tcMar>
              <w:top w:w="42" w:type="dxa"/>
              <w:start w:w="70" w:type="dxa"/>
              <w:bottom w:w="42" w:type="dxa"/>
              <w:end w:w="70" w:type="dxa"/>
            </w:tcMar>
            <w:vAlign w:val="center"/>
          </w:tcPr>
          <w:p>
            <w:pPr>
              <w:spacing w:after="20"/>
            </w:pPr>
            <w:hyperlink r:id="rId178">
              <w:r>
                <w:rPr>
                  <w:color w:val="2F7F9E"/>
                  <w:rFonts w:ascii="Arial" w:hAnsi="Arial"/>
                  <w:sz w:val="12"/>
                  <w:b/>
                  <w:u w:val="none"/>
                </w:rPr>
                <w:t>PROV-AQ: Provenance Access and Query</w:t>
              </w:r>
            </w:hyperlink>
          </w:p>
          <w:p>
            <w:pPr>
              <w:spacing w:before="0" w:after="0"/>
            </w:pPr>
            <w:r>
              <w:rPr>
                <w:rFonts w:ascii="Arial" w:hAnsi="Arial"/>
                <w:color w:val="7D766A"/>
                <w:sz w:val="10"/>
              </w:rPr>
              <w:t>W3C | W3C Note</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W3C-08</w:t>
            </w:r>
          </w:p>
        </w:tc>
        <w:tc>
          <w:tcPr>
            <w:tcW w:type="dxa" w:w="4160"/>
            <w:shd w:fill="F1EFE5"/>
            <w:tcMar>
              <w:top w:w="42" w:type="dxa"/>
              <w:start w:w="70" w:type="dxa"/>
              <w:bottom w:w="42" w:type="dxa"/>
              <w:end w:w="70" w:type="dxa"/>
            </w:tcMar>
            <w:vAlign w:val="center"/>
          </w:tcPr>
          <w:p>
            <w:pPr>
              <w:spacing w:after="20"/>
            </w:pPr>
            <w:hyperlink r:id="rId179">
              <w:r>
                <w:rPr>
                  <w:color w:val="2F7F9E"/>
                  <w:rFonts w:ascii="Arial" w:hAnsi="Arial"/>
                  <w:sz w:val="12"/>
                  <w:b/>
                  <w:u w:val="none"/>
                </w:rPr>
                <w:t>Semantic Sensor Network Ontology (SSN) and SOSA</w:t>
              </w:r>
            </w:hyperlink>
          </w:p>
          <w:p>
            <w:pPr>
              <w:spacing w:before="0" w:after="0"/>
            </w:pPr>
            <w:r>
              <w:rPr>
                <w:rFonts w:ascii="Arial" w:hAnsi="Arial"/>
                <w:color w:val="7D766A"/>
                <w:sz w:val="10"/>
              </w:rPr>
              <w:t>W3C/OGC | W3C Recommendation</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OGC-01</w:t>
            </w:r>
          </w:p>
        </w:tc>
        <w:tc>
          <w:tcPr>
            <w:tcW w:type="dxa" w:w="4160"/>
            <w:tcMar>
              <w:top w:w="42" w:type="dxa"/>
              <w:start w:w="70" w:type="dxa"/>
              <w:bottom w:w="42" w:type="dxa"/>
              <w:end w:w="70" w:type="dxa"/>
            </w:tcMar>
            <w:vAlign w:val="center"/>
          </w:tcPr>
          <w:p>
            <w:pPr>
              <w:spacing w:after="20"/>
            </w:pPr>
            <w:hyperlink r:id="rId180">
              <w:r>
                <w:rPr>
                  <w:color w:val="2F7F9E"/>
                  <w:rFonts w:ascii="Arial" w:hAnsi="Arial"/>
                  <w:sz w:val="12"/>
                  <w:b/>
                  <w:u w:val="none"/>
                </w:rPr>
                <w:t>OGC SensorThings API</w:t>
              </w:r>
            </w:hyperlink>
          </w:p>
          <w:p>
            <w:pPr>
              <w:spacing w:before="0" w:after="0"/>
            </w:pPr>
            <w:r>
              <w:rPr>
                <w:rFonts w:ascii="Arial" w:hAnsi="Arial"/>
                <w:color w:val="7D766A"/>
                <w:sz w:val="10"/>
              </w:rPr>
              <w:t>Open Geospatial Consortium | OGC implementation standard</w:t>
            </w:r>
          </w:p>
        </w:tc>
        <w:tc>
          <w:tcPr>
            <w:tcW w:type="dxa" w:w="520"/>
            <w:tcMar>
              <w:top w:w="42" w:type="dxa"/>
              <w:start w:w="55" w:type="dxa"/>
              <w:bottom w:w="42" w:type="dxa"/>
              <w:end w:w="55" w:type="dxa"/>
            </w:tcMar>
            <w:vAlign w:val="center"/>
          </w:tcPr>
          <w:p>
            <w:pPr>
              <w:spacing w:after="0"/>
            </w:pPr>
            <w:r>
              <w:rPr>
                <w:rFonts w:ascii="Arial" w:hAnsi="Arial"/>
                <w:b/>
                <w:color w:val="0E2530"/>
                <w:sz w:val="12"/>
              </w:rPr>
              <w:t>OGC-02</w:t>
            </w:r>
          </w:p>
        </w:tc>
        <w:tc>
          <w:tcPr>
            <w:tcW w:type="dxa" w:w="4160"/>
            <w:tcMar>
              <w:top w:w="42" w:type="dxa"/>
              <w:start w:w="70" w:type="dxa"/>
              <w:bottom w:w="42" w:type="dxa"/>
              <w:end w:w="70" w:type="dxa"/>
            </w:tcMar>
            <w:vAlign w:val="center"/>
          </w:tcPr>
          <w:p>
            <w:pPr>
              <w:spacing w:after="20"/>
            </w:pPr>
            <w:hyperlink r:id="rId181">
              <w:r>
                <w:rPr>
                  <w:color w:val="2F7F9E"/>
                  <w:rFonts w:ascii="Arial" w:hAnsi="Arial"/>
                  <w:sz w:val="12"/>
                  <w:b/>
                  <w:u w:val="none"/>
                </w:rPr>
                <w:t>OGC WaterML</w:t>
              </w:r>
            </w:hyperlink>
          </w:p>
          <w:p>
            <w:pPr>
              <w:spacing w:before="0" w:after="0"/>
            </w:pPr>
            <w:r>
              <w:rPr>
                <w:rFonts w:ascii="Arial" w:hAnsi="Arial"/>
                <w:color w:val="7D766A"/>
                <w:sz w:val="10"/>
              </w:rPr>
              <w:t>Open Geospatial Consortium | OGC standard family</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OGC-03</w:t>
            </w:r>
          </w:p>
        </w:tc>
        <w:tc>
          <w:tcPr>
            <w:tcW w:type="dxa" w:w="4160"/>
            <w:shd w:fill="F1EFE5"/>
            <w:tcMar>
              <w:top w:w="42" w:type="dxa"/>
              <w:start w:w="70" w:type="dxa"/>
              <w:bottom w:w="42" w:type="dxa"/>
              <w:end w:w="70" w:type="dxa"/>
            </w:tcMar>
            <w:vAlign w:val="center"/>
          </w:tcPr>
          <w:p>
            <w:pPr>
              <w:spacing w:after="20"/>
            </w:pPr>
            <w:hyperlink r:id="rId182">
              <w:r>
                <w:rPr>
                  <w:color w:val="2F7F9E"/>
                  <w:rFonts w:ascii="Arial" w:hAnsi="Arial"/>
                  <w:sz w:val="12"/>
                  <w:b/>
                  <w:u w:val="none"/>
                </w:rPr>
                <w:t>OGC GeoSPARQL 1.1</w:t>
              </w:r>
            </w:hyperlink>
          </w:p>
          <w:p>
            <w:pPr>
              <w:spacing w:before="0" w:after="0"/>
            </w:pPr>
            <w:r>
              <w:rPr>
                <w:rFonts w:ascii="Arial" w:hAnsi="Arial"/>
                <w:color w:val="7D766A"/>
                <w:sz w:val="10"/>
              </w:rPr>
              <w:t>Open Geospatial Consortium | OGC implementation standard</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NIST-01</w:t>
            </w:r>
          </w:p>
        </w:tc>
        <w:tc>
          <w:tcPr>
            <w:tcW w:type="dxa" w:w="4160"/>
            <w:shd w:fill="F1EFE5"/>
            <w:tcMar>
              <w:top w:w="42" w:type="dxa"/>
              <w:start w:w="70" w:type="dxa"/>
              <w:bottom w:w="42" w:type="dxa"/>
              <w:end w:w="70" w:type="dxa"/>
            </w:tcMar>
            <w:vAlign w:val="center"/>
          </w:tcPr>
          <w:p>
            <w:pPr>
              <w:spacing w:after="20"/>
            </w:pPr>
            <w:hyperlink r:id="rId183">
              <w:r>
                <w:rPr>
                  <w:color w:val="2F7F9E"/>
                  <w:rFonts w:ascii="Arial" w:hAnsi="Arial"/>
                  <w:sz w:val="12"/>
                  <w:b/>
                  <w:u w:val="none"/>
                </w:rPr>
                <w:t>Cybersecurity Framework (CSF) 2.0</w:t>
              </w:r>
            </w:hyperlink>
          </w:p>
          <w:p>
            <w:pPr>
              <w:spacing w:before="0" w:after="0"/>
            </w:pPr>
            <w:r>
              <w:rPr>
                <w:rFonts w:ascii="Arial" w:hAnsi="Arial"/>
                <w:color w:val="7D766A"/>
                <w:sz w:val="10"/>
              </w:rPr>
              <w:t>NIST | Final framework · 2024</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NIST-04</w:t>
            </w:r>
          </w:p>
        </w:tc>
        <w:tc>
          <w:tcPr>
            <w:tcW w:type="dxa" w:w="4160"/>
            <w:tcMar>
              <w:top w:w="42" w:type="dxa"/>
              <w:start w:w="70" w:type="dxa"/>
              <w:bottom w:w="42" w:type="dxa"/>
              <w:end w:w="70" w:type="dxa"/>
            </w:tcMar>
            <w:vAlign w:val="center"/>
          </w:tcPr>
          <w:p>
            <w:pPr>
              <w:spacing w:after="20"/>
            </w:pPr>
            <w:hyperlink r:id="rId184">
              <w:r>
                <w:rPr>
                  <w:color w:val="2F7F9E"/>
                  <w:rFonts w:ascii="Arial" w:hAnsi="Arial"/>
                  <w:sz w:val="12"/>
                  <w:b/>
                  <w:u w:val="none"/>
                </w:rPr>
                <w:t>AI RMF Playbook</w:t>
              </w:r>
            </w:hyperlink>
          </w:p>
          <w:p>
            <w:pPr>
              <w:spacing w:before="0" w:after="0"/>
            </w:pPr>
            <w:r>
              <w:rPr>
                <w:rFonts w:ascii="Arial" w:hAnsi="Arial"/>
                <w:color w:val="7D766A"/>
                <w:sz w:val="10"/>
              </w:rPr>
              <w:t>NIST | Companion guidance</w:t>
            </w:r>
          </w:p>
        </w:tc>
        <w:tc>
          <w:tcPr>
            <w:tcW w:type="dxa" w:w="520"/>
            <w:tcMar>
              <w:top w:w="42" w:type="dxa"/>
              <w:start w:w="55" w:type="dxa"/>
              <w:bottom w:w="42" w:type="dxa"/>
              <w:end w:w="55" w:type="dxa"/>
            </w:tcMar>
            <w:vAlign w:val="center"/>
          </w:tcPr>
          <w:p>
            <w:pPr>
              <w:spacing w:after="0"/>
            </w:pPr>
            <w:r>
              <w:rPr>
                <w:rFonts w:ascii="Arial" w:hAnsi="Arial"/>
                <w:b/>
                <w:color w:val="0E2530"/>
                <w:sz w:val="12"/>
              </w:rPr>
              <w:t>NIST-05</w:t>
            </w:r>
          </w:p>
        </w:tc>
        <w:tc>
          <w:tcPr>
            <w:tcW w:type="dxa" w:w="4160"/>
            <w:tcMar>
              <w:top w:w="42" w:type="dxa"/>
              <w:start w:w="70" w:type="dxa"/>
              <w:bottom w:w="42" w:type="dxa"/>
              <w:end w:w="70" w:type="dxa"/>
            </w:tcMar>
            <w:vAlign w:val="center"/>
          </w:tcPr>
          <w:p>
            <w:pPr>
              <w:spacing w:after="20"/>
            </w:pPr>
            <w:hyperlink r:id="rId185">
              <w:r>
                <w:rPr>
                  <w:color w:val="2F7F9E"/>
                  <w:rFonts w:ascii="Arial" w:hAnsi="Arial"/>
                  <w:sz w:val="12"/>
                  <w:b/>
                  <w:u w:val="none"/>
                </w:rPr>
                <w:t>NIST AI 600-1 - Generative AI Profile</w:t>
              </w:r>
            </w:hyperlink>
          </w:p>
          <w:p>
            <w:pPr>
              <w:spacing w:before="0" w:after="0"/>
            </w:pPr>
            <w:r>
              <w:rPr>
                <w:rFonts w:ascii="Arial" w:hAnsi="Arial"/>
                <w:color w:val="7D766A"/>
                <w:sz w:val="10"/>
              </w:rPr>
              <w:t>NIST | Final cross-sector profile · 2024</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NIST-06</w:t>
            </w:r>
          </w:p>
        </w:tc>
        <w:tc>
          <w:tcPr>
            <w:tcW w:type="dxa" w:w="4160"/>
            <w:shd w:fill="F1EFE5"/>
            <w:tcMar>
              <w:top w:w="42" w:type="dxa"/>
              <w:start w:w="70" w:type="dxa"/>
              <w:bottom w:w="42" w:type="dxa"/>
              <w:end w:w="70" w:type="dxa"/>
            </w:tcMar>
            <w:vAlign w:val="center"/>
          </w:tcPr>
          <w:p>
            <w:pPr>
              <w:spacing w:after="20"/>
            </w:pPr>
            <w:hyperlink r:id="rId186">
              <w:r>
                <w:rPr>
                  <w:color w:val="2F7F9E"/>
                  <w:rFonts w:ascii="Arial" w:hAnsi="Arial"/>
                  <w:sz w:val="12"/>
                  <w:b/>
                  <w:u w:val="none"/>
                </w:rPr>
                <w:t>NIST AI 100-4 - Reducing Risks Posed by Synthetic Content</w:t>
              </w:r>
            </w:hyperlink>
          </w:p>
          <w:p>
            <w:pPr>
              <w:spacing w:before="0" w:after="0"/>
            </w:pPr>
            <w:r>
              <w:rPr>
                <w:rFonts w:ascii="Arial" w:hAnsi="Arial"/>
                <w:color w:val="7D766A"/>
                <w:sz w:val="10"/>
              </w:rPr>
              <w:t>NIST | Final report · 2026</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NIST-08</w:t>
            </w:r>
          </w:p>
        </w:tc>
        <w:tc>
          <w:tcPr>
            <w:tcW w:type="dxa" w:w="4160"/>
            <w:shd w:fill="F1EFE5"/>
            <w:tcMar>
              <w:top w:w="42" w:type="dxa"/>
              <w:start w:w="70" w:type="dxa"/>
              <w:bottom w:w="42" w:type="dxa"/>
              <w:end w:w="70" w:type="dxa"/>
            </w:tcMar>
            <w:vAlign w:val="center"/>
          </w:tcPr>
          <w:p>
            <w:pPr>
              <w:spacing w:after="20"/>
            </w:pPr>
            <w:hyperlink r:id="rId187">
              <w:r>
                <w:rPr>
                  <w:color w:val="2F7F9E"/>
                  <w:rFonts w:ascii="Arial" w:hAnsi="Arial"/>
                  <w:sz w:val="12"/>
                  <w:b/>
                  <w:u w:val="none"/>
                </w:rPr>
                <w:t>Data Governance and Management Profile Concept Paper</w:t>
              </w:r>
            </w:hyperlink>
          </w:p>
          <w:p>
            <w:pPr>
              <w:spacing w:before="0" w:after="0"/>
            </w:pPr>
            <w:r>
              <w:rPr>
                <w:rFonts w:ascii="Arial" w:hAnsi="Arial"/>
                <w:color w:val="7D766A"/>
                <w:sz w:val="10"/>
              </w:rPr>
              <w:t>NIST | Concept paper · 2024</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NIST-09</w:t>
            </w:r>
          </w:p>
        </w:tc>
        <w:tc>
          <w:tcPr>
            <w:tcW w:type="dxa" w:w="4160"/>
            <w:tcMar>
              <w:top w:w="42" w:type="dxa"/>
              <w:start w:w="70" w:type="dxa"/>
              <w:bottom w:w="42" w:type="dxa"/>
              <w:end w:w="70" w:type="dxa"/>
            </w:tcMar>
            <w:vAlign w:val="center"/>
          </w:tcPr>
          <w:p>
            <w:pPr>
              <w:spacing w:after="20"/>
            </w:pPr>
            <w:hyperlink r:id="rId188">
              <w:r>
                <w:rPr>
                  <w:color w:val="2F7F9E"/>
                  <w:rFonts w:ascii="Arial" w:hAnsi="Arial"/>
                  <w:sz w:val="12"/>
                  <w:b/>
                  <w:u w:val="none"/>
                </w:rPr>
                <w:t>Research Data Framework (RDaF) Version 2.0 - SP 1500-18r2</w:t>
              </w:r>
            </w:hyperlink>
          </w:p>
          <w:p>
            <w:pPr>
              <w:spacing w:before="0" w:after="0"/>
            </w:pPr>
            <w:r>
              <w:rPr>
                <w:rFonts w:ascii="Arial" w:hAnsi="Arial"/>
                <w:color w:val="7D766A"/>
                <w:sz w:val="10"/>
              </w:rPr>
              <w:t>NIST | Final framework · 2024</w:t>
            </w:r>
          </w:p>
        </w:tc>
        <w:tc>
          <w:tcPr>
            <w:tcW w:type="dxa" w:w="520"/>
            <w:tcMar>
              <w:top w:w="42" w:type="dxa"/>
              <w:start w:w="55" w:type="dxa"/>
              <w:bottom w:w="42" w:type="dxa"/>
              <w:end w:w="55" w:type="dxa"/>
            </w:tcMar>
            <w:vAlign w:val="center"/>
          </w:tcPr>
          <w:p>
            <w:pPr>
              <w:spacing w:after="0"/>
            </w:pPr>
            <w:r>
              <w:rPr>
                <w:rFonts w:ascii="Arial" w:hAnsi="Arial"/>
                <w:b/>
                <w:color w:val="0E2530"/>
                <w:sz w:val="12"/>
              </w:rPr>
              <w:t>NIST-12</w:t>
            </w:r>
          </w:p>
        </w:tc>
        <w:tc>
          <w:tcPr>
            <w:tcW w:type="dxa" w:w="4160"/>
            <w:tcMar>
              <w:top w:w="42" w:type="dxa"/>
              <w:start w:w="70" w:type="dxa"/>
              <w:bottom w:w="42" w:type="dxa"/>
              <w:end w:w="70" w:type="dxa"/>
            </w:tcMar>
            <w:vAlign w:val="center"/>
          </w:tcPr>
          <w:p>
            <w:pPr>
              <w:spacing w:after="20"/>
            </w:pPr>
            <w:hyperlink r:id="rId189">
              <w:r>
                <w:rPr>
                  <w:color w:val="2F7F9E"/>
                  <w:rFonts w:ascii="Arial" w:hAnsi="Arial"/>
                  <w:sz w:val="12"/>
                  <w:b/>
                  <w:u w:val="none"/>
                </w:rPr>
                <w:t>NIST Glossary - data integrity</w:t>
              </w:r>
            </w:hyperlink>
          </w:p>
          <w:p>
            <w:pPr>
              <w:spacing w:before="0" w:after="0"/>
            </w:pPr>
            <w:r>
              <w:rPr>
                <w:rFonts w:ascii="Arial" w:hAnsi="Arial"/>
                <w:color w:val="7D766A"/>
                <w:sz w:val="10"/>
              </w:rPr>
              <w:t>NIST | Authoritative terminology</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NIST-14</w:t>
            </w:r>
          </w:p>
        </w:tc>
        <w:tc>
          <w:tcPr>
            <w:tcW w:type="dxa" w:w="4160"/>
            <w:shd w:fill="F1EFE5"/>
            <w:tcMar>
              <w:top w:w="42" w:type="dxa"/>
              <w:start w:w="70" w:type="dxa"/>
              <w:bottom w:w="42" w:type="dxa"/>
              <w:end w:w="70" w:type="dxa"/>
            </w:tcMar>
            <w:vAlign w:val="center"/>
          </w:tcPr>
          <w:p>
            <w:pPr>
              <w:spacing w:after="20"/>
            </w:pPr>
            <w:hyperlink r:id="rId190">
              <w:r>
                <w:rPr>
                  <w:color w:val="2F7F9E"/>
                  <w:rFonts w:ascii="Arial" w:hAnsi="Arial"/>
                  <w:sz w:val="12"/>
                  <w:b/>
                  <w:u w:val="none"/>
                </w:rPr>
                <w:t>SP 1800-25 - Data Integrity: Identifying and Protecting Assets</w:t>
              </w:r>
            </w:hyperlink>
          </w:p>
          <w:p>
            <w:pPr>
              <w:spacing w:before="0" w:after="0"/>
            </w:pPr>
            <w:r>
              <w:rPr>
                <w:rFonts w:ascii="Arial" w:hAnsi="Arial"/>
                <w:color w:val="7D766A"/>
                <w:sz w:val="10"/>
              </w:rPr>
              <w:t>NIST NCCoE | Final practice guide · 2020</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NIST-15</w:t>
            </w:r>
          </w:p>
        </w:tc>
        <w:tc>
          <w:tcPr>
            <w:tcW w:type="dxa" w:w="4160"/>
            <w:shd w:fill="F1EFE5"/>
            <w:tcMar>
              <w:top w:w="42" w:type="dxa"/>
              <w:start w:w="70" w:type="dxa"/>
              <w:bottom w:w="42" w:type="dxa"/>
              <w:end w:w="70" w:type="dxa"/>
            </w:tcMar>
            <w:vAlign w:val="center"/>
          </w:tcPr>
          <w:p>
            <w:pPr>
              <w:spacing w:after="20"/>
            </w:pPr>
            <w:hyperlink r:id="rId191">
              <w:r>
                <w:rPr>
                  <w:color w:val="2F7F9E"/>
                  <w:rFonts w:ascii="Arial" w:hAnsi="Arial"/>
                  <w:sz w:val="12"/>
                  <w:b/>
                  <w:u w:val="none"/>
                </w:rPr>
                <w:t>SP 1800-26 - Data Integrity: Detecting and Responding</w:t>
              </w:r>
            </w:hyperlink>
          </w:p>
          <w:p>
            <w:pPr>
              <w:spacing w:before="0" w:after="0"/>
            </w:pPr>
            <w:r>
              <w:rPr>
                <w:rFonts w:ascii="Arial" w:hAnsi="Arial"/>
                <w:color w:val="7D766A"/>
                <w:sz w:val="10"/>
              </w:rPr>
              <w:t>NIST NCCoE | Final practice guide · 2020</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NIST-17</w:t>
            </w:r>
          </w:p>
        </w:tc>
        <w:tc>
          <w:tcPr>
            <w:tcW w:type="dxa" w:w="4160"/>
            <w:tcMar>
              <w:top w:w="42" w:type="dxa"/>
              <w:start w:w="70" w:type="dxa"/>
              <w:bottom w:w="42" w:type="dxa"/>
              <w:end w:w="70" w:type="dxa"/>
            </w:tcMar>
            <w:vAlign w:val="center"/>
          </w:tcPr>
          <w:p>
            <w:pPr>
              <w:spacing w:after="20"/>
            </w:pPr>
            <w:hyperlink r:id="rId192">
              <w:r>
                <w:rPr>
                  <w:color w:val="2F7F9E"/>
                  <w:rFonts w:ascii="Arial" w:hAnsi="Arial"/>
                  <w:sz w:val="12"/>
                  <w:b/>
                  <w:u w:val="none"/>
                </w:rPr>
                <w:t>SP 800-218 - Secure Software Development Framework</w:t>
              </w:r>
            </w:hyperlink>
          </w:p>
          <w:p>
            <w:pPr>
              <w:spacing w:before="0" w:after="0"/>
            </w:pPr>
            <w:r>
              <w:rPr>
                <w:rFonts w:ascii="Arial" w:hAnsi="Arial"/>
                <w:color w:val="7D766A"/>
                <w:sz w:val="10"/>
              </w:rPr>
              <w:t>NIST | Final guidance</w:t>
            </w:r>
          </w:p>
        </w:tc>
        <w:tc>
          <w:tcPr>
            <w:tcW w:type="dxa" w:w="520"/>
            <w:tcMar>
              <w:top w:w="42" w:type="dxa"/>
              <w:start w:w="55" w:type="dxa"/>
              <w:bottom w:w="42" w:type="dxa"/>
              <w:end w:w="55" w:type="dxa"/>
            </w:tcMar>
            <w:vAlign w:val="center"/>
          </w:tcPr>
          <w:p>
            <w:pPr>
              <w:spacing w:after="0"/>
            </w:pPr>
            <w:r>
              <w:rPr>
                <w:rFonts w:ascii="Arial" w:hAnsi="Arial"/>
                <w:b/>
                <w:color w:val="0E2530"/>
                <w:sz w:val="12"/>
              </w:rPr>
              <w:t>NIST-18</w:t>
            </w:r>
          </w:p>
        </w:tc>
        <w:tc>
          <w:tcPr>
            <w:tcW w:type="dxa" w:w="4160"/>
            <w:tcMar>
              <w:top w:w="42" w:type="dxa"/>
              <w:start w:w="70" w:type="dxa"/>
              <w:bottom w:w="42" w:type="dxa"/>
              <w:end w:w="70" w:type="dxa"/>
            </w:tcMar>
            <w:vAlign w:val="center"/>
          </w:tcPr>
          <w:p>
            <w:pPr>
              <w:spacing w:after="20"/>
            </w:pPr>
            <w:hyperlink r:id="rId193">
              <w:r>
                <w:rPr>
                  <w:color w:val="2F7F9E"/>
                  <w:rFonts w:ascii="Arial" w:hAnsi="Arial"/>
                  <w:sz w:val="12"/>
                  <w:b/>
                  <w:u w:val="none"/>
                </w:rPr>
                <w:t>NISTIR 7628 Rev. 1 - Guidelines for Smart Grid Cybersecurity</w:t>
              </w:r>
            </w:hyperlink>
          </w:p>
          <w:p>
            <w:pPr>
              <w:spacing w:before="0" w:after="0"/>
            </w:pPr>
            <w:r>
              <w:rPr>
                <w:rFonts w:ascii="Arial" w:hAnsi="Arial"/>
                <w:color w:val="7D766A"/>
                <w:sz w:val="10"/>
              </w:rPr>
              <w:t>NIST | Final utility guidance</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NIST-19</w:t>
            </w:r>
          </w:p>
        </w:tc>
        <w:tc>
          <w:tcPr>
            <w:tcW w:type="dxa" w:w="4160"/>
            <w:shd w:fill="F1EFE5"/>
            <w:tcMar>
              <w:top w:w="42" w:type="dxa"/>
              <w:start w:w="70" w:type="dxa"/>
              <w:bottom w:w="42" w:type="dxa"/>
              <w:end w:w="70" w:type="dxa"/>
            </w:tcMar>
            <w:vAlign w:val="center"/>
          </w:tcPr>
          <w:p>
            <w:pPr>
              <w:spacing w:after="20"/>
            </w:pPr>
            <w:hyperlink r:id="rId194">
              <w:r>
                <w:rPr>
                  <w:color w:val="2F7F9E"/>
                  <w:rFonts w:ascii="Arial" w:hAnsi="Arial"/>
                  <w:sz w:val="12"/>
                  <w:b/>
                  <w:u w:val="none"/>
                </w:rPr>
                <w:t>NIST TN 2051 - Cybersecurity Framework Smart Grid Profile</w:t>
              </w:r>
            </w:hyperlink>
          </w:p>
          <w:p>
            <w:pPr>
              <w:spacing w:before="0" w:after="0"/>
            </w:pPr>
            <w:r>
              <w:rPr>
                <w:rFonts w:ascii="Arial" w:hAnsi="Arial"/>
                <w:color w:val="7D766A"/>
                <w:sz w:val="10"/>
              </w:rPr>
              <w:t>NIST | Final utility profile · 2019</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UTIL-02</w:t>
            </w:r>
          </w:p>
        </w:tc>
        <w:tc>
          <w:tcPr>
            <w:tcW w:type="dxa" w:w="4160"/>
            <w:shd w:fill="F1EFE5"/>
            <w:tcMar>
              <w:top w:w="42" w:type="dxa"/>
              <w:start w:w="70" w:type="dxa"/>
              <w:bottom w:w="42" w:type="dxa"/>
              <w:end w:w="70" w:type="dxa"/>
            </w:tcMar>
            <w:vAlign w:val="center"/>
          </w:tcPr>
          <w:p>
            <w:pPr>
              <w:spacing w:after="20"/>
            </w:pPr>
            <w:hyperlink r:id="rId195">
              <w:r>
                <w:rPr>
                  <w:color w:val="2F7F9E"/>
                  <w:rFonts w:ascii="Arial" w:hAnsi="Arial"/>
                  <w:sz w:val="12"/>
                  <w:b/>
                  <w:u w:val="none"/>
                </w:rPr>
                <w:t>IEC 61968-9:2024 - Interfaces for meter reading and control</w:t>
              </w:r>
            </w:hyperlink>
          </w:p>
          <w:p>
            <w:pPr>
              <w:spacing w:before="0" w:after="0"/>
            </w:pPr>
            <w:r>
              <w:rPr>
                <w:rFonts w:ascii="Arial" w:hAnsi="Arial"/>
                <w:color w:val="7D766A"/>
                <w:sz w:val="10"/>
              </w:rPr>
              <w:t>IEC | International standard · 2024</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UTIL-03</w:t>
            </w:r>
          </w:p>
        </w:tc>
        <w:tc>
          <w:tcPr>
            <w:tcW w:type="dxa" w:w="4160"/>
            <w:tcMar>
              <w:top w:w="42" w:type="dxa"/>
              <w:start w:w="70" w:type="dxa"/>
              <w:bottom w:w="42" w:type="dxa"/>
              <w:end w:w="70" w:type="dxa"/>
            </w:tcMar>
            <w:vAlign w:val="center"/>
          </w:tcPr>
          <w:p>
            <w:pPr>
              <w:spacing w:after="20"/>
            </w:pPr>
            <w:hyperlink r:id="rId196">
              <w:r>
                <w:rPr>
                  <w:color w:val="2F7F9E"/>
                  <w:rFonts w:ascii="Arial" w:hAnsi="Arial"/>
                  <w:sz w:val="12"/>
                  <w:b/>
                  <w:u w:val="none"/>
                </w:rPr>
                <w:t>IEC 62351 series - Power systems data and communications security</w:t>
              </w:r>
            </w:hyperlink>
          </w:p>
          <w:p>
            <w:pPr>
              <w:spacing w:before="0" w:after="0"/>
            </w:pPr>
            <w:r>
              <w:rPr>
                <w:rFonts w:ascii="Arial" w:hAnsi="Arial"/>
                <w:color w:val="7D766A"/>
                <w:sz w:val="10"/>
              </w:rPr>
              <w:t>IEC | International standard family</w:t>
            </w:r>
          </w:p>
        </w:tc>
        <w:tc>
          <w:tcPr>
            <w:tcW w:type="dxa" w:w="520"/>
            <w:tcMar>
              <w:top w:w="42" w:type="dxa"/>
              <w:start w:w="55" w:type="dxa"/>
              <w:bottom w:w="42" w:type="dxa"/>
              <w:end w:w="55" w:type="dxa"/>
            </w:tcMar>
            <w:vAlign w:val="center"/>
          </w:tcPr>
          <w:p>
            <w:pPr>
              <w:spacing w:after="0"/>
            </w:pPr>
            <w:r>
              <w:rPr>
                <w:rFonts w:ascii="Arial" w:hAnsi="Arial"/>
                <w:b/>
                <w:color w:val="0E2530"/>
                <w:sz w:val="12"/>
              </w:rPr>
              <w:t>UTIL-04</w:t>
            </w:r>
          </w:p>
        </w:tc>
        <w:tc>
          <w:tcPr>
            <w:tcW w:type="dxa" w:w="4160"/>
            <w:tcMar>
              <w:top w:w="42" w:type="dxa"/>
              <w:start w:w="70" w:type="dxa"/>
              <w:bottom w:w="42" w:type="dxa"/>
              <w:end w:w="70" w:type="dxa"/>
            </w:tcMar>
            <w:vAlign w:val="center"/>
          </w:tcPr>
          <w:p>
            <w:pPr>
              <w:spacing w:after="20"/>
            </w:pPr>
            <w:hyperlink r:id="rId197">
              <w:r>
                <w:rPr>
                  <w:color w:val="2F7F9E"/>
                  <w:rFonts w:ascii="Arial" w:hAnsi="Arial"/>
                  <w:sz w:val="12"/>
                  <w:b/>
                  <w:u w:val="none"/>
                </w:rPr>
                <w:t>IEC 62351-7:2025 - Network and system management data object models</w:t>
              </w:r>
            </w:hyperlink>
          </w:p>
          <w:p>
            <w:pPr>
              <w:spacing w:before="0" w:after="0"/>
            </w:pPr>
            <w:r>
              <w:rPr>
                <w:rFonts w:ascii="Arial" w:hAnsi="Arial"/>
                <w:color w:val="7D766A"/>
                <w:sz w:val="10"/>
              </w:rPr>
              <w:t>IEC | International standard · 2025</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UTIL-06</w:t>
            </w:r>
          </w:p>
        </w:tc>
        <w:tc>
          <w:tcPr>
            <w:tcW w:type="dxa" w:w="4160"/>
            <w:shd w:fill="F1EFE5"/>
            <w:tcMar>
              <w:top w:w="42" w:type="dxa"/>
              <w:start w:w="70" w:type="dxa"/>
              <w:bottom w:w="42" w:type="dxa"/>
              <w:end w:w="70" w:type="dxa"/>
            </w:tcMar>
            <w:vAlign w:val="center"/>
          </w:tcPr>
          <w:p>
            <w:pPr>
              <w:spacing w:after="20"/>
            </w:pPr>
            <w:hyperlink r:id="rId198">
              <w:r>
                <w:rPr>
                  <w:color w:val="2F7F9E"/>
                  <w:rFonts w:ascii="Arial" w:hAnsi="Arial"/>
                  <w:sz w:val="12"/>
                  <w:b/>
                  <w:u w:val="none"/>
                </w:rPr>
                <w:t>IEC 62443-4-2:2019 - Technical security requirements for IACS components</w:t>
              </w:r>
            </w:hyperlink>
          </w:p>
          <w:p>
            <w:pPr>
              <w:spacing w:before="0" w:after="0"/>
            </w:pPr>
            <w:r>
              <w:rPr>
                <w:rFonts w:ascii="Arial" w:hAnsi="Arial"/>
                <w:color w:val="7D766A"/>
                <w:sz w:val="10"/>
              </w:rPr>
              <w:t>IEC | International standard</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UTIL-07</w:t>
            </w:r>
          </w:p>
        </w:tc>
        <w:tc>
          <w:tcPr>
            <w:tcW w:type="dxa" w:w="4160"/>
            <w:shd w:fill="F1EFE5"/>
            <w:tcMar>
              <w:top w:w="42" w:type="dxa"/>
              <w:start w:w="70" w:type="dxa"/>
              <w:bottom w:w="42" w:type="dxa"/>
              <w:end w:w="70" w:type="dxa"/>
            </w:tcMar>
            <w:vAlign w:val="center"/>
          </w:tcPr>
          <w:p>
            <w:pPr>
              <w:spacing w:after="20"/>
            </w:pPr>
            <w:hyperlink r:id="rId199">
              <w:r>
                <w:rPr>
                  <w:color w:val="2F7F9E"/>
                  <w:rFonts w:ascii="Arial" w:hAnsi="Arial"/>
                  <w:sz w:val="12"/>
                  <w:b/>
                  <w:u w:val="none"/>
                </w:rPr>
                <w:t>NERC CIP reliability standards</w:t>
              </w:r>
            </w:hyperlink>
          </w:p>
          <w:p>
            <w:pPr>
              <w:spacing w:before="0" w:after="0"/>
            </w:pPr>
            <w:r>
              <w:rPr>
                <w:rFonts w:ascii="Arial" w:hAnsi="Arial"/>
                <w:color w:val="7D766A"/>
                <w:sz w:val="10"/>
              </w:rPr>
              <w:t>NERC | Mandatory for applicable North American bulk-power entities</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UTIL-08</w:t>
            </w:r>
          </w:p>
        </w:tc>
        <w:tc>
          <w:tcPr>
            <w:tcW w:type="dxa" w:w="4160"/>
            <w:tcMar>
              <w:top w:w="42" w:type="dxa"/>
              <w:start w:w="70" w:type="dxa"/>
              <w:bottom w:w="42" w:type="dxa"/>
              <w:end w:w="70" w:type="dxa"/>
            </w:tcMar>
            <w:vAlign w:val="center"/>
          </w:tcPr>
          <w:p>
            <w:pPr>
              <w:spacing w:after="20"/>
            </w:pPr>
            <w:hyperlink r:id="rId200">
              <w:r>
                <w:rPr>
                  <w:color w:val="2F7F9E"/>
                  <w:rFonts w:ascii="Arial" w:hAnsi="Arial"/>
                  <w:sz w:val="12"/>
                  <w:b/>
                  <w:u w:val="none"/>
                </w:rPr>
                <w:t>NERC CIP-010-4 - Configuration Change Management and Vulnerability Assessments</w:t>
              </w:r>
            </w:hyperlink>
          </w:p>
          <w:p>
            <w:pPr>
              <w:spacing w:before="0" w:after="0"/>
            </w:pPr>
            <w:r>
              <w:rPr>
                <w:rFonts w:ascii="Arial" w:hAnsi="Arial"/>
                <w:color w:val="7D766A"/>
                <w:sz w:val="10"/>
              </w:rPr>
              <w:t>NERC | Mandatory; current version</w:t>
            </w:r>
          </w:p>
        </w:tc>
        <w:tc>
          <w:tcPr>
            <w:tcW w:type="dxa" w:w="520"/>
            <w:tcMar>
              <w:top w:w="42" w:type="dxa"/>
              <w:start w:w="55" w:type="dxa"/>
              <w:bottom w:w="42" w:type="dxa"/>
              <w:end w:w="55" w:type="dxa"/>
            </w:tcMar>
            <w:vAlign w:val="center"/>
          </w:tcPr>
          <w:p>
            <w:pPr>
              <w:spacing w:after="0"/>
            </w:pPr>
            <w:r>
              <w:rPr>
                <w:rFonts w:ascii="Arial" w:hAnsi="Arial"/>
                <w:b/>
                <w:color w:val="0E2530"/>
                <w:sz w:val="12"/>
              </w:rPr>
              <w:t>UTIL-09</w:t>
            </w:r>
          </w:p>
        </w:tc>
        <w:tc>
          <w:tcPr>
            <w:tcW w:type="dxa" w:w="4160"/>
            <w:tcMar>
              <w:top w:w="42" w:type="dxa"/>
              <w:start w:w="70" w:type="dxa"/>
              <w:bottom w:w="42" w:type="dxa"/>
              <w:end w:w="70" w:type="dxa"/>
            </w:tcMar>
            <w:vAlign w:val="center"/>
          </w:tcPr>
          <w:p>
            <w:pPr>
              <w:spacing w:after="20"/>
            </w:pPr>
            <w:hyperlink r:id="rId201">
              <w:r>
                <w:rPr>
                  <w:color w:val="2F7F9E"/>
                  <w:rFonts w:ascii="Arial" w:hAnsi="Arial"/>
                  <w:sz w:val="12"/>
                  <w:b/>
                  <w:u w:val="none"/>
                </w:rPr>
                <w:t>NERC CIP-011 - Information Protection</w:t>
              </w:r>
            </w:hyperlink>
          </w:p>
          <w:p>
            <w:pPr>
              <w:spacing w:before="0" w:after="0"/>
            </w:pPr>
            <w:r>
              <w:rPr>
                <w:rFonts w:ascii="Arial" w:hAnsi="Arial"/>
                <w:color w:val="7D766A"/>
                <w:sz w:val="10"/>
              </w:rPr>
              <w:t>NERC | Mandatory; version transition in progress</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UTIL-11</w:t>
            </w:r>
          </w:p>
        </w:tc>
        <w:tc>
          <w:tcPr>
            <w:tcW w:type="dxa" w:w="4160"/>
            <w:shd w:fill="F1EFE5"/>
            <w:tcMar>
              <w:top w:w="42" w:type="dxa"/>
              <w:start w:w="70" w:type="dxa"/>
              <w:bottom w:w="42" w:type="dxa"/>
              <w:end w:w="70" w:type="dxa"/>
            </w:tcMar>
            <w:vAlign w:val="center"/>
          </w:tcPr>
          <w:p>
            <w:pPr>
              <w:spacing w:after="20"/>
            </w:pPr>
            <w:hyperlink r:id="rId202">
              <w:r>
                <w:rPr>
                  <w:color w:val="2F7F9E"/>
                  <w:rFonts w:ascii="Arial" w:hAnsi="Arial"/>
                  <w:sz w:val="12"/>
                  <w:b/>
                  <w:u w:val="none"/>
                </w:rPr>
                <w:t>EPA Guidance on Improving Cybersecurity at Drinking Water and Wastewater Systems</w:t>
              </w:r>
            </w:hyperlink>
          </w:p>
          <w:p>
            <w:pPr>
              <w:spacing w:before="0" w:after="0"/>
            </w:pPr>
            <w:r>
              <w:rPr>
                <w:rFonts w:ascii="Arial" w:hAnsi="Arial"/>
                <w:color w:val="7D766A"/>
                <w:sz w:val="10"/>
              </w:rPr>
              <w:t>U.S. EPA | Voluntary sector guidance</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UTIL-12</w:t>
            </w:r>
          </w:p>
        </w:tc>
        <w:tc>
          <w:tcPr>
            <w:tcW w:type="dxa" w:w="4160"/>
            <w:shd w:fill="F1EFE5"/>
            <w:tcMar>
              <w:top w:w="42" w:type="dxa"/>
              <w:start w:w="70" w:type="dxa"/>
              <w:bottom w:w="42" w:type="dxa"/>
              <w:end w:w="70" w:type="dxa"/>
            </w:tcMar>
            <w:vAlign w:val="center"/>
          </w:tcPr>
          <w:p>
            <w:pPr>
              <w:spacing w:after="20"/>
            </w:pPr>
            <w:hyperlink r:id="rId203">
              <w:r>
                <w:rPr>
                  <w:color w:val="2F7F9E"/>
                  <w:rFonts w:ascii="Arial" w:hAnsi="Arial"/>
                  <w:sz w:val="12"/>
                  <w:b/>
                  <w:u w:val="none"/>
                </w:rPr>
                <w:t>Cross-Sector Cybersecurity Performance Goals</w:t>
              </w:r>
            </w:hyperlink>
          </w:p>
          <w:p>
            <w:pPr>
              <w:spacing w:before="0" w:after="0"/>
            </w:pPr>
            <w:r>
              <w:rPr>
                <w:rFonts w:ascii="Arial" w:hAnsi="Arial"/>
                <w:color w:val="7D766A"/>
                <w:sz w:val="10"/>
              </w:rPr>
              <w:t>CISA | Voluntary critical-infrastructure baseline</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IND-02</w:t>
            </w:r>
          </w:p>
        </w:tc>
        <w:tc>
          <w:tcPr>
            <w:tcW w:type="dxa" w:w="4160"/>
            <w:tcMar>
              <w:top w:w="42" w:type="dxa"/>
              <w:start w:w="70" w:type="dxa"/>
              <w:bottom w:w="42" w:type="dxa"/>
              <w:end w:w="70" w:type="dxa"/>
            </w:tcMar>
            <w:vAlign w:val="center"/>
          </w:tcPr>
          <w:p>
            <w:pPr>
              <w:spacing w:after="20"/>
            </w:pPr>
            <w:hyperlink r:id="rId204">
              <w:r>
                <w:rPr>
                  <w:color w:val="2F7F9E"/>
                  <w:rFonts w:ascii="Arial" w:hAnsi="Arial"/>
                  <w:sz w:val="12"/>
                  <w:b/>
                  <w:u w:val="none"/>
                </w:rPr>
                <w:t>DCAM v3 / v3.1</w:t>
              </w:r>
            </w:hyperlink>
          </w:p>
          <w:p>
            <w:pPr>
              <w:spacing w:before="0" w:after="0"/>
            </w:pPr>
            <w:r>
              <w:rPr>
                <w:rFonts w:ascii="Arial" w:hAnsi="Arial"/>
                <w:color w:val="7D766A"/>
                <w:sz w:val="10"/>
              </w:rPr>
              <w:t>EDM Association | Industry capability-assessment framework · member access</w:t>
            </w:r>
          </w:p>
        </w:tc>
        <w:tc>
          <w:tcPr>
            <w:tcW w:type="dxa" w:w="520"/>
            <w:tcMar>
              <w:top w:w="42" w:type="dxa"/>
              <w:start w:w="55" w:type="dxa"/>
              <w:bottom w:w="42" w:type="dxa"/>
              <w:end w:w="55" w:type="dxa"/>
            </w:tcMar>
            <w:vAlign w:val="center"/>
          </w:tcPr>
          <w:p>
            <w:pPr>
              <w:spacing w:after="0"/>
            </w:pPr>
            <w:r>
              <w:rPr>
                <w:rFonts w:ascii="Arial" w:hAnsi="Arial"/>
                <w:b/>
                <w:color w:val="0E2530"/>
                <w:sz w:val="12"/>
              </w:rPr>
              <w:t>IND-03</w:t>
            </w:r>
          </w:p>
        </w:tc>
        <w:tc>
          <w:tcPr>
            <w:tcW w:type="dxa" w:w="4160"/>
            <w:tcMar>
              <w:top w:w="42" w:type="dxa"/>
              <w:start w:w="70" w:type="dxa"/>
              <w:bottom w:w="42" w:type="dxa"/>
              <w:end w:w="70" w:type="dxa"/>
            </w:tcMar>
            <w:vAlign w:val="center"/>
          </w:tcPr>
          <w:p>
            <w:pPr>
              <w:spacing w:after="20"/>
            </w:pPr>
            <w:hyperlink r:id="rId205">
              <w:r>
                <w:rPr>
                  <w:color w:val="2F7F9E"/>
                  <w:rFonts w:ascii="Arial" w:hAnsi="Arial"/>
                  <w:sz w:val="12"/>
                  <w:b/>
                  <w:u w:val="none"/>
                </w:rPr>
                <w:t>Cloud Data Management Capabilities (CDMC) v1.1.1</w:t>
              </w:r>
            </w:hyperlink>
          </w:p>
          <w:p>
            <w:pPr>
              <w:spacing w:before="0" w:after="0"/>
            </w:pPr>
            <w:r>
              <w:rPr>
                <w:rFonts w:ascii="Arial" w:hAnsi="Arial"/>
                <w:color w:val="7D766A"/>
                <w:sz w:val="10"/>
              </w:rPr>
              <w:t>EDM Association | Open industry framework</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IND-07</w:t>
            </w:r>
          </w:p>
        </w:tc>
        <w:tc>
          <w:tcPr>
            <w:tcW w:type="dxa" w:w="4160"/>
            <w:shd w:fill="F1EFE5"/>
            <w:tcMar>
              <w:top w:w="42" w:type="dxa"/>
              <w:start w:w="70" w:type="dxa"/>
              <w:bottom w:w="42" w:type="dxa"/>
              <w:end w:w="70" w:type="dxa"/>
            </w:tcMar>
            <w:vAlign w:val="center"/>
          </w:tcPr>
          <w:p>
            <w:pPr>
              <w:spacing w:after="20"/>
            </w:pPr>
            <w:hyperlink r:id="rId206">
              <w:r>
                <w:rPr>
                  <w:color w:val="2F7F9E"/>
                  <w:rFonts w:ascii="Arial" w:hAnsi="Arial"/>
                  <w:sz w:val="12"/>
                  <w:b/>
                  <w:u w:val="none"/>
                </w:rPr>
                <w:t>C2PA Technical Specification 2.2</w:t>
              </w:r>
            </w:hyperlink>
          </w:p>
          <w:p>
            <w:pPr>
              <w:spacing w:before="0" w:after="0"/>
            </w:pPr>
            <w:r>
              <w:rPr>
                <w:rFonts w:ascii="Arial" w:hAnsi="Arial"/>
                <w:color w:val="7D766A"/>
                <w:sz w:val="10"/>
              </w:rPr>
              <w:t>Coalition for Content Provenance and Authenticity | Open technical specification</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IND-08</w:t>
            </w:r>
          </w:p>
        </w:tc>
        <w:tc>
          <w:tcPr>
            <w:tcW w:type="dxa" w:w="4160"/>
            <w:shd w:fill="F1EFE5"/>
            <w:tcMar>
              <w:top w:w="42" w:type="dxa"/>
              <w:start w:w="70" w:type="dxa"/>
              <w:bottom w:w="42" w:type="dxa"/>
              <w:end w:w="70" w:type="dxa"/>
            </w:tcMar>
            <w:vAlign w:val="center"/>
          </w:tcPr>
          <w:p>
            <w:pPr>
              <w:spacing w:after="20"/>
            </w:pPr>
            <w:hyperlink r:id="rId207">
              <w:r>
                <w:rPr>
                  <w:color w:val="2F7F9E"/>
                  <w:rFonts w:ascii="Arial" w:hAnsi="Arial"/>
                  <w:sz w:val="12"/>
                  <w:b/>
                  <w:u w:val="none"/>
                </w:rPr>
                <w:t>Data Ethics Canvas</w:t>
              </w:r>
            </w:hyperlink>
          </w:p>
          <w:p>
            <w:pPr>
              <w:spacing w:before="0" w:after="0"/>
            </w:pPr>
            <w:r>
              <w:rPr>
                <w:rFonts w:ascii="Arial" w:hAnsi="Arial"/>
                <w:color w:val="7D766A"/>
                <w:sz w:val="10"/>
              </w:rPr>
              <w:t>Open Data Institute | Open practical tool</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IND-09</w:t>
            </w:r>
          </w:p>
        </w:tc>
        <w:tc>
          <w:tcPr>
            <w:tcW w:type="dxa" w:w="4160"/>
            <w:tcMar>
              <w:top w:w="42" w:type="dxa"/>
              <w:start w:w="70" w:type="dxa"/>
              <w:bottom w:w="42" w:type="dxa"/>
              <w:end w:w="70" w:type="dxa"/>
            </w:tcMar>
            <w:vAlign w:val="center"/>
          </w:tcPr>
          <w:p>
            <w:pPr>
              <w:spacing w:after="20"/>
            </w:pPr>
            <w:hyperlink r:id="rId208">
              <w:r>
                <w:rPr>
                  <w:color w:val="2F7F9E"/>
                  <w:rFonts w:ascii="Arial" w:hAnsi="Arial"/>
                  <w:sz w:val="12"/>
                  <w:b/>
                  <w:u w:val="none"/>
                </w:rPr>
                <w:t>OECD Recommendation on Artificial Intelligence</w:t>
              </w:r>
            </w:hyperlink>
          </w:p>
          <w:p>
            <w:pPr>
              <w:spacing w:before="0" w:after="0"/>
            </w:pPr>
            <w:r>
              <w:rPr>
                <w:rFonts w:ascii="Arial" w:hAnsi="Arial"/>
                <w:color w:val="7D766A"/>
                <w:sz w:val="10"/>
              </w:rPr>
              <w:t>OECD | Intergovernmental recommendation · revised 2024</w:t>
            </w:r>
          </w:p>
        </w:tc>
        <w:tc>
          <w:tcPr>
            <w:tcW w:type="dxa" w:w="520"/>
            <w:tcMar>
              <w:top w:w="42" w:type="dxa"/>
              <w:start w:w="55" w:type="dxa"/>
              <w:bottom w:w="42" w:type="dxa"/>
              <w:end w:w="55" w:type="dxa"/>
            </w:tcMar>
            <w:vAlign w:val="center"/>
          </w:tcPr>
          <w:p>
            <w:pPr>
              <w:spacing w:after="0"/>
            </w:pPr>
            <w:r>
              <w:rPr>
                <w:rFonts w:ascii="Arial" w:hAnsi="Arial"/>
                <w:b/>
                <w:color w:val="0E2530"/>
                <w:sz w:val="12"/>
              </w:rPr>
              <w:t>IND-10</w:t>
            </w:r>
          </w:p>
        </w:tc>
        <w:tc>
          <w:tcPr>
            <w:tcW w:type="dxa" w:w="4160"/>
            <w:tcMar>
              <w:top w:w="42" w:type="dxa"/>
              <w:start w:w="70" w:type="dxa"/>
              <w:bottom w:w="42" w:type="dxa"/>
              <w:end w:w="70" w:type="dxa"/>
            </w:tcMar>
            <w:vAlign w:val="center"/>
          </w:tcPr>
          <w:p>
            <w:pPr>
              <w:spacing w:after="20"/>
            </w:pPr>
            <w:hyperlink r:id="rId209">
              <w:r>
                <w:rPr>
                  <w:color w:val="2F7F9E"/>
                  <w:rFonts w:ascii="Arial" w:hAnsi="Arial"/>
                  <w:sz w:val="12"/>
                  <w:b/>
                  <w:u w:val="none"/>
                </w:rPr>
                <w:t>UNESCO Recommendation on the Ethics of Artificial Intelligence</w:t>
              </w:r>
            </w:hyperlink>
          </w:p>
          <w:p>
            <w:pPr>
              <w:spacing w:before="0" w:after="0"/>
            </w:pPr>
            <w:r>
              <w:rPr>
                <w:rFonts w:ascii="Arial" w:hAnsi="Arial"/>
                <w:color w:val="7D766A"/>
                <w:sz w:val="10"/>
              </w:rPr>
              <w:t>UNESCO | International normative recommendation · 2021</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IND-11</w:t>
            </w:r>
          </w:p>
        </w:tc>
        <w:tc>
          <w:tcPr>
            <w:tcW w:type="dxa" w:w="4160"/>
            <w:shd w:fill="F1EFE5"/>
            <w:tcMar>
              <w:top w:w="42" w:type="dxa"/>
              <w:start w:w="70" w:type="dxa"/>
              <w:bottom w:w="42" w:type="dxa"/>
              <w:end w:w="70" w:type="dxa"/>
            </w:tcMar>
            <w:vAlign w:val="center"/>
          </w:tcPr>
          <w:p>
            <w:pPr>
              <w:spacing w:after="20"/>
            </w:pPr>
            <w:hyperlink r:id="rId210">
              <w:r>
                <w:rPr>
                  <w:color w:val="2F7F9E"/>
                  <w:rFonts w:ascii="Arial" w:hAnsi="Arial"/>
                  <w:sz w:val="12"/>
                  <w:b/>
                  <w:u w:val="none"/>
                </w:rPr>
                <w:t>IEEE 7000 standards family</w:t>
              </w:r>
            </w:hyperlink>
          </w:p>
          <w:p>
            <w:pPr>
              <w:spacing w:before="0" w:after="0"/>
            </w:pPr>
            <w:r>
              <w:rPr>
                <w:rFonts w:ascii="Arial" w:hAnsi="Arial"/>
                <w:color w:val="7D766A"/>
                <w:sz w:val="10"/>
              </w:rPr>
              <w:t>IEEE Standards Association | Consensus standards family</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US-01</w:t>
            </w:r>
          </w:p>
        </w:tc>
        <w:tc>
          <w:tcPr>
            <w:tcW w:type="dxa" w:w="4160"/>
            <w:shd w:fill="F1EFE5"/>
            <w:tcMar>
              <w:top w:w="42" w:type="dxa"/>
              <w:start w:w="70" w:type="dxa"/>
              <w:bottom w:w="42" w:type="dxa"/>
              <w:end w:w="70" w:type="dxa"/>
            </w:tcMar>
            <w:vAlign w:val="center"/>
          </w:tcPr>
          <w:p>
            <w:pPr>
              <w:spacing w:after="20"/>
            </w:pPr>
            <w:hyperlink r:id="rId211">
              <w:r>
                <w:rPr>
                  <w:color w:val="2F7F9E"/>
                  <w:rFonts w:ascii="Arial" w:hAnsi="Arial"/>
                  <w:sz w:val="12"/>
                  <w:b/>
                  <w:u w:val="none"/>
                </w:rPr>
                <w:t>Foundations for Evidence-Based Policymaking Act / OPEN Government Data Act</w:t>
              </w:r>
            </w:hyperlink>
          </w:p>
          <w:p>
            <w:pPr>
              <w:spacing w:before="0" w:after="0"/>
            </w:pPr>
            <w:r>
              <w:rPr>
                <w:rFonts w:ascii="Arial" w:hAnsi="Arial"/>
                <w:color w:val="7D766A"/>
                <w:sz w:val="10"/>
              </w:rPr>
              <w:t>U.S. Congress | Binding federal law</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US-02</w:t>
            </w:r>
          </w:p>
        </w:tc>
        <w:tc>
          <w:tcPr>
            <w:tcW w:type="dxa" w:w="4160"/>
            <w:tcMar>
              <w:top w:w="42" w:type="dxa"/>
              <w:start w:w="70" w:type="dxa"/>
              <w:bottom w:w="42" w:type="dxa"/>
              <w:end w:w="70" w:type="dxa"/>
            </w:tcMar>
            <w:vAlign w:val="center"/>
          </w:tcPr>
          <w:p>
            <w:pPr>
              <w:spacing w:after="20"/>
            </w:pPr>
            <w:hyperlink r:id="rId212">
              <w:r>
                <w:rPr>
                  <w:color w:val="2F7F9E"/>
                  <w:rFonts w:ascii="Arial" w:hAnsi="Arial"/>
                  <w:sz w:val="12"/>
                  <w:b/>
                  <w:u w:val="none"/>
                </w:rPr>
                <w:t>44 U.S.C. § 3520 - Chief Data Officers</w:t>
              </w:r>
            </w:hyperlink>
          </w:p>
          <w:p>
            <w:pPr>
              <w:spacing w:before="0" w:after="0"/>
            </w:pPr>
            <w:r>
              <w:rPr>
                <w:rFonts w:ascii="Arial" w:hAnsi="Arial"/>
                <w:color w:val="7D766A"/>
                <w:sz w:val="10"/>
              </w:rPr>
              <w:t>U.S. Code | Binding federal law</w:t>
            </w:r>
          </w:p>
        </w:tc>
        <w:tc>
          <w:tcPr>
            <w:tcW w:type="dxa" w:w="520"/>
            <w:tcMar>
              <w:top w:w="42" w:type="dxa"/>
              <w:start w:w="55" w:type="dxa"/>
              <w:bottom w:w="42" w:type="dxa"/>
              <w:end w:w="55" w:type="dxa"/>
            </w:tcMar>
            <w:vAlign w:val="center"/>
          </w:tcPr>
          <w:p>
            <w:pPr>
              <w:spacing w:after="0"/>
            </w:pPr>
            <w:r>
              <w:rPr>
                <w:rFonts w:ascii="Arial" w:hAnsi="Arial"/>
                <w:b/>
                <w:color w:val="0E2530"/>
                <w:sz w:val="12"/>
              </w:rPr>
              <w:t>US-03</w:t>
            </w:r>
          </w:p>
        </w:tc>
        <w:tc>
          <w:tcPr>
            <w:tcW w:type="dxa" w:w="4160"/>
            <w:tcMar>
              <w:top w:w="42" w:type="dxa"/>
              <w:start w:w="70" w:type="dxa"/>
              <w:bottom w:w="42" w:type="dxa"/>
              <w:end w:w="70" w:type="dxa"/>
            </w:tcMar>
            <w:vAlign w:val="center"/>
          </w:tcPr>
          <w:p>
            <w:pPr>
              <w:spacing w:after="20"/>
            </w:pPr>
            <w:hyperlink r:id="rId213">
              <w:r>
                <w:rPr>
                  <w:color w:val="2F7F9E"/>
                  <w:rFonts w:ascii="Arial" w:hAnsi="Arial"/>
                  <w:sz w:val="12"/>
                  <w:b/>
                  <w:u w:val="none"/>
                </w:rPr>
                <w:t>M-19-18 - Federal Data Strategy - A Framework for Consistency</w:t>
              </w:r>
            </w:hyperlink>
          </w:p>
          <w:p>
            <w:pPr>
              <w:spacing w:before="0" w:after="0"/>
            </w:pPr>
            <w:r>
              <w:rPr>
                <w:rFonts w:ascii="Arial" w:hAnsi="Arial"/>
                <w:color w:val="7D766A"/>
                <w:sz w:val="10"/>
              </w:rPr>
              <w:t>OMB | Binding executive-branch memorandum</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US-04</w:t>
            </w:r>
          </w:p>
        </w:tc>
        <w:tc>
          <w:tcPr>
            <w:tcW w:type="dxa" w:w="4160"/>
            <w:shd w:fill="F1EFE5"/>
            <w:tcMar>
              <w:top w:w="42" w:type="dxa"/>
              <w:start w:w="70" w:type="dxa"/>
              <w:bottom w:w="42" w:type="dxa"/>
              <w:end w:w="70" w:type="dxa"/>
            </w:tcMar>
            <w:vAlign w:val="center"/>
          </w:tcPr>
          <w:p>
            <w:pPr>
              <w:spacing w:after="20"/>
            </w:pPr>
            <w:hyperlink r:id="rId214">
              <w:r>
                <w:rPr>
                  <w:color w:val="2F7F9E"/>
                  <w:rFonts w:ascii="Arial" w:hAnsi="Arial"/>
                  <w:sz w:val="12"/>
                  <w:b/>
                  <w:u w:val="none"/>
                </w:rPr>
                <w:t>Federal Data Strategy - Principles and Practices</w:t>
              </w:r>
            </w:hyperlink>
          </w:p>
          <w:p>
            <w:pPr>
              <w:spacing w:before="0" w:after="0"/>
            </w:pPr>
            <w:r>
              <w:rPr>
                <w:rFonts w:ascii="Arial" w:hAnsi="Arial"/>
                <w:color w:val="7D766A"/>
                <w:sz w:val="10"/>
              </w:rPr>
              <w:t>U.S. Government | Government-wide guidance</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US-06</w:t>
            </w:r>
          </w:p>
        </w:tc>
        <w:tc>
          <w:tcPr>
            <w:tcW w:type="dxa" w:w="4160"/>
            <w:shd w:fill="F1EFE5"/>
            <w:tcMar>
              <w:top w:w="42" w:type="dxa"/>
              <w:start w:w="70" w:type="dxa"/>
              <w:bottom w:w="42" w:type="dxa"/>
              <w:end w:w="70" w:type="dxa"/>
            </w:tcMar>
            <w:vAlign w:val="center"/>
          </w:tcPr>
          <w:p>
            <w:pPr>
              <w:spacing w:after="20"/>
            </w:pPr>
            <w:hyperlink r:id="rId215">
              <w:r>
                <w:rPr>
                  <w:color w:val="2F7F9E"/>
                  <w:rFonts w:ascii="Arial" w:hAnsi="Arial"/>
                  <w:sz w:val="12"/>
                  <w:b/>
                  <w:u w:val="none"/>
                </w:rPr>
                <w:t>America's AI Action Plan</w:t>
              </w:r>
            </w:hyperlink>
          </w:p>
          <w:p>
            <w:pPr>
              <w:spacing w:before="0" w:after="0"/>
            </w:pPr>
            <w:r>
              <w:rPr>
                <w:rFonts w:ascii="Arial" w:hAnsi="Arial"/>
                <w:color w:val="7D766A"/>
                <w:sz w:val="10"/>
              </w:rPr>
              <w:t>The White House | Executive policy plan · July 2025</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US-08</w:t>
            </w:r>
          </w:p>
        </w:tc>
        <w:tc>
          <w:tcPr>
            <w:tcW w:type="dxa" w:w="4160"/>
            <w:tcMar>
              <w:top w:w="42" w:type="dxa"/>
              <w:start w:w="70" w:type="dxa"/>
              <w:bottom w:w="42" w:type="dxa"/>
              <w:end w:w="70" w:type="dxa"/>
            </w:tcMar>
            <w:vAlign w:val="center"/>
          </w:tcPr>
          <w:p>
            <w:pPr>
              <w:spacing w:after="20"/>
            </w:pPr>
            <w:hyperlink r:id="rId216">
              <w:r>
                <w:rPr>
                  <w:color w:val="2F7F9E"/>
                  <w:rFonts w:ascii="Arial" w:hAnsi="Arial"/>
                  <w:sz w:val="12"/>
                  <w:b/>
                  <w:u w:val="none"/>
                </w:rPr>
                <w:t>M-25-22 - Driving Efficient Acquisition of Artificial Intelligence in Government</w:t>
              </w:r>
            </w:hyperlink>
          </w:p>
          <w:p>
            <w:pPr>
              <w:spacing w:before="0" w:after="0"/>
            </w:pPr>
            <w:r>
              <w:rPr>
                <w:rFonts w:ascii="Arial" w:hAnsi="Arial"/>
                <w:color w:val="7D766A"/>
                <w:sz w:val="10"/>
              </w:rPr>
              <w:t>OMB | Binding federal memorandum · April 2025</w:t>
            </w:r>
          </w:p>
        </w:tc>
        <w:tc>
          <w:tcPr>
            <w:tcW w:type="dxa" w:w="520"/>
            <w:tcMar>
              <w:top w:w="42" w:type="dxa"/>
              <w:start w:w="55" w:type="dxa"/>
              <w:bottom w:w="42" w:type="dxa"/>
              <w:end w:w="55" w:type="dxa"/>
            </w:tcMar>
            <w:vAlign w:val="center"/>
          </w:tcPr>
          <w:p>
            <w:pPr>
              <w:spacing w:after="0"/>
            </w:pPr>
            <w:r>
              <w:rPr>
                <w:rFonts w:ascii="Arial" w:hAnsi="Arial"/>
                <w:b/>
                <w:color w:val="0E2530"/>
                <w:sz w:val="12"/>
              </w:rPr>
              <w:t>US-09</w:t>
            </w:r>
          </w:p>
        </w:tc>
        <w:tc>
          <w:tcPr>
            <w:tcW w:type="dxa" w:w="4160"/>
            <w:tcMar>
              <w:top w:w="42" w:type="dxa"/>
              <w:start w:w="70" w:type="dxa"/>
              <w:bottom w:w="42" w:type="dxa"/>
              <w:end w:w="70" w:type="dxa"/>
            </w:tcMar>
            <w:vAlign w:val="center"/>
          </w:tcPr>
          <w:p>
            <w:pPr>
              <w:spacing w:after="20"/>
            </w:pPr>
            <w:hyperlink r:id="rId217">
              <w:r>
                <w:rPr>
                  <w:color w:val="2F7F9E"/>
                  <w:rFonts w:ascii="Arial" w:hAnsi="Arial"/>
                  <w:sz w:val="12"/>
                  <w:b/>
                  <w:u w:val="none"/>
                </w:rPr>
                <w:t>M-26-04 - Unbiased AI Principles</w:t>
              </w:r>
            </w:hyperlink>
          </w:p>
          <w:p>
            <w:pPr>
              <w:spacing w:before="0" w:after="0"/>
            </w:pPr>
            <w:r>
              <w:rPr>
                <w:rFonts w:ascii="Arial" w:hAnsi="Arial"/>
                <w:color w:val="7D766A"/>
                <w:sz w:val="10"/>
              </w:rPr>
              <w:t>OMB | Binding federal memorandum · Dec 2025</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US-10</w:t>
            </w:r>
          </w:p>
        </w:tc>
        <w:tc>
          <w:tcPr>
            <w:tcW w:type="dxa" w:w="4160"/>
            <w:shd w:fill="F1EFE5"/>
            <w:tcMar>
              <w:top w:w="42" w:type="dxa"/>
              <w:start w:w="70" w:type="dxa"/>
              <w:bottom w:w="42" w:type="dxa"/>
              <w:end w:w="70" w:type="dxa"/>
            </w:tcMar>
            <w:vAlign w:val="center"/>
          </w:tcPr>
          <w:p>
            <w:pPr>
              <w:spacing w:after="20"/>
            </w:pPr>
            <w:hyperlink r:id="rId218">
              <w:r>
                <w:rPr>
                  <w:color w:val="2F7F9E"/>
                  <w:rFonts w:ascii="Arial" w:hAnsi="Arial"/>
                  <w:sz w:val="12"/>
                  <w:b/>
                  <w:u w:val="none"/>
                </w:rPr>
                <w:t>M-26-05 - Risk-Based Approach to Software and Hardware Security</w:t>
              </w:r>
            </w:hyperlink>
          </w:p>
          <w:p>
            <w:pPr>
              <w:spacing w:before="0" w:after="0"/>
            </w:pPr>
            <w:r>
              <w:rPr>
                <w:rFonts w:ascii="Arial" w:hAnsi="Arial"/>
                <w:color w:val="7D766A"/>
                <w:sz w:val="10"/>
              </w:rPr>
              <w:t>OMB | Binding federal memorandum · Jan 2026</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US-12</w:t>
            </w:r>
          </w:p>
        </w:tc>
        <w:tc>
          <w:tcPr>
            <w:tcW w:type="dxa" w:w="4160"/>
            <w:shd w:fill="F1EFE5"/>
            <w:tcMar>
              <w:top w:w="42" w:type="dxa"/>
              <w:start w:w="70" w:type="dxa"/>
              <w:bottom w:w="42" w:type="dxa"/>
              <w:end w:w="70" w:type="dxa"/>
            </w:tcMar>
            <w:vAlign w:val="center"/>
          </w:tcPr>
          <w:p>
            <w:pPr>
              <w:spacing w:after="20"/>
            </w:pPr>
            <w:hyperlink r:id="rId219">
              <w:r>
                <w:rPr>
                  <w:color w:val="2F7F9E"/>
                  <w:rFonts w:ascii="Arial" w:hAnsi="Arial"/>
                  <w:sz w:val="12"/>
                  <w:b/>
                  <w:u w:val="none"/>
                </w:rPr>
                <w:t>M-26-14 - Agency Logging and Network Visibility</w:t>
              </w:r>
            </w:hyperlink>
          </w:p>
          <w:p>
            <w:pPr>
              <w:spacing w:before="0" w:after="0"/>
            </w:pPr>
            <w:r>
              <w:rPr>
                <w:rFonts w:ascii="Arial" w:hAnsi="Arial"/>
                <w:color w:val="7D766A"/>
                <w:sz w:val="10"/>
              </w:rPr>
              <w:t>OMB | Binding federal memorandum · May 2026</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US-13</w:t>
            </w:r>
          </w:p>
        </w:tc>
        <w:tc>
          <w:tcPr>
            <w:tcW w:type="dxa" w:w="4160"/>
            <w:tcMar>
              <w:top w:w="42" w:type="dxa"/>
              <w:start w:w="70" w:type="dxa"/>
              <w:bottom w:w="42" w:type="dxa"/>
              <w:end w:w="70" w:type="dxa"/>
            </w:tcMar>
            <w:vAlign w:val="center"/>
          </w:tcPr>
          <w:p>
            <w:pPr>
              <w:spacing w:after="20"/>
            </w:pPr>
            <w:hyperlink r:id="rId220">
              <w:r>
                <w:rPr>
                  <w:color w:val="2F7F9E"/>
                  <w:rFonts w:ascii="Arial" w:hAnsi="Arial"/>
                  <w:sz w:val="12"/>
                  <w:b/>
                  <w:u w:val="none"/>
                </w:rPr>
                <w:t>NSPM-11 - National Security Artificial Intelligence</w:t>
              </w:r>
            </w:hyperlink>
          </w:p>
          <w:p>
            <w:pPr>
              <w:spacing w:before="0" w:after="0"/>
            </w:pPr>
            <w:r>
              <w:rPr>
                <w:rFonts w:ascii="Arial" w:hAnsi="Arial"/>
                <w:color w:val="7D766A"/>
                <w:sz w:val="10"/>
              </w:rPr>
              <w:t>The White House | National security memorandum · June 2026</w:t>
            </w:r>
          </w:p>
        </w:tc>
        <w:tc>
          <w:tcPr>
            <w:tcW w:type="dxa" w:w="520"/>
            <w:tcMar>
              <w:top w:w="42" w:type="dxa"/>
              <w:start w:w="55" w:type="dxa"/>
              <w:bottom w:w="42" w:type="dxa"/>
              <w:end w:w="55" w:type="dxa"/>
            </w:tcMar>
            <w:vAlign w:val="center"/>
          </w:tcPr>
          <w:p>
            <w:pPr>
              <w:spacing w:after="0"/>
            </w:pPr>
            <w:r>
              <w:rPr>
                <w:rFonts w:ascii="Arial" w:hAnsi="Arial"/>
                <w:b/>
                <w:color w:val="0E2530"/>
                <w:sz w:val="12"/>
              </w:rPr>
              <w:t>US-14</w:t>
            </w:r>
          </w:p>
        </w:tc>
        <w:tc>
          <w:tcPr>
            <w:tcW w:type="dxa" w:w="4160"/>
            <w:tcMar>
              <w:top w:w="42" w:type="dxa"/>
              <w:start w:w="70" w:type="dxa"/>
              <w:bottom w:w="42" w:type="dxa"/>
              <w:end w:w="70" w:type="dxa"/>
            </w:tcMar>
            <w:vAlign w:val="center"/>
          </w:tcPr>
          <w:p>
            <w:pPr>
              <w:spacing w:after="20"/>
            </w:pPr>
            <w:hyperlink r:id="rId221">
              <w:r>
                <w:rPr>
                  <w:color w:val="2F7F9E"/>
                  <w:rFonts w:ascii="Arial" w:hAnsi="Arial"/>
                  <w:sz w:val="12"/>
                  <w:b/>
                  <w:u w:val="none"/>
                </w:rPr>
                <w:t>FY 2026 and FY 2027 Budget materials</w:t>
              </w:r>
            </w:hyperlink>
          </w:p>
          <w:p>
            <w:pPr>
              <w:spacing w:before="0" w:after="0"/>
            </w:pPr>
            <w:r>
              <w:rPr>
                <w:rFonts w:ascii="Arial" w:hAnsi="Arial"/>
                <w:color w:val="7D766A"/>
                <w:sz w:val="10"/>
              </w:rPr>
              <w:t>OMB | Budget and funding signals</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US-15</w:t>
            </w:r>
          </w:p>
        </w:tc>
        <w:tc>
          <w:tcPr>
            <w:tcW w:type="dxa" w:w="4160"/>
            <w:shd w:fill="F1EFE5"/>
            <w:tcMar>
              <w:top w:w="42" w:type="dxa"/>
              <w:start w:w="70" w:type="dxa"/>
              <w:bottom w:w="42" w:type="dxa"/>
              <w:end w:w="70" w:type="dxa"/>
            </w:tcMar>
            <w:vAlign w:val="center"/>
          </w:tcPr>
          <w:p>
            <w:pPr>
              <w:spacing w:after="20"/>
            </w:pPr>
            <w:hyperlink r:id="rId222">
              <w:r>
                <w:rPr>
                  <w:color w:val="2F7F9E"/>
                  <w:rFonts w:ascii="Arial" w:hAnsi="Arial"/>
                  <w:sz w:val="12"/>
                  <w:b/>
                  <w:u w:val="none"/>
                </w:rPr>
                <w:t>OMB Analytical Perspectives</w:t>
              </w:r>
            </w:hyperlink>
          </w:p>
          <w:p>
            <w:pPr>
              <w:spacing w:before="0" w:after="0"/>
            </w:pPr>
            <w:r>
              <w:rPr>
                <w:rFonts w:ascii="Arial" w:hAnsi="Arial"/>
                <w:color w:val="7D766A"/>
                <w:sz w:val="10"/>
              </w:rPr>
              <w:t>OMB | Budget analytical material</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USSC-01</w:t>
            </w:r>
          </w:p>
        </w:tc>
        <w:tc>
          <w:tcPr>
            <w:tcW w:type="dxa" w:w="4160"/>
            <w:shd w:fill="F1EFE5"/>
            <w:tcMar>
              <w:top w:w="42" w:type="dxa"/>
              <w:start w:w="70" w:type="dxa"/>
              <w:bottom w:w="42" w:type="dxa"/>
              <w:end w:w="70" w:type="dxa"/>
            </w:tcMar>
            <w:vAlign w:val="center"/>
          </w:tcPr>
          <w:p>
            <w:pPr>
              <w:spacing w:after="20"/>
            </w:pPr>
            <w:hyperlink r:id="rId223">
              <w:r>
                <w:rPr>
                  <w:color w:val="2F7F9E"/>
                  <w:rFonts w:ascii="Arial" w:hAnsi="Arial"/>
                  <w:sz w:val="12"/>
                  <w:b/>
                  <w:u w:val="none"/>
                </w:rPr>
                <w:t>California AB 2013 - Generative AI training data transparency</w:t>
              </w:r>
            </w:hyperlink>
          </w:p>
          <w:p>
            <w:pPr>
              <w:spacing w:before="0" w:after="0"/>
            </w:pPr>
            <w:r>
              <w:rPr>
                <w:rFonts w:ascii="Arial" w:hAnsi="Arial"/>
                <w:color w:val="7D766A"/>
                <w:sz w:val="10"/>
              </w:rPr>
              <w:t>California | Binding state law · disclosures from Jan 2026</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USSC-02</w:t>
            </w:r>
          </w:p>
        </w:tc>
        <w:tc>
          <w:tcPr>
            <w:tcW w:type="dxa" w:w="4160"/>
            <w:tcMar>
              <w:top w:w="42" w:type="dxa"/>
              <w:start w:w="70" w:type="dxa"/>
              <w:bottom w:w="42" w:type="dxa"/>
              <w:end w:w="70" w:type="dxa"/>
            </w:tcMar>
            <w:vAlign w:val="center"/>
          </w:tcPr>
          <w:p>
            <w:pPr>
              <w:spacing w:after="20"/>
            </w:pPr>
            <w:hyperlink r:id="rId224">
              <w:r>
                <w:rPr>
                  <w:color w:val="2F7F9E"/>
                  <w:rFonts w:ascii="Arial" w:hAnsi="Arial"/>
                  <w:sz w:val="12"/>
                  <w:b/>
                  <w:u w:val="none"/>
                </w:rPr>
                <w:t>Colorado SB 24-205 and subsequent amendments</w:t>
              </w:r>
            </w:hyperlink>
          </w:p>
          <w:p>
            <w:pPr>
              <w:spacing w:before="0" w:after="0"/>
            </w:pPr>
            <w:r>
              <w:rPr>
                <w:rFonts w:ascii="Arial" w:hAnsi="Arial"/>
                <w:color w:val="7D766A"/>
                <w:sz w:val="10"/>
              </w:rPr>
              <w:t>Colorado | Binding law · rapidly changing implementation</w:t>
            </w:r>
          </w:p>
        </w:tc>
        <w:tc>
          <w:tcPr>
            <w:tcW w:type="dxa" w:w="520"/>
            <w:tcMar>
              <w:top w:w="42" w:type="dxa"/>
              <w:start w:w="55" w:type="dxa"/>
              <w:bottom w:w="42" w:type="dxa"/>
              <w:end w:w="55" w:type="dxa"/>
            </w:tcMar>
            <w:vAlign w:val="center"/>
          </w:tcPr>
          <w:p>
            <w:pPr>
              <w:spacing w:after="0"/>
            </w:pPr>
            <w:r>
              <w:rPr>
                <w:rFonts w:ascii="Arial" w:hAnsi="Arial"/>
                <w:b/>
                <w:color w:val="0E2530"/>
                <w:sz w:val="12"/>
              </w:rPr>
              <w:t>USSC-04</w:t>
            </w:r>
          </w:p>
        </w:tc>
        <w:tc>
          <w:tcPr>
            <w:tcW w:type="dxa" w:w="4160"/>
            <w:tcMar>
              <w:top w:w="42" w:type="dxa"/>
              <w:start w:w="70" w:type="dxa"/>
              <w:bottom w:w="42" w:type="dxa"/>
              <w:end w:w="70" w:type="dxa"/>
            </w:tcMar>
            <w:vAlign w:val="center"/>
          </w:tcPr>
          <w:p>
            <w:pPr>
              <w:spacing w:after="20"/>
            </w:pPr>
            <w:hyperlink r:id="rId225">
              <w:r>
                <w:rPr>
                  <w:color w:val="2F7F9E"/>
                  <w:rFonts w:ascii="Arial" w:hAnsi="Arial"/>
                  <w:sz w:val="12"/>
                  <w:b/>
                  <w:u w:val="none"/>
                </w:rPr>
                <w:t>Utah Artificial Intelligence Policy Act</w:t>
              </w:r>
            </w:hyperlink>
          </w:p>
          <w:p>
            <w:pPr>
              <w:spacing w:before="0" w:after="0"/>
            </w:pPr>
            <w:r>
              <w:rPr>
                <w:rFonts w:ascii="Arial" w:hAnsi="Arial"/>
                <w:color w:val="7D766A"/>
                <w:sz w:val="10"/>
              </w:rPr>
              <w:t>Utah | Binding state law</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USSC-06</w:t>
            </w:r>
          </w:p>
        </w:tc>
        <w:tc>
          <w:tcPr>
            <w:tcW w:type="dxa" w:w="4160"/>
            <w:shd w:fill="F1EFE5"/>
            <w:tcMar>
              <w:top w:w="42" w:type="dxa"/>
              <w:start w:w="70" w:type="dxa"/>
              <w:bottom w:w="42" w:type="dxa"/>
              <w:end w:w="70" w:type="dxa"/>
            </w:tcMar>
            <w:vAlign w:val="center"/>
          </w:tcPr>
          <w:p>
            <w:pPr>
              <w:spacing w:after="20"/>
            </w:pPr>
            <w:hyperlink r:id="rId226">
              <w:r>
                <w:rPr>
                  <w:color w:val="2F7F9E"/>
                  <w:rFonts w:ascii="Arial" w:hAnsi="Arial"/>
                  <w:sz w:val="12"/>
                  <w:b/>
                  <w:u w:val="none"/>
                </w:rPr>
                <w:t>NCSL Artificial Intelligence Legislation Database</w:t>
              </w:r>
            </w:hyperlink>
          </w:p>
          <w:p>
            <w:pPr>
              <w:spacing w:before="0" w:after="0"/>
            </w:pPr>
            <w:r>
              <w:rPr>
                <w:rFonts w:ascii="Arial" w:hAnsi="Arial"/>
                <w:color w:val="7D766A"/>
                <w:sz w:val="10"/>
              </w:rPr>
              <w:t>National Conference of State Legislatures | Monitoring index · updated July 2026</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EU-02</w:t>
            </w:r>
          </w:p>
        </w:tc>
        <w:tc>
          <w:tcPr>
            <w:tcW w:type="dxa" w:w="4160"/>
            <w:shd w:fill="F1EFE5"/>
            <w:tcMar>
              <w:top w:w="42" w:type="dxa"/>
              <w:start w:w="70" w:type="dxa"/>
              <w:bottom w:w="42" w:type="dxa"/>
              <w:end w:w="70" w:type="dxa"/>
            </w:tcMar>
            <w:vAlign w:val="center"/>
          </w:tcPr>
          <w:p>
            <w:pPr>
              <w:spacing w:after="20"/>
            </w:pPr>
            <w:hyperlink r:id="rId227">
              <w:r>
                <w:rPr>
                  <w:color w:val="2F7F9E"/>
                  <w:rFonts w:ascii="Arial" w:hAnsi="Arial"/>
                  <w:sz w:val="12"/>
                  <w:b/>
                  <w:u w:val="none"/>
                </w:rPr>
                <w:t>Data Governance Act - Regulation (EU) 2022/868</w:t>
              </w:r>
            </w:hyperlink>
          </w:p>
          <w:p>
            <w:pPr>
              <w:spacing w:before="0" w:after="0"/>
            </w:pPr>
            <w:r>
              <w:rPr>
                <w:rFonts w:ascii="Arial" w:hAnsi="Arial"/>
                <w:color w:val="7D766A"/>
                <w:sz w:val="10"/>
              </w:rPr>
              <w:t>European Union | Binding regulation · applies since Sep 2023</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EU-03</w:t>
            </w:r>
          </w:p>
        </w:tc>
        <w:tc>
          <w:tcPr>
            <w:tcW w:type="dxa" w:w="4160"/>
            <w:tcMar>
              <w:top w:w="42" w:type="dxa"/>
              <w:start w:w="70" w:type="dxa"/>
              <w:bottom w:w="42" w:type="dxa"/>
              <w:end w:w="70" w:type="dxa"/>
            </w:tcMar>
            <w:vAlign w:val="center"/>
          </w:tcPr>
          <w:p>
            <w:pPr>
              <w:spacing w:after="20"/>
            </w:pPr>
            <w:hyperlink r:id="rId228">
              <w:r>
                <w:rPr>
                  <w:color w:val="2F7F9E"/>
                  <w:rFonts w:ascii="Arial" w:hAnsi="Arial"/>
                  <w:sz w:val="12"/>
                  <w:b/>
                  <w:u w:val="none"/>
                </w:rPr>
                <w:t>Data Act - Regulation (EU) 2023/2854</w:t>
              </w:r>
            </w:hyperlink>
          </w:p>
          <w:p>
            <w:pPr>
              <w:spacing w:before="0" w:after="0"/>
            </w:pPr>
            <w:r>
              <w:rPr>
                <w:rFonts w:ascii="Arial" w:hAnsi="Arial"/>
                <w:color w:val="7D766A"/>
                <w:sz w:val="10"/>
              </w:rPr>
              <w:t>European Union | Binding regulation · applies since Sep 2025</w:t>
            </w:r>
          </w:p>
        </w:tc>
        <w:tc>
          <w:tcPr>
            <w:tcW w:type="dxa" w:w="520"/>
            <w:tcMar>
              <w:top w:w="42" w:type="dxa"/>
              <w:start w:w="55" w:type="dxa"/>
              <w:bottom w:w="42" w:type="dxa"/>
              <w:end w:w="55" w:type="dxa"/>
            </w:tcMar>
            <w:vAlign w:val="center"/>
          </w:tcPr>
          <w:p>
            <w:pPr>
              <w:spacing w:after="0"/>
            </w:pPr>
            <w:r>
              <w:rPr>
                <w:rFonts w:ascii="Arial" w:hAnsi="Arial"/>
                <w:b/>
                <w:color w:val="0E2530"/>
                <w:sz w:val="12"/>
              </w:rPr>
              <w:t>EU-04</w:t>
            </w:r>
          </w:p>
        </w:tc>
        <w:tc>
          <w:tcPr>
            <w:tcW w:type="dxa" w:w="4160"/>
            <w:tcMar>
              <w:top w:w="42" w:type="dxa"/>
              <w:start w:w="70" w:type="dxa"/>
              <w:bottom w:w="42" w:type="dxa"/>
              <w:end w:w="70" w:type="dxa"/>
            </w:tcMar>
            <w:vAlign w:val="center"/>
          </w:tcPr>
          <w:p>
            <w:pPr>
              <w:spacing w:after="20"/>
            </w:pPr>
            <w:hyperlink r:id="rId229">
              <w:r>
                <w:rPr>
                  <w:color w:val="2F7F9E"/>
                  <w:rFonts w:ascii="Arial" w:hAnsi="Arial"/>
                  <w:sz w:val="12"/>
                  <w:b/>
                  <w:u w:val="none"/>
                </w:rPr>
                <w:t>AI Act - Regulation (EU) 2024/1689</w:t>
              </w:r>
            </w:hyperlink>
          </w:p>
          <w:p>
            <w:pPr>
              <w:spacing w:before="0" w:after="0"/>
            </w:pPr>
            <w:r>
              <w:rPr>
                <w:rFonts w:ascii="Arial" w:hAnsi="Arial"/>
                <w:color w:val="7D766A"/>
                <w:sz w:val="10"/>
              </w:rPr>
              <w:t>European Union | Binding regulation · phased application</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EU-06</w:t>
            </w:r>
          </w:p>
        </w:tc>
        <w:tc>
          <w:tcPr>
            <w:tcW w:type="dxa" w:w="4160"/>
            <w:shd w:fill="F1EFE5"/>
            <w:tcMar>
              <w:top w:w="42" w:type="dxa"/>
              <w:start w:w="70" w:type="dxa"/>
              <w:bottom w:w="42" w:type="dxa"/>
              <w:end w:w="70" w:type="dxa"/>
            </w:tcMar>
            <w:vAlign w:val="center"/>
          </w:tcPr>
          <w:p>
            <w:pPr>
              <w:spacing w:after="20"/>
            </w:pPr>
            <w:hyperlink r:id="rId230">
              <w:r>
                <w:rPr>
                  <w:color w:val="2F7F9E"/>
                  <w:rFonts w:ascii="Arial" w:hAnsi="Arial"/>
                  <w:sz w:val="12"/>
                  <w:b/>
                  <w:u w:val="none"/>
                </w:rPr>
                <w:t>Critical Entities Resilience Directive - Directive (EU) 2022/2557</w:t>
              </w:r>
            </w:hyperlink>
          </w:p>
          <w:p>
            <w:pPr>
              <w:spacing w:before="0" w:after="0"/>
            </w:pPr>
            <w:r>
              <w:rPr>
                <w:rFonts w:ascii="Arial" w:hAnsi="Arial"/>
                <w:color w:val="7D766A"/>
                <w:sz w:val="10"/>
              </w:rPr>
              <w:t>European Union | Binding directive; national transposition</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EU-07</w:t>
            </w:r>
          </w:p>
        </w:tc>
        <w:tc>
          <w:tcPr>
            <w:tcW w:type="dxa" w:w="4160"/>
            <w:shd w:fill="F1EFE5"/>
            <w:tcMar>
              <w:top w:w="42" w:type="dxa"/>
              <w:start w:w="70" w:type="dxa"/>
              <w:bottom w:w="42" w:type="dxa"/>
              <w:end w:w="70" w:type="dxa"/>
            </w:tcMar>
            <w:vAlign w:val="center"/>
          </w:tcPr>
          <w:p>
            <w:pPr>
              <w:spacing w:after="20"/>
            </w:pPr>
            <w:hyperlink r:id="rId231">
              <w:r>
                <w:rPr>
                  <w:color w:val="2F7F9E"/>
                  <w:rFonts w:ascii="Arial" w:hAnsi="Arial"/>
                  <w:sz w:val="12"/>
                  <w:b/>
                  <w:u w:val="none"/>
                </w:rPr>
                <w:t>Interoperable Europe Act - Regulation (EU) 2024/903</w:t>
              </w:r>
            </w:hyperlink>
          </w:p>
          <w:p>
            <w:pPr>
              <w:spacing w:before="0" w:after="0"/>
            </w:pPr>
            <w:r>
              <w:rPr>
                <w:rFonts w:ascii="Arial" w:hAnsi="Arial"/>
                <w:color w:val="7D766A"/>
                <w:sz w:val="10"/>
              </w:rPr>
              <w:t>European Union | Binding regulation</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EU-08</w:t>
            </w:r>
          </w:p>
        </w:tc>
        <w:tc>
          <w:tcPr>
            <w:tcW w:type="dxa" w:w="4160"/>
            <w:tcMar>
              <w:top w:w="42" w:type="dxa"/>
              <w:start w:w="70" w:type="dxa"/>
              <w:bottom w:w="42" w:type="dxa"/>
              <w:end w:w="70" w:type="dxa"/>
            </w:tcMar>
            <w:vAlign w:val="center"/>
          </w:tcPr>
          <w:p>
            <w:pPr>
              <w:spacing w:after="20"/>
            </w:pPr>
            <w:hyperlink r:id="rId232">
              <w:r>
                <w:rPr>
                  <w:color w:val="2F7F9E"/>
                  <w:rFonts w:ascii="Arial" w:hAnsi="Arial"/>
                  <w:sz w:val="12"/>
                  <w:b/>
                  <w:u w:val="none"/>
                </w:rPr>
                <w:t>AI Continent Action Plan</w:t>
              </w:r>
            </w:hyperlink>
          </w:p>
          <w:p>
            <w:pPr>
              <w:spacing w:before="0" w:after="0"/>
            </w:pPr>
            <w:r>
              <w:rPr>
                <w:rFonts w:ascii="Arial" w:hAnsi="Arial"/>
                <w:color w:val="7D766A"/>
                <w:sz w:val="10"/>
              </w:rPr>
              <w:t>European Commission | Policy plan · April 2025</w:t>
            </w:r>
          </w:p>
        </w:tc>
        <w:tc>
          <w:tcPr>
            <w:tcW w:type="dxa" w:w="520"/>
            <w:tcMar>
              <w:top w:w="42" w:type="dxa"/>
              <w:start w:w="55" w:type="dxa"/>
              <w:bottom w:w="42" w:type="dxa"/>
              <w:end w:w="55" w:type="dxa"/>
            </w:tcMar>
            <w:vAlign w:val="center"/>
          </w:tcPr>
          <w:p>
            <w:pPr>
              <w:spacing w:after="0"/>
            </w:pPr>
            <w:r>
              <w:rPr>
                <w:rFonts w:ascii="Arial" w:hAnsi="Arial"/>
                <w:b/>
                <w:color w:val="0E2530"/>
                <w:sz w:val="12"/>
              </w:rPr>
              <w:t>EU-09</w:t>
            </w:r>
          </w:p>
        </w:tc>
        <w:tc>
          <w:tcPr>
            <w:tcW w:type="dxa" w:w="4160"/>
            <w:tcMar>
              <w:top w:w="42" w:type="dxa"/>
              <w:start w:w="70" w:type="dxa"/>
              <w:bottom w:w="42" w:type="dxa"/>
              <w:end w:w="70" w:type="dxa"/>
            </w:tcMar>
            <w:vAlign w:val="center"/>
          </w:tcPr>
          <w:p>
            <w:pPr>
              <w:spacing w:after="20"/>
            </w:pPr>
            <w:hyperlink r:id="rId233">
              <w:r>
                <w:rPr>
                  <w:color w:val="2F7F9E"/>
                  <w:rFonts w:ascii="Arial" w:hAnsi="Arial"/>
                  <w:sz w:val="12"/>
                  <w:b/>
                  <w:u w:val="none"/>
                </w:rPr>
                <w:t>European Data Union Strategy</w:t>
              </w:r>
            </w:hyperlink>
          </w:p>
          <w:p>
            <w:pPr>
              <w:spacing w:before="0" w:after="0"/>
            </w:pPr>
            <w:r>
              <w:rPr>
                <w:rFonts w:ascii="Arial" w:hAnsi="Arial"/>
                <w:color w:val="7D766A"/>
                <w:sz w:val="10"/>
              </w:rPr>
              <w:t>European Commission | Policy strategy · Nov 2025</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EU-10</w:t>
            </w:r>
          </w:p>
        </w:tc>
        <w:tc>
          <w:tcPr>
            <w:tcW w:type="dxa" w:w="4160"/>
            <w:shd w:fill="F1EFE5"/>
            <w:tcMar>
              <w:top w:w="42" w:type="dxa"/>
              <w:start w:w="70" w:type="dxa"/>
              <w:bottom w:w="42" w:type="dxa"/>
              <w:end w:w="70" w:type="dxa"/>
            </w:tcMar>
            <w:vAlign w:val="center"/>
          </w:tcPr>
          <w:p>
            <w:pPr>
              <w:spacing w:after="20"/>
            </w:pPr>
            <w:hyperlink r:id="rId234">
              <w:r>
                <w:rPr>
                  <w:color w:val="2F7F9E"/>
                  <w:rFonts w:ascii="Arial" w:hAnsi="Arial"/>
                  <w:sz w:val="12"/>
                  <w:b/>
                  <w:u w:val="none"/>
                </w:rPr>
                <w:t>Common European Data Spaces</w:t>
              </w:r>
            </w:hyperlink>
          </w:p>
          <w:p>
            <w:pPr>
              <w:spacing w:before="0" w:after="0"/>
            </w:pPr>
            <w:r>
              <w:rPr>
                <w:rFonts w:ascii="Arial" w:hAnsi="Arial"/>
                <w:color w:val="7D766A"/>
                <w:sz w:val="10"/>
              </w:rPr>
              <w:t>European Commission | Policy and implementation program</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EU-11</w:t>
            </w:r>
          </w:p>
        </w:tc>
        <w:tc>
          <w:tcPr>
            <w:tcW w:type="dxa" w:w="4160"/>
            <w:shd w:fill="F1EFE5"/>
            <w:tcMar>
              <w:top w:w="42" w:type="dxa"/>
              <w:start w:w="70" w:type="dxa"/>
              <w:bottom w:w="42" w:type="dxa"/>
              <w:end w:w="70" w:type="dxa"/>
            </w:tcMar>
            <w:vAlign w:val="center"/>
          </w:tcPr>
          <w:p>
            <w:pPr>
              <w:spacing w:after="20"/>
            </w:pPr>
            <w:hyperlink r:id="rId235">
              <w:r>
                <w:rPr>
                  <w:color w:val="2F7F9E"/>
                  <w:rFonts w:ascii="Arial" w:hAnsi="Arial"/>
                  <w:sz w:val="12"/>
                  <w:b/>
                  <w:u w:val="none"/>
                </w:rPr>
                <w:t>EU policy on digitalisation of energy</w:t>
              </w:r>
            </w:hyperlink>
          </w:p>
          <w:p>
            <w:pPr>
              <w:spacing w:before="0" w:after="0"/>
            </w:pPr>
            <w:r>
              <w:rPr>
                <w:rFonts w:ascii="Arial" w:hAnsi="Arial"/>
                <w:color w:val="7D766A"/>
                <w:sz w:val="10"/>
              </w:rPr>
              <w:t>European Commission | Sector policy</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EU-12</w:t>
            </w:r>
          </w:p>
        </w:tc>
        <w:tc>
          <w:tcPr>
            <w:tcW w:type="dxa" w:w="4160"/>
            <w:tcMar>
              <w:top w:w="42" w:type="dxa"/>
              <w:start w:w="70" w:type="dxa"/>
              <w:bottom w:w="42" w:type="dxa"/>
              <w:end w:w="70" w:type="dxa"/>
            </w:tcMar>
            <w:vAlign w:val="center"/>
          </w:tcPr>
          <w:p>
            <w:pPr>
              <w:spacing w:after="20"/>
            </w:pPr>
            <w:hyperlink r:id="rId236">
              <w:r>
                <w:rPr>
                  <w:color w:val="2F7F9E"/>
                  <w:rFonts w:ascii="Arial" w:hAnsi="Arial"/>
                  <w:sz w:val="12"/>
                  <w:b/>
                  <w:u w:val="none"/>
                </w:rPr>
                <w:t>Targeted consultation on safeguarding EU data sovereignty</w:t>
              </w:r>
            </w:hyperlink>
          </w:p>
          <w:p>
            <w:pPr>
              <w:spacing w:before="0" w:after="0"/>
            </w:pPr>
            <w:r>
              <w:rPr>
                <w:rFonts w:ascii="Arial" w:hAnsi="Arial"/>
                <w:color w:val="7D766A"/>
                <w:sz w:val="10"/>
              </w:rPr>
              <w:t>European Commission | Open consultation · Jul-Sep 2026</w:t>
            </w:r>
          </w:p>
        </w:tc>
        <w:tc>
          <w:tcPr>
            <w:tcW w:type="dxa" w:w="520"/>
            <w:tcMar>
              <w:top w:w="42" w:type="dxa"/>
              <w:start w:w="55" w:type="dxa"/>
              <w:bottom w:w="42" w:type="dxa"/>
              <w:end w:w="55" w:type="dxa"/>
            </w:tcMar>
            <w:vAlign w:val="center"/>
          </w:tcPr>
          <w:p>
            <w:pPr>
              <w:spacing w:after="0"/>
            </w:pPr>
            <w:r>
              <w:rPr>
                <w:rFonts w:ascii="Arial" w:hAnsi="Arial"/>
                <w:b/>
                <w:color w:val="0E2530"/>
                <w:sz w:val="12"/>
              </w:rPr>
              <w:t>GB-02</w:t>
            </w:r>
          </w:p>
        </w:tc>
        <w:tc>
          <w:tcPr>
            <w:tcW w:type="dxa" w:w="4160"/>
            <w:tcMar>
              <w:top w:w="42" w:type="dxa"/>
              <w:start w:w="70" w:type="dxa"/>
              <w:bottom w:w="42" w:type="dxa"/>
              <w:end w:w="70" w:type="dxa"/>
            </w:tcMar>
            <w:vAlign w:val="center"/>
          </w:tcPr>
          <w:p>
            <w:pPr>
              <w:spacing w:after="20"/>
            </w:pPr>
            <w:hyperlink r:id="rId237">
              <w:r>
                <w:rPr>
                  <w:color w:val="2F7F9E"/>
                  <w:rFonts w:ascii="Arial" w:hAnsi="Arial"/>
                  <w:sz w:val="12"/>
                  <w:b/>
                  <w:u w:val="none"/>
                </w:rPr>
                <w:t>Data and AI Ethics Framework</w:t>
              </w:r>
            </w:hyperlink>
          </w:p>
          <w:p>
            <w:pPr>
              <w:spacing w:before="0" w:after="0"/>
            </w:pPr>
            <w:r>
              <w:rPr>
                <w:rFonts w:ascii="Arial" w:hAnsi="Arial"/>
                <w:color w:val="7D766A"/>
                <w:sz w:val="10"/>
              </w:rPr>
              <w:t>United Kingdom | Government guidance · updated Dec 2025</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GB-03</w:t>
            </w:r>
          </w:p>
        </w:tc>
        <w:tc>
          <w:tcPr>
            <w:tcW w:type="dxa" w:w="4160"/>
            <w:shd w:fill="F1EFE5"/>
            <w:tcMar>
              <w:top w:w="42" w:type="dxa"/>
              <w:start w:w="70" w:type="dxa"/>
              <w:bottom w:w="42" w:type="dxa"/>
              <w:end w:w="70" w:type="dxa"/>
            </w:tcMar>
            <w:vAlign w:val="center"/>
          </w:tcPr>
          <w:p>
            <w:pPr>
              <w:spacing w:after="20"/>
            </w:pPr>
            <w:hyperlink r:id="rId238">
              <w:r>
                <w:rPr>
                  <w:color w:val="2F7F9E"/>
                  <w:rFonts w:ascii="Arial" w:hAnsi="Arial"/>
                  <w:sz w:val="12"/>
                  <w:b/>
                  <w:u w:val="none"/>
                </w:rPr>
                <w:t>Metadata standards for sharing and publishing data</w:t>
              </w:r>
            </w:hyperlink>
          </w:p>
          <w:p>
            <w:pPr>
              <w:spacing w:before="0" w:after="0"/>
            </w:pPr>
            <w:r>
              <w:rPr>
                <w:rFonts w:ascii="Arial" w:hAnsi="Arial"/>
                <w:color w:val="7D766A"/>
                <w:sz w:val="10"/>
              </w:rPr>
              <w:t>United Kingdom | Government standards collection · updated Apr 2026</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GB-04</w:t>
            </w:r>
          </w:p>
        </w:tc>
        <w:tc>
          <w:tcPr>
            <w:tcW w:type="dxa" w:w="4160"/>
            <w:shd w:fill="F1EFE5"/>
            <w:tcMar>
              <w:top w:w="42" w:type="dxa"/>
              <w:start w:w="70" w:type="dxa"/>
              <w:bottom w:w="42" w:type="dxa"/>
              <w:end w:w="70" w:type="dxa"/>
            </w:tcMar>
            <w:vAlign w:val="center"/>
          </w:tcPr>
          <w:p>
            <w:pPr>
              <w:spacing w:after="20"/>
            </w:pPr>
            <w:hyperlink r:id="rId239">
              <w:r>
                <w:rPr>
                  <w:color w:val="2F7F9E"/>
                  <w:rFonts w:ascii="Arial" w:hAnsi="Arial"/>
                  <w:sz w:val="12"/>
                  <w:b/>
                  <w:u w:val="none"/>
                </w:rPr>
                <w:t>Making government datasets ready for AI</w:t>
              </w:r>
            </w:hyperlink>
          </w:p>
          <w:p>
            <w:pPr>
              <w:spacing w:before="0" w:after="0"/>
            </w:pPr>
            <w:r>
              <w:rPr>
                <w:rFonts w:ascii="Arial" w:hAnsi="Arial"/>
                <w:color w:val="7D766A"/>
                <w:sz w:val="10"/>
              </w:rPr>
              <w:t>United Kingdom | Government guidance · Jan 2026</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SA-03</w:t>
            </w:r>
          </w:p>
        </w:tc>
        <w:tc>
          <w:tcPr>
            <w:tcW w:type="dxa" w:w="4160"/>
            <w:tcMar>
              <w:top w:w="42" w:type="dxa"/>
              <w:start w:w="70" w:type="dxa"/>
              <w:bottom w:w="42" w:type="dxa"/>
              <w:end w:w="70" w:type="dxa"/>
            </w:tcMar>
            <w:vAlign w:val="center"/>
          </w:tcPr>
          <w:p>
            <w:pPr>
              <w:spacing w:after="20"/>
            </w:pPr>
            <w:hyperlink r:id="rId240">
              <w:r>
                <w:rPr>
                  <w:color w:val="2F7F9E"/>
                  <w:rFonts w:ascii="Arial" w:hAnsi="Arial"/>
                  <w:sz w:val="12"/>
                  <w:b/>
                  <w:u w:val="none"/>
                </w:rPr>
                <w:t>National Data Index</w:t>
              </w:r>
            </w:hyperlink>
          </w:p>
          <w:p>
            <w:pPr>
              <w:spacing w:before="0" w:after="0"/>
            </w:pPr>
            <w:r>
              <w:rPr>
                <w:rFonts w:ascii="Arial" w:hAnsi="Arial"/>
                <w:color w:val="7D766A"/>
                <w:sz w:val="10"/>
              </w:rPr>
              <w:t>Saudi Arabia / SDAIA | Government maturity and compliance index</w:t>
            </w:r>
          </w:p>
        </w:tc>
        <w:tc>
          <w:tcPr>
            <w:tcW w:type="dxa" w:w="520"/>
            <w:tcMar>
              <w:top w:w="42" w:type="dxa"/>
              <w:start w:w="55" w:type="dxa"/>
              <w:bottom w:w="42" w:type="dxa"/>
              <w:end w:w="55" w:type="dxa"/>
            </w:tcMar>
            <w:vAlign w:val="center"/>
          </w:tcPr>
          <w:p>
            <w:pPr>
              <w:spacing w:after="0"/>
            </w:pPr>
            <w:r>
              <w:rPr>
                <w:rFonts w:ascii="Arial" w:hAnsi="Arial"/>
                <w:b/>
                <w:color w:val="0E2530"/>
                <w:sz w:val="12"/>
              </w:rPr>
              <w:t>SG-01</w:t>
            </w:r>
          </w:p>
        </w:tc>
        <w:tc>
          <w:tcPr>
            <w:tcW w:type="dxa" w:w="4160"/>
            <w:tcMar>
              <w:top w:w="42" w:type="dxa"/>
              <w:start w:w="70" w:type="dxa"/>
              <w:bottom w:w="42" w:type="dxa"/>
              <w:end w:w="70" w:type="dxa"/>
            </w:tcMar>
            <w:vAlign w:val="center"/>
          </w:tcPr>
          <w:p>
            <w:pPr>
              <w:spacing w:after="20"/>
            </w:pPr>
            <w:hyperlink r:id="rId241">
              <w:r>
                <w:rPr>
                  <w:color w:val="2F7F9E"/>
                  <w:rFonts w:ascii="Arial" w:hAnsi="Arial"/>
                  <w:sz w:val="12"/>
                  <w:b/>
                  <w:u w:val="none"/>
                </w:rPr>
                <w:t>Personal Data Protection Act 2012</w:t>
              </w:r>
            </w:hyperlink>
          </w:p>
          <w:p>
            <w:pPr>
              <w:spacing w:before="0" w:after="0"/>
            </w:pPr>
            <w:r>
              <w:rPr>
                <w:rFonts w:ascii="Arial" w:hAnsi="Arial"/>
                <w:color w:val="7D766A"/>
                <w:sz w:val="10"/>
              </w:rPr>
              <w:t>Singapore | Binding law</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SG-02</w:t>
            </w:r>
          </w:p>
        </w:tc>
        <w:tc>
          <w:tcPr>
            <w:tcW w:type="dxa" w:w="4160"/>
            <w:shd w:fill="F1EFE5"/>
            <w:tcMar>
              <w:top w:w="42" w:type="dxa"/>
              <w:start w:w="70" w:type="dxa"/>
              <w:bottom w:w="42" w:type="dxa"/>
              <w:end w:w="70" w:type="dxa"/>
            </w:tcMar>
            <w:vAlign w:val="center"/>
          </w:tcPr>
          <w:p>
            <w:pPr>
              <w:spacing w:after="20"/>
            </w:pPr>
            <w:hyperlink r:id="rId242">
              <w:r>
                <w:rPr>
                  <w:color w:val="2F7F9E"/>
                  <w:rFonts w:ascii="Arial" w:hAnsi="Arial"/>
                  <w:sz w:val="12"/>
                  <w:b/>
                  <w:u w:val="none"/>
                </w:rPr>
                <w:t>Model AI Governance Framework and AI Verify</w:t>
              </w:r>
            </w:hyperlink>
          </w:p>
          <w:p>
            <w:pPr>
              <w:spacing w:before="0" w:after="0"/>
            </w:pPr>
            <w:r>
              <w:rPr>
                <w:rFonts w:ascii="Arial" w:hAnsi="Arial"/>
                <w:color w:val="7D766A"/>
                <w:sz w:val="10"/>
              </w:rPr>
              <w:t>Singapore PDPC/IMDA | Voluntary governance and testing framework</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SG-03</w:t>
            </w:r>
          </w:p>
        </w:tc>
        <w:tc>
          <w:tcPr>
            <w:tcW w:type="dxa" w:w="4160"/>
            <w:shd w:fill="F1EFE5"/>
            <w:tcMar>
              <w:top w:w="42" w:type="dxa"/>
              <w:start w:w="70" w:type="dxa"/>
              <w:bottom w:w="42" w:type="dxa"/>
              <w:end w:w="70" w:type="dxa"/>
            </w:tcMar>
            <w:vAlign w:val="center"/>
          </w:tcPr>
          <w:p>
            <w:pPr>
              <w:spacing w:after="20"/>
            </w:pPr>
            <w:hyperlink r:id="rId243">
              <w:r>
                <w:rPr>
                  <w:color w:val="2F7F9E"/>
                  <w:rFonts w:ascii="Arial" w:hAnsi="Arial"/>
                  <w:sz w:val="12"/>
                  <w:b/>
                  <w:u w:val="none"/>
                </w:rPr>
                <w:t>National AI Strategy</w:t>
              </w:r>
            </w:hyperlink>
          </w:p>
          <w:p>
            <w:pPr>
              <w:spacing w:before="0" w:after="0"/>
            </w:pPr>
            <w:r>
              <w:rPr>
                <w:rFonts w:ascii="Arial" w:hAnsi="Arial"/>
                <w:color w:val="7D766A"/>
                <w:sz w:val="10"/>
              </w:rPr>
              <w:t>Singapore | National strategy · updated 2026</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CA-01</w:t>
            </w:r>
          </w:p>
        </w:tc>
        <w:tc>
          <w:tcPr>
            <w:tcW w:type="dxa" w:w="4160"/>
            <w:tcMar>
              <w:top w:w="42" w:type="dxa"/>
              <w:start w:w="70" w:type="dxa"/>
              <w:bottom w:w="42" w:type="dxa"/>
              <w:end w:w="70" w:type="dxa"/>
            </w:tcMar>
            <w:vAlign w:val="center"/>
          </w:tcPr>
          <w:p>
            <w:pPr>
              <w:spacing w:after="20"/>
            </w:pPr>
            <w:hyperlink r:id="rId244">
              <w:r>
                <w:rPr>
                  <w:color w:val="2F7F9E"/>
                  <w:rFonts w:ascii="Arial" w:hAnsi="Arial"/>
                  <w:sz w:val="12"/>
                  <w:b/>
                  <w:u w:val="none"/>
                </w:rPr>
                <w:t>Directive on Automated Decision-Making</w:t>
              </w:r>
            </w:hyperlink>
          </w:p>
          <w:p>
            <w:pPr>
              <w:spacing w:before="0" w:after="0"/>
            </w:pPr>
            <w:r>
              <w:rPr>
                <w:rFonts w:ascii="Arial" w:hAnsi="Arial"/>
                <w:color w:val="7D766A"/>
                <w:sz w:val="10"/>
              </w:rPr>
              <w:t>Canada | Binding federal administrative policy · updated 2025</w:t>
            </w:r>
          </w:p>
        </w:tc>
        <w:tc>
          <w:tcPr>
            <w:tcW w:type="dxa" w:w="520"/>
            <w:tcMar>
              <w:top w:w="42" w:type="dxa"/>
              <w:start w:w="55" w:type="dxa"/>
              <w:bottom w:w="42" w:type="dxa"/>
              <w:end w:w="55" w:type="dxa"/>
            </w:tcMar>
            <w:vAlign w:val="center"/>
          </w:tcPr>
          <w:p>
            <w:pPr>
              <w:spacing w:after="0"/>
            </w:pPr>
            <w:r>
              <w:rPr>
                <w:rFonts w:ascii="Arial" w:hAnsi="Arial"/>
                <w:b/>
                <w:color w:val="0E2530"/>
                <w:sz w:val="12"/>
              </w:rPr>
              <w:t>AU-01</w:t>
            </w:r>
          </w:p>
        </w:tc>
        <w:tc>
          <w:tcPr>
            <w:tcW w:type="dxa" w:w="4160"/>
            <w:tcMar>
              <w:top w:w="42" w:type="dxa"/>
              <w:start w:w="70" w:type="dxa"/>
              <w:bottom w:w="42" w:type="dxa"/>
              <w:end w:w="70" w:type="dxa"/>
            </w:tcMar>
            <w:vAlign w:val="center"/>
          </w:tcPr>
          <w:p>
            <w:pPr>
              <w:spacing w:after="20"/>
            </w:pPr>
            <w:hyperlink r:id="rId245">
              <w:r>
                <w:rPr>
                  <w:color w:val="2F7F9E"/>
                  <w:rFonts w:ascii="Arial" w:hAnsi="Arial"/>
                  <w:sz w:val="12"/>
                  <w:b/>
                  <w:u w:val="none"/>
                </w:rPr>
                <w:t>Guidance for AI Adoption</w:t>
              </w:r>
            </w:hyperlink>
          </w:p>
          <w:p>
            <w:pPr>
              <w:spacing w:before="0" w:after="0"/>
            </w:pPr>
            <w:r>
              <w:rPr>
                <w:rFonts w:ascii="Arial" w:hAnsi="Arial"/>
                <w:color w:val="7D766A"/>
                <w:sz w:val="10"/>
              </w:rPr>
              <w:t>Australia | Voluntary national guidance · Oct 2025</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AU-02</w:t>
            </w:r>
          </w:p>
        </w:tc>
        <w:tc>
          <w:tcPr>
            <w:tcW w:type="dxa" w:w="4160"/>
            <w:shd w:fill="F1EFE5"/>
            <w:tcMar>
              <w:top w:w="42" w:type="dxa"/>
              <w:start w:w="70" w:type="dxa"/>
              <w:bottom w:w="42" w:type="dxa"/>
              <w:end w:w="70" w:type="dxa"/>
            </w:tcMar>
            <w:vAlign w:val="center"/>
          </w:tcPr>
          <w:p>
            <w:pPr>
              <w:spacing w:after="20"/>
            </w:pPr>
            <w:hyperlink r:id="rId246">
              <w:r>
                <w:rPr>
                  <w:color w:val="2F7F9E"/>
                  <w:rFonts w:ascii="Arial" w:hAnsi="Arial"/>
                  <w:sz w:val="12"/>
                  <w:b/>
                  <w:u w:val="none"/>
                </w:rPr>
                <w:t>Privacy Act 1988</w:t>
              </w:r>
            </w:hyperlink>
          </w:p>
          <w:p>
            <w:pPr>
              <w:spacing w:before="0" w:after="0"/>
            </w:pPr>
            <w:r>
              <w:rPr>
                <w:rFonts w:ascii="Arial" w:hAnsi="Arial"/>
                <w:color w:val="7D766A"/>
                <w:sz w:val="10"/>
              </w:rPr>
              <w:t>Australia | Binding law</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JP-01</w:t>
            </w:r>
          </w:p>
        </w:tc>
        <w:tc>
          <w:tcPr>
            <w:tcW w:type="dxa" w:w="4160"/>
            <w:shd w:fill="F1EFE5"/>
            <w:tcMar>
              <w:top w:w="42" w:type="dxa"/>
              <w:start w:w="70" w:type="dxa"/>
              <w:bottom w:w="42" w:type="dxa"/>
              <w:end w:w="70" w:type="dxa"/>
            </w:tcMar>
            <w:vAlign w:val="center"/>
          </w:tcPr>
          <w:p>
            <w:pPr>
              <w:spacing w:after="20"/>
            </w:pPr>
            <w:hyperlink r:id="rId247">
              <w:r>
                <w:rPr>
                  <w:color w:val="2F7F9E"/>
                  <w:rFonts w:ascii="Arial" w:hAnsi="Arial"/>
                  <w:sz w:val="12"/>
                  <w:b/>
                  <w:u w:val="none"/>
                </w:rPr>
                <w:t>AI Guidelines for Business</w:t>
              </w:r>
            </w:hyperlink>
          </w:p>
          <w:p>
            <w:pPr>
              <w:spacing w:before="0" w:after="0"/>
            </w:pPr>
            <w:r>
              <w:rPr>
                <w:rFonts w:ascii="Arial" w:hAnsi="Arial"/>
                <w:color w:val="7D766A"/>
                <w:sz w:val="10"/>
              </w:rPr>
              <w:t>Japan METI/MIC | Government guidance · v1.2 Mar 2026</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JP-02</w:t>
            </w:r>
          </w:p>
        </w:tc>
        <w:tc>
          <w:tcPr>
            <w:tcW w:type="dxa" w:w="4160"/>
            <w:tcMar>
              <w:top w:w="42" w:type="dxa"/>
              <w:start w:w="70" w:type="dxa"/>
              <w:bottom w:w="42" w:type="dxa"/>
              <w:end w:w="70" w:type="dxa"/>
            </w:tcMar>
            <w:vAlign w:val="center"/>
          </w:tcPr>
          <w:p>
            <w:pPr>
              <w:spacing w:after="20"/>
            </w:pPr>
            <w:hyperlink r:id="rId248">
              <w:r>
                <w:rPr>
                  <w:color w:val="2F7F9E"/>
                  <w:rFonts w:ascii="Arial" w:hAnsi="Arial"/>
                  <w:sz w:val="12"/>
                  <w:b/>
                  <w:u w:val="none"/>
                </w:rPr>
                <w:t>Act on the Protection of Personal Information</w:t>
              </w:r>
            </w:hyperlink>
          </w:p>
          <w:p>
            <w:pPr>
              <w:spacing w:before="0" w:after="0"/>
            </w:pPr>
            <w:r>
              <w:rPr>
                <w:rFonts w:ascii="Arial" w:hAnsi="Arial"/>
                <w:color w:val="7D766A"/>
                <w:sz w:val="10"/>
              </w:rPr>
              <w:t>Japan | Binding law</w:t>
            </w:r>
          </w:p>
        </w:tc>
        <w:tc>
          <w:tcPr>
            <w:tcW w:type="dxa" w:w="520"/>
            <w:tcMar>
              <w:top w:w="42" w:type="dxa"/>
              <w:start w:w="55" w:type="dxa"/>
              <w:bottom w:w="42" w:type="dxa"/>
              <w:end w:w="55" w:type="dxa"/>
            </w:tcMar>
            <w:vAlign w:val="center"/>
          </w:tcPr>
          <w:p>
            <w:pPr>
              <w:spacing w:after="0"/>
            </w:pPr>
            <w:r>
              <w:rPr>
                <w:rFonts w:ascii="Arial" w:hAnsi="Arial"/>
                <w:b/>
                <w:color w:val="0E2530"/>
                <w:sz w:val="12"/>
              </w:rPr>
              <w:t>KR-01</w:t>
            </w:r>
          </w:p>
        </w:tc>
        <w:tc>
          <w:tcPr>
            <w:tcW w:type="dxa" w:w="4160"/>
            <w:tcMar>
              <w:top w:w="42" w:type="dxa"/>
              <w:start w:w="70" w:type="dxa"/>
              <w:bottom w:w="42" w:type="dxa"/>
              <w:end w:w="70" w:type="dxa"/>
            </w:tcMar>
            <w:vAlign w:val="center"/>
          </w:tcPr>
          <w:p>
            <w:pPr>
              <w:spacing w:after="20"/>
            </w:pPr>
            <w:hyperlink r:id="rId249">
              <w:r>
                <w:rPr>
                  <w:color w:val="2F7F9E"/>
                  <w:rFonts w:ascii="Arial" w:hAnsi="Arial"/>
                  <w:sz w:val="12"/>
                  <w:b/>
                  <w:u w:val="none"/>
                </w:rPr>
                <w:t>Framework Act on the Development of Artificial Intelligence and Establishment of Trust</w:t>
              </w:r>
            </w:hyperlink>
          </w:p>
          <w:p>
            <w:pPr>
              <w:spacing w:before="0" w:after="0"/>
            </w:pPr>
            <w:r>
              <w:rPr>
                <w:rFonts w:ascii="Arial" w:hAnsi="Arial"/>
                <w:color w:val="7D766A"/>
                <w:sz w:val="10"/>
              </w:rPr>
              <w:t>Republic of Korea | Binding law · effective Jan 2026</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CN-01</w:t>
            </w:r>
          </w:p>
        </w:tc>
        <w:tc>
          <w:tcPr>
            <w:tcW w:type="dxa" w:w="4160"/>
            <w:shd w:fill="F1EFE5"/>
            <w:tcMar>
              <w:top w:w="42" w:type="dxa"/>
              <w:start w:w="70" w:type="dxa"/>
              <w:bottom w:w="42" w:type="dxa"/>
              <w:end w:w="70" w:type="dxa"/>
            </w:tcMar>
            <w:vAlign w:val="center"/>
          </w:tcPr>
          <w:p>
            <w:pPr>
              <w:spacing w:after="20"/>
            </w:pPr>
            <w:hyperlink r:id="rId250">
              <w:r>
                <w:rPr>
                  <w:color w:val="2F7F9E"/>
                  <w:rFonts w:ascii="Arial" w:hAnsi="Arial"/>
                  <w:sz w:val="12"/>
                  <w:b/>
                  <w:u w:val="none"/>
                </w:rPr>
                <w:t>Personal Information Protection Law</w:t>
              </w:r>
            </w:hyperlink>
          </w:p>
          <w:p>
            <w:pPr>
              <w:spacing w:before="0" w:after="0"/>
            </w:pPr>
            <w:r>
              <w:rPr>
                <w:rFonts w:ascii="Arial" w:hAnsi="Arial"/>
                <w:color w:val="7D766A"/>
                <w:sz w:val="10"/>
              </w:rPr>
              <w:t>China | Binding law</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CN-02</w:t>
            </w:r>
          </w:p>
        </w:tc>
        <w:tc>
          <w:tcPr>
            <w:tcW w:type="dxa" w:w="4160"/>
            <w:shd w:fill="F1EFE5"/>
            <w:tcMar>
              <w:top w:w="42" w:type="dxa"/>
              <w:start w:w="70" w:type="dxa"/>
              <w:bottom w:w="42" w:type="dxa"/>
              <w:end w:w="70" w:type="dxa"/>
            </w:tcMar>
            <w:vAlign w:val="center"/>
          </w:tcPr>
          <w:p>
            <w:pPr>
              <w:spacing w:after="20"/>
            </w:pPr>
            <w:hyperlink r:id="rId251">
              <w:r>
                <w:rPr>
                  <w:color w:val="2F7F9E"/>
                  <w:rFonts w:ascii="Arial" w:hAnsi="Arial"/>
                  <w:sz w:val="12"/>
                  <w:b/>
                  <w:u w:val="none"/>
                </w:rPr>
                <w:t>Data Security Law</w:t>
              </w:r>
            </w:hyperlink>
          </w:p>
          <w:p>
            <w:pPr>
              <w:spacing w:before="0" w:after="0"/>
            </w:pPr>
            <w:r>
              <w:rPr>
                <w:rFonts w:ascii="Arial" w:hAnsi="Arial"/>
                <w:color w:val="7D766A"/>
                <w:sz w:val="10"/>
              </w:rPr>
              <w:t>China | Binding law</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CN-03</w:t>
            </w:r>
          </w:p>
        </w:tc>
        <w:tc>
          <w:tcPr>
            <w:tcW w:type="dxa" w:w="4160"/>
            <w:tcMar>
              <w:top w:w="42" w:type="dxa"/>
              <w:start w:w="70" w:type="dxa"/>
              <w:bottom w:w="42" w:type="dxa"/>
              <w:end w:w="70" w:type="dxa"/>
            </w:tcMar>
            <w:vAlign w:val="center"/>
          </w:tcPr>
          <w:p>
            <w:pPr>
              <w:spacing w:after="20"/>
            </w:pPr>
            <w:hyperlink r:id="rId252">
              <w:r>
                <w:rPr>
                  <w:color w:val="2F7F9E"/>
                  <w:rFonts w:ascii="Arial" w:hAnsi="Arial"/>
                  <w:sz w:val="12"/>
                  <w:b/>
                  <w:u w:val="none"/>
                </w:rPr>
                <w:t>Network Data Security Management Regulations</w:t>
              </w:r>
            </w:hyperlink>
          </w:p>
          <w:p>
            <w:pPr>
              <w:spacing w:before="0" w:after="0"/>
            </w:pPr>
            <w:r>
              <w:rPr>
                <w:rFonts w:ascii="Arial" w:hAnsi="Arial"/>
                <w:color w:val="7D766A"/>
                <w:sz w:val="10"/>
              </w:rPr>
              <w:t>China | Binding regulation · effective Jan 2025</w:t>
            </w:r>
          </w:p>
        </w:tc>
        <w:tc>
          <w:tcPr>
            <w:tcW w:type="dxa" w:w="520"/>
            <w:tcMar>
              <w:top w:w="42" w:type="dxa"/>
              <w:start w:w="55" w:type="dxa"/>
              <w:bottom w:w="42" w:type="dxa"/>
              <w:end w:w="55" w:type="dxa"/>
            </w:tcMar>
            <w:vAlign w:val="center"/>
          </w:tcPr>
          <w:p>
            <w:pPr>
              <w:spacing w:after="0"/>
            </w:pPr>
            <w:r>
              <w:rPr>
                <w:rFonts w:ascii="Arial" w:hAnsi="Arial"/>
                <w:b/>
                <w:color w:val="0E2530"/>
                <w:sz w:val="12"/>
              </w:rPr>
              <w:t>BR-01</w:t>
            </w:r>
          </w:p>
        </w:tc>
        <w:tc>
          <w:tcPr>
            <w:tcW w:type="dxa" w:w="4160"/>
            <w:tcMar>
              <w:top w:w="42" w:type="dxa"/>
              <w:start w:w="70" w:type="dxa"/>
              <w:bottom w:w="42" w:type="dxa"/>
              <w:end w:w="70" w:type="dxa"/>
            </w:tcMar>
            <w:vAlign w:val="center"/>
          </w:tcPr>
          <w:p>
            <w:pPr>
              <w:spacing w:after="20"/>
            </w:pPr>
            <w:hyperlink r:id="rId253">
              <w:r>
                <w:rPr>
                  <w:color w:val="2F7F9E"/>
                  <w:rFonts w:ascii="Arial" w:hAnsi="Arial"/>
                  <w:sz w:val="12"/>
                  <w:b/>
                  <w:u w:val="none"/>
                </w:rPr>
                <w:t>Lei Geral de Proteção de Dados Pessoais (LGPD)</w:t>
              </w:r>
            </w:hyperlink>
          </w:p>
          <w:p>
            <w:pPr>
              <w:spacing w:before="0" w:after="0"/>
            </w:pPr>
            <w:r>
              <w:rPr>
                <w:rFonts w:ascii="Arial" w:hAnsi="Arial"/>
                <w:color w:val="7D766A"/>
                <w:sz w:val="10"/>
              </w:rPr>
              <w:t>Brazil | Binding law</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BR-02</w:t>
            </w:r>
          </w:p>
        </w:tc>
        <w:tc>
          <w:tcPr>
            <w:tcW w:type="dxa" w:w="4160"/>
            <w:shd w:fill="F1EFE5"/>
            <w:tcMar>
              <w:top w:w="42" w:type="dxa"/>
              <w:start w:w="70" w:type="dxa"/>
              <w:bottom w:w="42" w:type="dxa"/>
              <w:end w:w="70" w:type="dxa"/>
            </w:tcMar>
            <w:vAlign w:val="center"/>
          </w:tcPr>
          <w:p>
            <w:pPr>
              <w:spacing w:after="20"/>
            </w:pPr>
            <w:hyperlink r:id="rId254">
              <w:r>
                <w:rPr>
                  <w:color w:val="2F7F9E"/>
                  <w:rFonts w:ascii="Arial" w:hAnsi="Arial"/>
                  <w:sz w:val="12"/>
                  <w:b/>
                  <w:u w:val="none"/>
                </w:rPr>
                <w:t>Brazilian Artificial Intelligence Plan</w:t>
              </w:r>
            </w:hyperlink>
          </w:p>
          <w:p>
            <w:pPr>
              <w:spacing w:before="0" w:after="0"/>
            </w:pPr>
            <w:r>
              <w:rPr>
                <w:rFonts w:ascii="Arial" w:hAnsi="Arial"/>
                <w:color w:val="7D766A"/>
                <w:sz w:val="10"/>
              </w:rPr>
              <w:t>Brazil | National plan · 2024/2025 onward</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AE-02</w:t>
            </w:r>
          </w:p>
        </w:tc>
        <w:tc>
          <w:tcPr>
            <w:tcW w:type="dxa" w:w="4160"/>
            <w:shd w:fill="F1EFE5"/>
            <w:tcMar>
              <w:top w:w="42" w:type="dxa"/>
              <w:start w:w="70" w:type="dxa"/>
              <w:bottom w:w="42" w:type="dxa"/>
              <w:end w:w="70" w:type="dxa"/>
            </w:tcMar>
            <w:vAlign w:val="center"/>
          </w:tcPr>
          <w:p>
            <w:pPr>
              <w:spacing w:after="20"/>
            </w:pPr>
            <w:hyperlink r:id="rId255">
              <w:r>
                <w:rPr>
                  <w:color w:val="2F7F9E"/>
                  <w:rFonts w:ascii="Arial" w:hAnsi="Arial"/>
                  <w:sz w:val="12"/>
                  <w:b/>
                  <w:u w:val="none"/>
                </w:rPr>
                <w:t>UAE Charter for the Development and Use of Artificial Intelligence</w:t>
              </w:r>
            </w:hyperlink>
          </w:p>
          <w:p>
            <w:pPr>
              <w:spacing w:before="0" w:after="0"/>
            </w:pPr>
            <w:r>
              <w:rPr>
                <w:rFonts w:ascii="Arial" w:hAnsi="Arial"/>
                <w:color w:val="7D766A"/>
                <w:sz w:val="10"/>
              </w:rPr>
              <w:t>United Arab Emirates | National principles · updated 2026</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AE-03</w:t>
            </w:r>
          </w:p>
        </w:tc>
        <w:tc>
          <w:tcPr>
            <w:tcW w:type="dxa" w:w="4160"/>
            <w:tcMar>
              <w:top w:w="42" w:type="dxa"/>
              <w:start w:w="70" w:type="dxa"/>
              <w:bottom w:w="42" w:type="dxa"/>
              <w:end w:w="70" w:type="dxa"/>
            </w:tcMar>
            <w:vAlign w:val="center"/>
          </w:tcPr>
          <w:p>
            <w:pPr>
              <w:spacing w:after="20"/>
            </w:pPr>
            <w:hyperlink r:id="rId256">
              <w:r>
                <w:rPr>
                  <w:color w:val="2F7F9E"/>
                  <w:rFonts w:ascii="Arial" w:hAnsi="Arial"/>
                  <w:sz w:val="12"/>
                  <w:b/>
                  <w:u w:val="none"/>
                </w:rPr>
                <w:t>Dubai Universal Blueprint for Artificial Intelligence</w:t>
              </w:r>
            </w:hyperlink>
          </w:p>
          <w:p>
            <w:pPr>
              <w:spacing w:before="0" w:after="0"/>
            </w:pPr>
            <w:r>
              <w:rPr>
                <w:rFonts w:ascii="Arial" w:hAnsi="Arial"/>
                <w:color w:val="7D766A"/>
                <w:sz w:val="10"/>
              </w:rPr>
              <w:t>Dubai | Government action plan</w:t>
            </w:r>
          </w:p>
        </w:tc>
        <w:tc>
          <w:tcPr>
            <w:tcW w:type="dxa" w:w="520"/>
            <w:tcMar>
              <w:top w:w="42" w:type="dxa"/>
              <w:start w:w="55" w:type="dxa"/>
              <w:bottom w:w="42" w:type="dxa"/>
              <w:end w:w="55" w:type="dxa"/>
            </w:tcMar>
            <w:vAlign w:val="center"/>
          </w:tcPr>
          <w:p>
            <w:pPr>
              <w:spacing w:after="0"/>
            </w:pPr>
            <w:r>
              <w:rPr>
                <w:rFonts w:ascii="Arial" w:hAnsi="Arial"/>
                <w:b/>
                <w:color w:val="0E2530"/>
                <w:sz w:val="12"/>
              </w:rPr>
              <w:t>INT-01</w:t>
            </w:r>
          </w:p>
        </w:tc>
        <w:tc>
          <w:tcPr>
            <w:tcW w:type="dxa" w:w="4160"/>
            <w:tcMar>
              <w:top w:w="42" w:type="dxa"/>
              <w:start w:w="70" w:type="dxa"/>
              <w:bottom w:w="42" w:type="dxa"/>
              <w:end w:w="70" w:type="dxa"/>
            </w:tcMar>
            <w:vAlign w:val="center"/>
          </w:tcPr>
          <w:p>
            <w:pPr>
              <w:spacing w:after="20"/>
            </w:pPr>
            <w:hyperlink r:id="rId257">
              <w:r>
                <w:rPr>
                  <w:color w:val="2F7F9E"/>
                  <w:rFonts w:ascii="Arial" w:hAnsi="Arial"/>
                  <w:sz w:val="12"/>
                  <w:b/>
                  <w:u w:val="none"/>
                </w:rPr>
                <w:t>African Union Data Policy Framework</w:t>
              </w:r>
            </w:hyperlink>
          </w:p>
          <w:p>
            <w:pPr>
              <w:spacing w:before="0" w:after="0"/>
            </w:pPr>
            <w:r>
              <w:rPr>
                <w:rFonts w:ascii="Arial" w:hAnsi="Arial"/>
                <w:color w:val="7D766A"/>
                <w:sz w:val="10"/>
              </w:rPr>
              <w:t>African Union | Continental policy framework</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INT-02</w:t>
            </w:r>
          </w:p>
        </w:tc>
        <w:tc>
          <w:tcPr>
            <w:tcW w:type="dxa" w:w="4160"/>
            <w:shd w:fill="F1EFE5"/>
            <w:tcMar>
              <w:top w:w="42" w:type="dxa"/>
              <w:start w:w="70" w:type="dxa"/>
              <w:bottom w:w="42" w:type="dxa"/>
              <w:end w:w="70" w:type="dxa"/>
            </w:tcMar>
            <w:vAlign w:val="center"/>
          </w:tcPr>
          <w:p>
            <w:pPr>
              <w:spacing w:after="20"/>
            </w:pPr>
            <w:hyperlink r:id="rId258">
              <w:r>
                <w:rPr>
                  <w:color w:val="2F7F9E"/>
                  <w:rFonts w:ascii="Arial" w:hAnsi="Arial"/>
                  <w:sz w:val="12"/>
                  <w:b/>
                  <w:u w:val="none"/>
                </w:rPr>
                <w:t>African Union Continental AI Strategy</w:t>
              </w:r>
            </w:hyperlink>
          </w:p>
          <w:p>
            <w:pPr>
              <w:spacing w:before="0" w:after="0"/>
            </w:pPr>
            <w:r>
              <w:rPr>
                <w:rFonts w:ascii="Arial" w:hAnsi="Arial"/>
                <w:color w:val="7D766A"/>
                <w:sz w:val="10"/>
              </w:rPr>
              <w:t>African Union | Continental strategy</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CASE-02</w:t>
            </w:r>
          </w:p>
        </w:tc>
        <w:tc>
          <w:tcPr>
            <w:tcW w:type="dxa" w:w="4160"/>
            <w:shd w:fill="F1EFE5"/>
            <w:tcMar>
              <w:top w:w="42" w:type="dxa"/>
              <w:start w:w="70" w:type="dxa"/>
              <w:bottom w:w="42" w:type="dxa"/>
              <w:end w:w="70" w:type="dxa"/>
            </w:tcMar>
            <w:vAlign w:val="center"/>
          </w:tcPr>
          <w:p>
            <w:pPr>
              <w:spacing w:after="20"/>
            </w:pPr>
            <w:hyperlink r:id="rId259">
              <w:r>
                <w:rPr>
                  <w:color w:val="2F7F9E"/>
                  <w:rFonts w:ascii="Arial" w:hAnsi="Arial"/>
                  <w:sz w:val="12"/>
                  <w:b/>
                  <w:u w:val="none"/>
                </w:rPr>
                <w:t>Anglian Water - Governance</w:t>
              </w:r>
            </w:hyperlink>
          </w:p>
          <w:p>
            <w:pPr>
              <w:spacing w:before="0" w:after="0"/>
            </w:pPr>
            <w:r>
              <w:rPr>
                <w:rFonts w:ascii="Arial" w:hAnsi="Arial"/>
                <w:color w:val="7D766A"/>
                <w:sz w:val="10"/>
              </w:rPr>
              <w:t>Anglian Water | Public governance evidence · current</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CASE-03</w:t>
            </w:r>
          </w:p>
        </w:tc>
        <w:tc>
          <w:tcPr>
            <w:tcW w:type="dxa" w:w="4160"/>
            <w:tcMar>
              <w:top w:w="42" w:type="dxa"/>
              <w:start w:w="70" w:type="dxa"/>
              <w:bottom w:w="42" w:type="dxa"/>
              <w:end w:w="70" w:type="dxa"/>
            </w:tcMar>
            <w:vAlign w:val="center"/>
          </w:tcPr>
          <w:p>
            <w:pPr>
              <w:spacing w:after="20"/>
            </w:pPr>
            <w:hyperlink r:id="rId260">
              <w:r>
                <w:rPr>
                  <w:color w:val="2F7F9E"/>
                  <w:rFonts w:ascii="Arial" w:hAnsi="Arial"/>
                  <w:sz w:val="12"/>
                  <w:b/>
                  <w:u w:val="none"/>
                </w:rPr>
                <w:t>H2Open - Open data in the water industry</w:t>
              </w:r>
            </w:hyperlink>
          </w:p>
          <w:p>
            <w:pPr>
              <w:spacing w:before="0" w:after="0"/>
            </w:pPr>
            <w:r>
              <w:rPr>
                <w:rFonts w:ascii="Arial" w:hAnsi="Arial"/>
                <w:color w:val="7D766A"/>
                <w:sz w:val="10"/>
              </w:rPr>
              <w:t>Ofwat | Regulator-supported case material</w:t>
            </w:r>
          </w:p>
        </w:tc>
        <w:tc>
          <w:tcPr>
            <w:tcW w:type="dxa" w:w="520"/>
            <w:tcMar>
              <w:top w:w="42" w:type="dxa"/>
              <w:start w:w="55" w:type="dxa"/>
              <w:bottom w:w="42" w:type="dxa"/>
              <w:end w:w="55" w:type="dxa"/>
            </w:tcMar>
            <w:vAlign w:val="center"/>
          </w:tcPr>
          <w:p>
            <w:pPr>
              <w:spacing w:after="0"/>
            </w:pPr>
            <w:r>
              <w:rPr>
                <w:rFonts w:ascii="Arial" w:hAnsi="Arial"/>
                <w:b/>
                <w:color w:val="0E2530"/>
                <w:sz w:val="12"/>
              </w:rPr>
              <w:t>CASE-05</w:t>
            </w:r>
          </w:p>
        </w:tc>
        <w:tc>
          <w:tcPr>
            <w:tcW w:type="dxa" w:w="4160"/>
            <w:tcMar>
              <w:top w:w="42" w:type="dxa"/>
              <w:start w:w="70" w:type="dxa"/>
              <w:bottom w:w="42" w:type="dxa"/>
              <w:end w:w="70" w:type="dxa"/>
            </w:tcMar>
            <w:vAlign w:val="center"/>
          </w:tcPr>
          <w:p>
            <w:pPr>
              <w:spacing w:after="20"/>
            </w:pPr>
            <w:hyperlink r:id="rId261">
              <w:r>
                <w:rPr>
                  <w:color w:val="2F7F9E"/>
                  <w:rFonts w:ascii="Arial" w:hAnsi="Arial"/>
                  <w:sz w:val="12"/>
                  <w:b/>
                  <w:u w:val="none"/>
                </w:rPr>
                <w:t>Digitalising Water: Sharing Singapore's Experience</w:t>
              </w:r>
            </w:hyperlink>
          </w:p>
          <w:p>
            <w:pPr>
              <w:spacing w:before="0" w:after="0"/>
            </w:pPr>
            <w:r>
              <w:rPr>
                <w:rFonts w:ascii="Arial" w:hAnsi="Arial"/>
                <w:color w:val="7D766A"/>
                <w:sz w:val="10"/>
              </w:rPr>
              <w:t>PUB Singapore | Utility transformation report</w:t>
            </w:r>
          </w:p>
        </w:tc>
      </w:tr>
      <w:tr>
        <w:trPr>
          <w:cantSplit/>
        </w:trPr>
        <w:tc>
          <w:tcPr>
            <w:tcW w:type="dxa" w:w="520"/>
            <w:shd w:fill="F1EFE5"/>
            <w:tcMar>
              <w:top w:w="42" w:type="dxa"/>
              <w:start w:w="55" w:type="dxa"/>
              <w:bottom w:w="42" w:type="dxa"/>
              <w:end w:w="55" w:type="dxa"/>
            </w:tcMar>
            <w:vAlign w:val="center"/>
          </w:tcPr>
          <w:p>
            <w:pPr>
              <w:spacing w:after="0"/>
            </w:pPr>
            <w:r>
              <w:rPr>
                <w:rFonts w:ascii="Arial" w:hAnsi="Arial"/>
                <w:b/>
                <w:color w:val="0E2530"/>
                <w:sz w:val="12"/>
              </w:rPr>
              <w:t>CASE-07</w:t>
            </w:r>
          </w:p>
        </w:tc>
        <w:tc>
          <w:tcPr>
            <w:tcW w:type="dxa" w:w="4160"/>
            <w:shd w:fill="F1EFE5"/>
            <w:tcMar>
              <w:top w:w="42" w:type="dxa"/>
              <w:start w:w="70" w:type="dxa"/>
              <w:bottom w:w="42" w:type="dxa"/>
              <w:end w:w="70" w:type="dxa"/>
            </w:tcMar>
            <w:vAlign w:val="center"/>
          </w:tcPr>
          <w:p>
            <w:pPr>
              <w:spacing w:after="20"/>
            </w:pPr>
            <w:hyperlink r:id="rId262">
              <w:r>
                <w:rPr>
                  <w:color w:val="2F7F9E"/>
                  <w:rFonts w:ascii="Arial" w:hAnsi="Arial"/>
                  <w:sz w:val="12"/>
                  <w:b/>
                  <w:u w:val="none"/>
                </w:rPr>
                <w:t>NEOM - Data Privacy value statement</w:t>
              </w:r>
            </w:hyperlink>
          </w:p>
          <w:p>
            <w:pPr>
              <w:spacing w:before="0" w:after="0"/>
            </w:pPr>
            <w:r>
              <w:rPr>
                <w:rFonts w:ascii="Arial" w:hAnsi="Arial"/>
                <w:color w:val="7D766A"/>
                <w:sz w:val="10"/>
              </w:rPr>
              <w:t>NEOM | Public values statement</w:t>
            </w:r>
          </w:p>
        </w:tc>
        <w:tc>
          <w:tcPr>
            <w:tcW w:type="dxa" w:w="520"/>
            <w:shd w:fill="F1EFE5"/>
            <w:tcMar>
              <w:top w:w="42" w:type="dxa"/>
              <w:start w:w="55" w:type="dxa"/>
              <w:bottom w:w="42" w:type="dxa"/>
              <w:end w:w="55" w:type="dxa"/>
            </w:tcMar>
            <w:vAlign w:val="center"/>
          </w:tcPr>
          <w:p>
            <w:pPr>
              <w:spacing w:after="0"/>
            </w:pPr>
            <w:r>
              <w:rPr>
                <w:rFonts w:ascii="Arial" w:hAnsi="Arial"/>
                <w:b/>
                <w:color w:val="0E2530"/>
                <w:sz w:val="12"/>
              </w:rPr>
              <w:t>DG01</w:t>
            </w:r>
          </w:p>
        </w:tc>
        <w:tc>
          <w:tcPr>
            <w:tcW w:type="dxa" w:w="4160"/>
            <w:shd w:fill="F1EFE5"/>
            <w:tcMar>
              <w:top w:w="42" w:type="dxa"/>
              <w:start w:w="70" w:type="dxa"/>
              <w:bottom w:w="42" w:type="dxa"/>
              <w:end w:w="70" w:type="dxa"/>
            </w:tcMar>
            <w:vAlign w:val="center"/>
          </w:tcPr>
          <w:p>
            <w:pPr>
              <w:spacing w:after="20"/>
            </w:pPr>
            <w:hyperlink r:id="rId263">
              <w:r>
                <w:rPr>
                  <w:color w:val="2F7F9E"/>
                  <w:rFonts w:ascii="Arial" w:hAnsi="Arial"/>
                  <w:sz w:val="12"/>
                  <w:b/>
                  <w:u w:val="none"/>
                </w:rPr>
                <w:t>Machine Learning for Scientific Research: estimated global data volume in 2020</w:t>
              </w:r>
            </w:hyperlink>
          </w:p>
          <w:p>
            <w:pPr>
              <w:spacing w:before="0" w:after="0"/>
            </w:pPr>
            <w:r>
              <w:rPr>
                <w:rFonts w:ascii="Arial" w:hAnsi="Arial"/>
                <w:color w:val="7D766A"/>
                <w:sz w:val="10"/>
              </w:rPr>
              <w:t>National Aeronautics and Space Administration | United States government technical publication, 2022</w:t>
            </w:r>
          </w:p>
        </w:tc>
      </w:tr>
      <w:tr>
        <w:trPr>
          <w:cantSplit/>
        </w:trPr>
        <w:tc>
          <w:tcPr>
            <w:tcW w:type="dxa" w:w="520"/>
            <w:tcMar>
              <w:top w:w="42" w:type="dxa"/>
              <w:start w:w="55" w:type="dxa"/>
              <w:bottom w:w="42" w:type="dxa"/>
              <w:end w:w="55" w:type="dxa"/>
            </w:tcMar>
            <w:vAlign w:val="center"/>
          </w:tcPr>
          <w:p>
            <w:pPr>
              <w:spacing w:after="0"/>
            </w:pPr>
            <w:r>
              <w:rPr>
                <w:rFonts w:ascii="Arial" w:hAnsi="Arial"/>
                <w:b/>
                <w:color w:val="0E2530"/>
                <w:sz w:val="12"/>
              </w:rPr>
              <w:t>DG02</w:t>
            </w:r>
          </w:p>
        </w:tc>
        <w:tc>
          <w:tcPr>
            <w:tcW w:type="dxa" w:w="4160"/>
            <w:tcMar>
              <w:top w:w="42" w:type="dxa"/>
              <w:start w:w="70" w:type="dxa"/>
              <w:bottom w:w="42" w:type="dxa"/>
              <w:end w:w="70" w:type="dxa"/>
            </w:tcMar>
            <w:vAlign w:val="center"/>
          </w:tcPr>
          <w:p>
            <w:pPr>
              <w:spacing w:after="20"/>
            </w:pPr>
            <w:hyperlink r:id="rId264">
              <w:r>
                <w:rPr>
                  <w:color w:val="2F7F9E"/>
                  <w:rFonts w:ascii="Arial" w:hAnsi="Arial"/>
                  <w:sz w:val="12"/>
                  <w:b/>
                  <w:u w:val="none"/>
                </w:rPr>
                <w:t>A European strategy for data</w:t>
              </w:r>
            </w:hyperlink>
          </w:p>
          <w:p>
            <w:pPr>
              <w:spacing w:before="0" w:after="0"/>
            </w:pPr>
            <w:r>
              <w:rPr>
                <w:rFonts w:ascii="Arial" w:hAnsi="Arial"/>
                <w:color w:val="7D766A"/>
                <w:sz w:val="10"/>
              </w:rPr>
              <w:t>European Commission | European Commission strategy and factsheet, 2020</w:t>
            </w:r>
          </w:p>
        </w:tc>
        <w:tc>
          <w:tcPr>
            <w:tcW w:type="dxa" w:w="520"/>
            <w:tcMar>
              <w:top w:w="42" w:type="dxa"/>
              <w:start w:w="55" w:type="dxa"/>
              <w:bottom w:w="42" w:type="dxa"/>
              <w:end w:w="55" w:type="dxa"/>
            </w:tcMar>
          </w:tcPr>
          <w:p/>
        </w:tc>
        <w:tc>
          <w:tcPr>
            <w:tcW w:type="dxa" w:w="4160"/>
            <w:tcMar>
              <w:top w:w="42" w:type="dxa"/>
              <w:start w:w="70" w:type="dxa"/>
              <w:bottom w:w="42" w:type="dxa"/>
              <w:end w:w="70" w:type="dxa"/>
            </w:tcMar>
          </w:tcPr>
          <w:p/>
        </w:tc>
      </w:tr>
    </w:tbl>
    <w:p>
      <w:pPr>
        <w:pageBreakBefore/>
        <w:spacing w:after="100"/>
      </w:pPr>
      <w:r>
        <w:rPr>
          <w:rFonts w:ascii="Arial" w:hAnsi="Arial"/>
          <w:b/>
          <w:color w:val="2F7F9E"/>
          <w:sz w:val="17"/>
        </w:rPr>
        <w:t>APPLICATION PAPER</w:t>
      </w:r>
    </w:p>
    <w:p>
      <w:pPr>
        <w:pStyle w:val="Heading1"/>
      </w:pPr>
      <w:r>
        <w:t>Appendix C | Plain-language glossary</w:t>
      </w:r>
    </w:p>
    <w:p>
      <w:pPr>
        <w:pStyle w:val="Subtitle"/>
        <w:spacing w:after="280"/>
      </w:pPr>
      <w:r>
        <w:rPr>
          <w:color w:val="3C3B36"/>
          <w:sz w:val="25"/>
        </w:rPr>
        <w:t>Use the terms consistently in policy, product design, interviews, findings and roadmaps.</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820"/>
      </w:tblGrid>
      <w:tr>
        <w:tc>
          <w:tcPr>
            <w:tcW w:type="dxa" w:w="1500"/>
            <w:shd w:fill="E0A64A"/>
            <w:tcMar>
              <w:top w:w="0" w:type="dxa"/>
              <w:start w:w="0" w:type="dxa"/>
              <w:bottom w:w="0" w:type="dxa"/>
              <w:end w:w="0" w:type="dxa"/>
            </w:tcMar>
          </w:tcPr>
          <w:p>
            <w:pPr>
              <w:spacing w:after="0"/>
            </w:pPr>
            <w:r>
              <w:rPr>
                <w:sz w:val="4"/>
              </w:rPr>
              <w:t xml:space="preserve"> </w:t>
            </w:r>
          </w:p>
        </w:tc>
      </w:tr>
    </w:tbl>
    <w:tbl>
      <w:tblPr>
        <w:tblW w:type="auto" w:w="0"/>
        <w:jc w:val="center"/>
        <w:tblLayout w:type="fixed"/>
        <w:tblLook w:firstColumn="1" w:firstRow="1" w:lastColumn="0" w:lastRow="0" w:noHBand="0" w:noVBand="1" w:val="04A0"/>
        <w:tblBorders>
          <w:top w:val="single" w:sz="10" w:space="0" w:color="2F7F9E"/>
          <w:left w:val="single" w:sz="10" w:space="0" w:color="2F7F9E"/>
          <w:bottom w:val="single" w:sz="10" w:space="0" w:color="2F7F9E"/>
          <w:right w:val="single" w:sz="10" w:space="0" w:color="2F7F9E"/>
          <w:insideH w:val="single" w:sz="10" w:space="0" w:color="2F7F9E"/>
          <w:insideV w:val="single" w:sz="10" w:space="0" w:color="2F7F9E"/>
        </w:tblBorders>
      </w:tblPr>
      <w:tblGrid>
        <w:gridCol w:w="9820"/>
      </w:tblGrid>
      <w:tr>
        <w:trPr>
          <w:cantSplit/>
        </w:trPr>
        <w:tc>
          <w:tcPr>
            <w:tcW w:type="dxa" w:w="9820"/>
            <w:shd w:fill="EAF6FB"/>
            <w:tcMar>
              <w:top w:w="140" w:type="dxa"/>
              <w:start w:w="170" w:type="dxa"/>
              <w:bottom w:w="140" w:type="dxa"/>
              <w:end w:w="170" w:type="dxa"/>
            </w:tcMar>
          </w:tcPr>
          <w:p>
            <w:pPr>
              <w:spacing w:after="80"/>
            </w:pPr>
            <w:r>
              <w:rPr>
                <w:rFonts w:ascii="Arial" w:hAnsi="Arial"/>
                <w:b/>
                <w:color w:val="2F7F9E"/>
                <w:sz w:val="20"/>
              </w:rPr>
              <w:t>Acronym rule</w:t>
            </w:r>
          </w:p>
          <w:p>
            <w:pPr>
              <w:spacing w:after="0"/>
            </w:pPr>
            <w:r>
              <w:rPr>
                <w:rFonts w:ascii="Arial" w:hAnsi="Arial"/>
                <w:color w:val="1B1B1C"/>
                <w:sz w:val="20"/>
              </w:rPr>
              <w:t>Write the full term first, followed by the short form in parentheses. Use the short form only after that point. Product screens, training, findings and executive reports should follow the same rule.</w:t>
            </w:r>
          </w:p>
        </w:tc>
      </w:tr>
    </w:tbl>
    <w:p>
      <w:pPr>
        <w:spacing w:after="0"/>
      </w:pP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4910"/>
        <w:gridCol w:w="4910"/>
      </w:tblGrid>
      <w:tr>
        <w:trPr>
          <w:tblHeader w:val="true"/>
          <w:cantSplit/>
        </w:trPr>
        <w:tc>
          <w:tcPr>
            <w:tcW w:type="dxa" w:w="2400"/>
            <w:tcMar>
              <w:top w:w="75" w:type="dxa"/>
              <w:start w:w="90" w:type="dxa"/>
              <w:bottom w:w="75" w:type="dxa"/>
              <w:end w:w="90" w:type="dxa"/>
            </w:tcMar>
            <w:shd w:fill="1B1B1C"/>
          </w:tcPr>
          <w:p>
            <w:pPr>
              <w:spacing w:after="0"/>
            </w:pPr>
            <w:r>
              <w:rPr>
                <w:rFonts w:ascii="Arial" w:hAnsi="Arial"/>
                <w:b/>
                <w:color w:val="FFFFFF"/>
                <w:sz w:val="16"/>
              </w:rPr>
              <w:t>Term</w:t>
            </w:r>
          </w:p>
        </w:tc>
        <w:tc>
          <w:tcPr>
            <w:tcW w:type="dxa" w:w="6900"/>
            <w:tcMar>
              <w:top w:w="75" w:type="dxa"/>
              <w:start w:w="90" w:type="dxa"/>
              <w:bottom w:w="75" w:type="dxa"/>
              <w:end w:w="90" w:type="dxa"/>
            </w:tcMar>
            <w:shd w:fill="1B1B1C"/>
          </w:tcPr>
          <w:p>
            <w:pPr>
              <w:spacing w:after="0"/>
            </w:pPr>
            <w:r>
              <w:rPr>
                <w:rFonts w:ascii="Arial" w:hAnsi="Arial"/>
                <w:b/>
                <w:color w:val="FFFFFF"/>
                <w:sz w:val="16"/>
              </w:rPr>
              <w:t>Working definition</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Accountable owner</w:t>
            </w:r>
          </w:p>
        </w:tc>
        <w:tc>
          <w:tcPr>
            <w:tcW w:type="dxa" w:w="6900"/>
            <w:tcMar>
              <w:top w:w="70" w:type="dxa"/>
              <w:start w:w="90" w:type="dxa"/>
              <w:bottom w:w="70" w:type="dxa"/>
              <w:end w:w="90" w:type="dxa"/>
            </w:tcMar>
            <w:vAlign w:val="center"/>
          </w:tcPr>
          <w:p>
            <w:pPr>
              <w:spacing w:after="0"/>
            </w:pPr>
            <w:r>
              <w:rPr>
                <w:rFonts w:ascii="Arial" w:hAnsi="Arial"/>
                <w:color w:val="1B1B1C"/>
                <w:sz w:val="16"/>
              </w:rPr>
              <w:t>The person with authority to accept the purpose, fitness, access, lifecycle and risk of a data domain or product.</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Advanced metering infrastructure (AMI)</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Smart meters, communications and supporting systems that collect and exchange detailed meter information.</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Algorithmic impact assessment (AIA)</w:t>
            </w:r>
          </w:p>
        </w:tc>
        <w:tc>
          <w:tcPr>
            <w:tcW w:type="dxa" w:w="6900"/>
            <w:tcMar>
              <w:top w:w="70" w:type="dxa"/>
              <w:start w:w="90" w:type="dxa"/>
              <w:bottom w:w="70" w:type="dxa"/>
              <w:end w:w="90" w:type="dxa"/>
            </w:tcMar>
            <w:vAlign w:val="center"/>
          </w:tcPr>
          <w:p>
            <w:pPr>
              <w:spacing w:after="0"/>
            </w:pPr>
            <w:r>
              <w:rPr>
                <w:rFonts w:ascii="Arial" w:hAnsi="Arial"/>
                <w:color w:val="1B1B1C"/>
                <w:sz w:val="16"/>
              </w:rPr>
              <w:t>A structured review of how an automated or AI-supported decision could affect people, services, rights, safety or trust.</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American Water Works Association (AWWA)</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A water-sector association that publishes standards, manuals, research and professional guidance.</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Application programming interface (API)</w:t>
            </w:r>
          </w:p>
        </w:tc>
        <w:tc>
          <w:tcPr>
            <w:tcW w:type="dxa" w:w="6900"/>
            <w:tcMar>
              <w:top w:w="70" w:type="dxa"/>
              <w:start w:w="90" w:type="dxa"/>
              <w:bottom w:w="70" w:type="dxa"/>
              <w:end w:w="90" w:type="dxa"/>
            </w:tcMar>
            <w:vAlign w:val="center"/>
          </w:tcPr>
          <w:p>
            <w:pPr>
              <w:spacing w:after="0"/>
            </w:pPr>
            <w:r>
              <w:rPr>
                <w:rFonts w:ascii="Arial" w:hAnsi="Arial"/>
                <w:color w:val="1B1B1C"/>
                <w:sz w:val="16"/>
              </w:rPr>
              <w:t>A controlled way for one software system to request data or a service from another system.</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Artificial intelligence (AI)</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Software that performs tasks such as prediction, classification, generation or recommendation using learned or encoded methods.</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Asset management</w:t>
            </w:r>
          </w:p>
        </w:tc>
        <w:tc>
          <w:tcPr>
            <w:tcW w:type="dxa" w:w="6900"/>
            <w:tcMar>
              <w:top w:w="70" w:type="dxa"/>
              <w:start w:w="90" w:type="dxa"/>
              <w:bottom w:w="70" w:type="dxa"/>
              <w:end w:w="90" w:type="dxa"/>
            </w:tcMar>
            <w:vAlign w:val="center"/>
          </w:tcPr>
          <w:p>
            <w:pPr>
              <w:spacing w:after="0"/>
            </w:pPr>
            <w:r>
              <w:rPr>
                <w:rFonts w:ascii="Arial" w:hAnsi="Arial"/>
                <w:color w:val="1B1B1C"/>
                <w:sz w:val="16"/>
              </w:rPr>
              <w:t>The coordinated work used to obtain value from physical assets while managing cost, performance and risk through their life.</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Authoritative source</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The approved source for a stated use. It may differ by decision and time.</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Cloud Data Management Capabilities (CDMC)</w:t>
            </w:r>
          </w:p>
        </w:tc>
        <w:tc>
          <w:tcPr>
            <w:tcW w:type="dxa" w:w="6900"/>
            <w:tcMar>
              <w:top w:w="70" w:type="dxa"/>
              <w:start w:w="90" w:type="dxa"/>
              <w:bottom w:w="70" w:type="dxa"/>
              <w:end w:w="90" w:type="dxa"/>
            </w:tcMar>
            <w:vAlign w:val="center"/>
          </w:tcPr>
          <w:p>
            <w:pPr>
              <w:spacing w:after="0"/>
            </w:pPr>
            <w:r>
              <w:rPr>
                <w:rFonts w:ascii="Arial" w:hAnsi="Arial"/>
                <w:color w:val="1B1B1C"/>
                <w:sz w:val="16"/>
              </w:rPr>
              <w:t>An industry framework for governing and controlling data in cloud environments.</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Common Information Model (CIM)</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A shared model used mainly in the electric-power sector so systems describe network objects and relationships consistently.</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Computerized maintenance management system (CMMS)</w:t>
            </w:r>
          </w:p>
        </w:tc>
        <w:tc>
          <w:tcPr>
            <w:tcW w:type="dxa" w:w="6900"/>
            <w:tcMar>
              <w:top w:w="70" w:type="dxa"/>
              <w:start w:w="90" w:type="dxa"/>
              <w:bottom w:w="70" w:type="dxa"/>
              <w:end w:w="90" w:type="dxa"/>
            </w:tcMar>
            <w:vAlign w:val="center"/>
          </w:tcPr>
          <w:p>
            <w:pPr>
              <w:spacing w:after="0"/>
            </w:pPr>
            <w:r>
              <w:rPr>
                <w:rFonts w:ascii="Arial" w:hAnsi="Arial"/>
                <w:color w:val="1B1B1C"/>
                <w:sz w:val="16"/>
              </w:rPr>
              <w:t>Software used to plan, assign, record and analyze maintenance, inspections, labor, parts and work orders.</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Control</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An action or condition designed to prevent, detect or correct an unwanted result.</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Control Objectives for Information and Related Technologies (COBIT)</w:t>
            </w:r>
          </w:p>
        </w:tc>
        <w:tc>
          <w:tcPr>
            <w:tcW w:type="dxa" w:w="6900"/>
            <w:tcMar>
              <w:top w:w="70" w:type="dxa"/>
              <w:start w:w="90" w:type="dxa"/>
              <w:bottom w:w="70" w:type="dxa"/>
              <w:end w:w="90" w:type="dxa"/>
            </w:tcMar>
            <w:vAlign w:val="center"/>
          </w:tcPr>
          <w:p>
            <w:pPr>
              <w:spacing w:after="0"/>
            </w:pPr>
            <w:r>
              <w:rPr>
                <w:rFonts w:ascii="Arial" w:hAnsi="Arial"/>
                <w:color w:val="1B1B1C"/>
                <w:sz w:val="16"/>
              </w:rPr>
              <w:t>A framework for governing and managing enterprise information and technology.</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Critical Infrastructure Protection (CIP)</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Requirements and practices used to protect systems that support essential infrastructure. In North American electricity, CIP also refers to the NERC reliability standards.</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Critical data element</w:t>
            </w:r>
          </w:p>
        </w:tc>
        <w:tc>
          <w:tcPr>
            <w:tcW w:type="dxa" w:w="6900"/>
            <w:tcMar>
              <w:top w:w="70" w:type="dxa"/>
              <w:start w:w="90" w:type="dxa"/>
              <w:bottom w:w="70" w:type="dxa"/>
              <w:end w:w="90" w:type="dxa"/>
            </w:tcMar>
            <w:vAlign w:val="center"/>
          </w:tcPr>
          <w:p>
            <w:pPr>
              <w:spacing w:after="0"/>
            </w:pPr>
            <w:r>
              <w:rPr>
                <w:rFonts w:ascii="Arial" w:hAnsi="Arial"/>
                <w:color w:val="1B1B1C"/>
                <w:sz w:val="16"/>
              </w:rPr>
              <w:t>A field or record whose failure could materially affect service, safety, compliance, finance, customers or trust.</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Customer information system (CIS)</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The system that manages customer accounts, service, billing, payments, contacts and related customer records.</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Cybersecurity Framework (CSF)</w:t>
            </w:r>
          </w:p>
        </w:tc>
        <w:tc>
          <w:tcPr>
            <w:tcW w:type="dxa" w:w="6900"/>
            <w:tcMar>
              <w:top w:w="70" w:type="dxa"/>
              <w:start w:w="90" w:type="dxa"/>
              <w:bottom w:w="70" w:type="dxa"/>
              <w:end w:w="90" w:type="dxa"/>
            </w:tcMar>
            <w:vAlign w:val="center"/>
          </w:tcPr>
          <w:p>
            <w:pPr>
              <w:spacing w:after="0"/>
            </w:pPr>
            <w:r>
              <w:rPr>
                <w:rFonts w:ascii="Arial" w:hAnsi="Arial"/>
                <w:color w:val="1B1B1C"/>
                <w:sz w:val="16"/>
              </w:rPr>
              <w:t>The NIST framework for organizing cybersecurity outcomes across governance, identification, protection, detection, response and recovery.</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Data catalog</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A searchable inventory that helps people find data and understand its owner, meaning, location, quality, access and use.</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Data chaos</w:t>
            </w:r>
          </w:p>
        </w:tc>
        <w:tc>
          <w:tcPr>
            <w:tcW w:type="dxa" w:w="6900"/>
            <w:tcMar>
              <w:top w:w="70" w:type="dxa"/>
              <w:start w:w="90" w:type="dxa"/>
              <w:bottom w:w="70" w:type="dxa"/>
              <w:end w:w="90" w:type="dxa"/>
            </w:tcMar>
            <w:vAlign w:val="center"/>
          </w:tcPr>
          <w:p>
            <w:pPr>
              <w:spacing w:after="0"/>
            </w:pPr>
            <w:r>
              <w:rPr>
                <w:rFonts w:ascii="Arial" w:hAnsi="Arial"/>
                <w:color w:val="1B1B1C"/>
                <w:sz w:val="16"/>
              </w:rPr>
              <w:t>A state in which data is fragmented, duplicated, inconsistently defined, unowned or difficult to trace and use with confidence.</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Data Catalog Vocabulary (DCAT)</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A W3C vocabulary for describing catalogs, datasets, data services and distributions in a consistent way.</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Data contract</w:t>
            </w:r>
          </w:p>
        </w:tc>
        <w:tc>
          <w:tcPr>
            <w:tcW w:type="dxa" w:w="6900"/>
            <w:tcMar>
              <w:top w:w="70" w:type="dxa"/>
              <w:start w:w="90" w:type="dxa"/>
              <w:bottom w:w="70" w:type="dxa"/>
              <w:end w:w="90" w:type="dxa"/>
            </w:tcMar>
            <w:vAlign w:val="center"/>
          </w:tcPr>
          <w:p>
            <w:pPr>
              <w:spacing w:after="0"/>
            </w:pPr>
            <w:r>
              <w:rPr>
                <w:rFonts w:ascii="Arial" w:hAnsi="Arial"/>
                <w:color w:val="1B1B1C"/>
                <w:sz w:val="16"/>
              </w:rPr>
              <w:t>The agreed purpose, schema, quality, access, lineage, service and lifecycle terms for a data product or interface.</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Data Management Association International (DAMA)</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A professional association that maintains widely used data-management knowledge and practice guidance.</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Data Management Body of Knowledge (DMBOK)</w:t>
            </w:r>
          </w:p>
        </w:tc>
        <w:tc>
          <w:tcPr>
            <w:tcW w:type="dxa" w:w="6900"/>
            <w:tcMar>
              <w:top w:w="70" w:type="dxa"/>
              <w:start w:w="90" w:type="dxa"/>
              <w:bottom w:w="70" w:type="dxa"/>
              <w:end w:w="90" w:type="dxa"/>
            </w:tcMar>
            <w:vAlign w:val="center"/>
          </w:tcPr>
          <w:p>
            <w:pPr>
              <w:spacing w:after="0"/>
            </w:pPr>
            <w:r>
              <w:rPr>
                <w:rFonts w:ascii="Arial" w:hAnsi="Arial"/>
                <w:color w:val="1B1B1C"/>
                <w:sz w:val="16"/>
              </w:rPr>
              <w:t>DAMA's reference guide for data governance, architecture, quality, metadata, security and related management practices.</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Data Management Capability Assessment Model (DCAM)</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An industry model for assessing and improving data-management capability.</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Data governance</w:t>
            </w:r>
          </w:p>
        </w:tc>
        <w:tc>
          <w:tcPr>
            <w:tcW w:type="dxa" w:w="6900"/>
            <w:tcMar>
              <w:top w:w="70" w:type="dxa"/>
              <w:start w:w="90" w:type="dxa"/>
              <w:bottom w:w="70" w:type="dxa"/>
              <w:end w:w="90" w:type="dxa"/>
            </w:tcMar>
            <w:vAlign w:val="center"/>
          </w:tcPr>
          <w:p>
            <w:pPr>
              <w:spacing w:after="0"/>
            </w:pPr>
            <w:r>
              <w:rPr>
                <w:rFonts w:ascii="Arial" w:hAnsi="Arial"/>
                <w:color w:val="1B1B1C"/>
                <w:sz w:val="16"/>
              </w:rPr>
              <w:t>The decisions, responsibilities, controls and proof used to direct data work.</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Data lineage</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The route data follows from source through transformation to use.</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Data product</w:t>
            </w:r>
          </w:p>
        </w:tc>
        <w:tc>
          <w:tcPr>
            <w:tcW w:type="dxa" w:w="6900"/>
            <w:tcMar>
              <w:top w:w="70" w:type="dxa"/>
              <w:start w:w="90" w:type="dxa"/>
              <w:bottom w:w="70" w:type="dxa"/>
              <w:end w:w="90" w:type="dxa"/>
            </w:tcMar>
            <w:vAlign w:val="center"/>
          </w:tcPr>
          <w:p>
            <w:pPr>
              <w:spacing w:after="0"/>
            </w:pPr>
            <w:r>
              <w:rPr>
                <w:rFonts w:ascii="Arial" w:hAnsi="Arial"/>
                <w:color w:val="1B1B1C"/>
                <w:sz w:val="16"/>
              </w:rPr>
              <w:t>A governed dataset, API or feature set with an owner, known users, quality expectations and a service promise.</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Data provenance</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The history of the data, the activity that affected it and the responsible person or service.</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Data quality</w:t>
            </w:r>
          </w:p>
        </w:tc>
        <w:tc>
          <w:tcPr>
            <w:tcW w:type="dxa" w:w="6900"/>
            <w:tcMar>
              <w:top w:w="70" w:type="dxa"/>
              <w:start w:w="90" w:type="dxa"/>
              <w:bottom w:w="70" w:type="dxa"/>
              <w:end w:w="90" w:type="dxa"/>
            </w:tcMar>
            <w:vAlign w:val="center"/>
          </w:tcPr>
          <w:p>
            <w:pPr>
              <w:spacing w:after="0"/>
            </w:pPr>
            <w:r>
              <w:rPr>
                <w:rFonts w:ascii="Arial" w:hAnsi="Arial"/>
                <w:color w:val="1B1B1C"/>
                <w:sz w:val="16"/>
              </w:rPr>
              <w:t>Fitness for a stated use, time and consequence.</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Data wisdom</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The accountable use of governed evidence, operational context, human judgment, consequences and outcome learning.</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Data steward</w:t>
            </w:r>
          </w:p>
        </w:tc>
        <w:tc>
          <w:tcPr>
            <w:tcW w:type="dxa" w:w="6900"/>
            <w:tcMar>
              <w:top w:w="70" w:type="dxa"/>
              <w:start w:w="90" w:type="dxa"/>
              <w:bottom w:w="70" w:type="dxa"/>
              <w:end w:w="90" w:type="dxa"/>
            </w:tcMar>
            <w:vAlign w:val="center"/>
          </w:tcPr>
          <w:p>
            <w:pPr>
              <w:spacing w:after="0"/>
            </w:pPr>
            <w:r>
              <w:rPr>
                <w:rFonts w:ascii="Arial" w:hAnsi="Arial"/>
                <w:color w:val="1B1B1C"/>
                <w:sz w:val="16"/>
              </w:rPr>
              <w:t>The person who maintains meaning, metadata, rules, issues and consumer communication within an assigned scope.</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Data Protection Impact Assessment (DPIA)</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A formal review of privacy risks and safeguards for processing that may create high risk to people.</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Decision Twin™</w:t>
            </w:r>
          </w:p>
        </w:tc>
        <w:tc>
          <w:tcPr>
            <w:tcW w:type="dxa" w:w="6900"/>
            <w:tcMar>
              <w:top w:w="70" w:type="dxa"/>
              <w:start w:w="90" w:type="dxa"/>
              <w:bottom w:w="70" w:type="dxa"/>
              <w:end w:w="90" w:type="dxa"/>
            </w:tcMar>
            <w:vAlign w:val="center"/>
          </w:tcPr>
          <w:p>
            <w:pPr>
              <w:spacing w:after="0"/>
            </w:pPr>
            <w:r>
              <w:rPr>
                <w:rFonts w:ascii="Arial" w:hAnsi="Arial"/>
                <w:color w:val="1B1B1C"/>
                <w:sz w:val="16"/>
              </w:rPr>
              <w:t>An APAS governed decision model connecting operational state, analytical models, rules, evidence, human authority, alternatives, action and outcome learning.</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Decision intelligence</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The structured use of data, models, rules, alternatives, consequences and evidence to improve a decision while keeping authority explicit.</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Digital twin</w:t>
            </w:r>
          </w:p>
        </w:tc>
        <w:tc>
          <w:tcPr>
            <w:tcW w:type="dxa" w:w="6900"/>
            <w:tcMar>
              <w:top w:w="70" w:type="dxa"/>
              <w:start w:w="90" w:type="dxa"/>
              <w:bottom w:w="70" w:type="dxa"/>
              <w:end w:w="90" w:type="dxa"/>
            </w:tcMar>
            <w:vAlign w:val="center"/>
          </w:tcPr>
          <w:p>
            <w:pPr>
              <w:spacing w:after="0"/>
            </w:pPr>
            <w:r>
              <w:rPr>
                <w:rFonts w:ascii="Arial" w:hAnsi="Arial"/>
                <w:color w:val="1B1B1C"/>
                <w:sz w:val="16"/>
              </w:rPr>
              <w:t>A digital representation of a physical system that supports state awareness, behavior analysis, scenarios or simulation within a defined scope.</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Data Quality Vocabulary (DQV)</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A W3C vocabulary for describing data-quality measures, results, annotations and certificates.</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Enterprise asset management (EAM)</w:t>
            </w:r>
          </w:p>
        </w:tc>
        <w:tc>
          <w:tcPr>
            <w:tcW w:type="dxa" w:w="6900"/>
            <w:tcMar>
              <w:top w:w="70" w:type="dxa"/>
              <w:start w:w="90" w:type="dxa"/>
              <w:bottom w:w="70" w:type="dxa"/>
              <w:end w:w="90" w:type="dxa"/>
            </w:tcMar>
            <w:vAlign w:val="center"/>
          </w:tcPr>
          <w:p>
            <w:pPr>
              <w:spacing w:after="0"/>
            </w:pPr>
            <w:r>
              <w:rPr>
                <w:rFonts w:ascii="Arial" w:hAnsi="Arial"/>
                <w:color w:val="1B1B1C"/>
                <w:sz w:val="16"/>
              </w:rPr>
              <w:t>The people, processes and software used to manage asset information, work, condition, cost and lifecycle decisions across an organization.</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Enterprise resource planning (ERP)</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Integrated business software for functions such as finance, procurement, inventory, projects and human resources.</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Evidence</w:t>
            </w:r>
          </w:p>
        </w:tc>
        <w:tc>
          <w:tcPr>
            <w:tcW w:type="dxa" w:w="6900"/>
            <w:tcMar>
              <w:top w:w="70" w:type="dxa"/>
              <w:start w:w="90" w:type="dxa"/>
              <w:bottom w:w="70" w:type="dxa"/>
              <w:end w:w="90" w:type="dxa"/>
            </w:tcMar>
            <w:vAlign w:val="center"/>
          </w:tcPr>
          <w:p>
            <w:pPr>
              <w:spacing w:after="0"/>
            </w:pPr>
            <w:r>
              <w:rPr>
                <w:rFonts w:ascii="Arial" w:hAnsi="Arial"/>
                <w:color w:val="1B1B1C"/>
                <w:sz w:val="16"/>
              </w:rPr>
              <w:t>A retained record that supports a fact, control result, score, decision, action or outcome.</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Evidence confidence</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The strength of support for a score, from absent or asserted to independently verified.</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Exabyte</w:t>
            </w:r>
          </w:p>
        </w:tc>
        <w:tc>
          <w:tcPr>
            <w:tcW w:type="dxa" w:w="6900"/>
            <w:tcMar>
              <w:top w:w="70" w:type="dxa"/>
              <w:start w:w="90" w:type="dxa"/>
              <w:bottom w:w="70" w:type="dxa"/>
              <w:end w:w="90" w:type="dxa"/>
            </w:tcMar>
            <w:vAlign w:val="center"/>
          </w:tcPr>
          <w:p>
            <w:pPr>
              <w:spacing w:after="0"/>
            </w:pPr>
            <w:r>
              <w:rPr>
                <w:rFonts w:ascii="Arial" w:hAnsi="Arial"/>
                <w:color w:val="1B1B1C"/>
                <w:sz w:val="16"/>
              </w:rPr>
              <w:t>A unit of digital information equal to 1,000 petabytes or one-thousandth of a zettabyte.</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Findable, accessible, interoperable and reusable (FAIR)</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Principles that make data easier for people and machines to locate, obtain, combine and use again.</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Findable, accessible, interoperable, reusable, open and ethical (FAIROE)</w:t>
            </w:r>
          </w:p>
        </w:tc>
        <w:tc>
          <w:tcPr>
            <w:tcW w:type="dxa" w:w="6900"/>
            <w:tcMar>
              <w:top w:w="70" w:type="dxa"/>
              <w:start w:w="90" w:type="dxa"/>
              <w:bottom w:w="70" w:type="dxa"/>
              <w:end w:w="90" w:type="dxa"/>
            </w:tcMar>
            <w:vAlign w:val="center"/>
          </w:tcPr>
          <w:p>
            <w:pPr>
              <w:spacing w:after="0"/>
            </w:pPr>
            <w:r>
              <w:rPr>
                <w:rFonts w:ascii="Arial" w:hAnsi="Arial"/>
                <w:color w:val="1B1B1C"/>
                <w:sz w:val="16"/>
              </w:rPr>
              <w:t>An Anglian Water extension of FAIR that adds openness and ethical use.</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Fats, oils and grease (FOG)</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Food-related materials that can enter sewers, create blockages and increase overflow risk.</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General Data Protection Regulation (GDPR)</w:t>
            </w:r>
          </w:p>
        </w:tc>
        <w:tc>
          <w:tcPr>
            <w:tcW w:type="dxa" w:w="6900"/>
            <w:tcMar>
              <w:top w:w="70" w:type="dxa"/>
              <w:start w:w="90" w:type="dxa"/>
              <w:bottom w:w="70" w:type="dxa"/>
              <w:end w:w="90" w:type="dxa"/>
            </w:tcMar>
            <w:vAlign w:val="center"/>
          </w:tcPr>
          <w:p>
            <w:pPr>
              <w:spacing w:after="0"/>
            </w:pPr>
            <w:r>
              <w:rPr>
                <w:rFonts w:ascii="Arial" w:hAnsi="Arial"/>
                <w:color w:val="1B1B1C"/>
                <w:sz w:val="16"/>
              </w:rPr>
              <w:t>The European Union law governing personal data, rights, accountability, security and lawful use.</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Geographic information system (GIS)</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Software and data used to map assets, customers, land, events and other information connected to location.</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Historian</w:t>
            </w:r>
          </w:p>
        </w:tc>
        <w:tc>
          <w:tcPr>
            <w:tcW w:type="dxa" w:w="6900"/>
            <w:tcMar>
              <w:top w:w="70" w:type="dxa"/>
              <w:start w:w="90" w:type="dxa"/>
              <w:bottom w:w="70" w:type="dxa"/>
              <w:end w:w="90" w:type="dxa"/>
            </w:tcMar>
            <w:vAlign w:val="center"/>
          </w:tcPr>
          <w:p>
            <w:pPr>
              <w:spacing w:after="0"/>
            </w:pPr>
            <w:r>
              <w:rPr>
                <w:rFonts w:ascii="Arial" w:hAnsi="Arial"/>
                <w:color w:val="1B1B1C"/>
                <w:sz w:val="16"/>
              </w:rPr>
              <w:t>A system that stores time-series operating data such as sensor values, alarms, status and calculated measurements.</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Industrial automation and control system (IACS)</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The hardware and software used to monitor and control industrial processes, equipment and facilities.</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International Electrotechnical Commission (IEC)</w:t>
            </w:r>
          </w:p>
        </w:tc>
        <w:tc>
          <w:tcPr>
            <w:tcW w:type="dxa" w:w="6900"/>
            <w:tcMar>
              <w:top w:w="70" w:type="dxa"/>
              <w:start w:w="90" w:type="dxa"/>
              <w:bottom w:w="70" w:type="dxa"/>
              <w:end w:w="90" w:type="dxa"/>
            </w:tcMar>
            <w:vAlign w:val="center"/>
          </w:tcPr>
          <w:p>
            <w:pPr>
              <w:spacing w:after="0"/>
            </w:pPr>
            <w:r>
              <w:rPr>
                <w:rFonts w:ascii="Arial" w:hAnsi="Arial"/>
                <w:color w:val="1B1B1C"/>
                <w:sz w:val="16"/>
              </w:rPr>
              <w:t>The international standards organization focused on electrical, electronic and related technologies.</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Internet Engineering Task Force (IETF)</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The standards community that develops many of the technical rules used by the internet.</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Integrity</w:t>
            </w:r>
          </w:p>
        </w:tc>
        <w:tc>
          <w:tcPr>
            <w:tcW w:type="dxa" w:w="6900"/>
            <w:tcMar>
              <w:top w:w="70" w:type="dxa"/>
              <w:start w:w="90" w:type="dxa"/>
              <w:bottom w:w="70" w:type="dxa"/>
              <w:end w:w="90" w:type="dxa"/>
            </w:tcMar>
            <w:vAlign w:val="center"/>
          </w:tcPr>
          <w:p>
            <w:pPr>
              <w:spacing w:after="0"/>
            </w:pPr>
            <w:r>
              <w:rPr>
                <w:rFonts w:ascii="Arial" w:hAnsi="Arial"/>
                <w:color w:val="1B1B1C"/>
                <w:sz w:val="16"/>
              </w:rPr>
              <w:t>Confidence that data and its evidence remain complete and protected from improper change.</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Interoperability</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The ability of systems and organizations to exchange data with shared identity, meaning and usable context.</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International Organization for Standardization (ISO)</w:t>
            </w:r>
          </w:p>
        </w:tc>
        <w:tc>
          <w:tcPr>
            <w:tcW w:type="dxa" w:w="6900"/>
            <w:tcMar>
              <w:top w:w="70" w:type="dxa"/>
              <w:start w:w="90" w:type="dxa"/>
              <w:bottom w:w="70" w:type="dxa"/>
              <w:end w:w="90" w:type="dxa"/>
            </w:tcMar>
            <w:vAlign w:val="center"/>
          </w:tcPr>
          <w:p>
            <w:pPr>
              <w:spacing w:after="0"/>
            </w:pPr>
            <w:r>
              <w:rPr>
                <w:rFonts w:ascii="Arial" w:hAnsi="Arial"/>
                <w:color w:val="1B1B1C"/>
                <w:sz w:val="16"/>
              </w:rPr>
              <w:t>The international body that publishes standards for governance, quality, security, records, assets and many other management areas.</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Internet of Things (IoT)</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Connected devices and sensors that collect, exchange or act on information about physical conditions.</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JavaScript Object Notation (JSON)</w:t>
            </w:r>
          </w:p>
        </w:tc>
        <w:tc>
          <w:tcPr>
            <w:tcW w:type="dxa" w:w="6900"/>
            <w:tcMar>
              <w:top w:w="70" w:type="dxa"/>
              <w:start w:w="90" w:type="dxa"/>
              <w:bottom w:w="70" w:type="dxa"/>
              <w:end w:w="90" w:type="dxa"/>
            </w:tcMar>
            <w:vAlign w:val="center"/>
          </w:tcPr>
          <w:p>
            <w:pPr>
              <w:spacing w:after="0"/>
            </w:pPr>
            <w:r>
              <w:rPr>
                <w:rFonts w:ascii="Arial" w:hAnsi="Arial"/>
                <w:color w:val="1B1B1C"/>
                <w:sz w:val="16"/>
              </w:rPr>
              <w:t>A common text format for exchanging structured data between systems.</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JavaScript Object Notation for Linked Data (JSON-LD)</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A JSON-based format that adds shared identifiers and meaning so connected data can be interpreted consistently.</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Key performance indicator (KPI)</w:t>
            </w:r>
          </w:p>
        </w:tc>
        <w:tc>
          <w:tcPr>
            <w:tcW w:type="dxa" w:w="6900"/>
            <w:tcMar>
              <w:top w:w="70" w:type="dxa"/>
              <w:start w:w="90" w:type="dxa"/>
              <w:bottom w:w="70" w:type="dxa"/>
              <w:end w:w="90" w:type="dxa"/>
            </w:tcMar>
            <w:vAlign w:val="center"/>
          </w:tcPr>
          <w:p>
            <w:pPr>
              <w:spacing w:after="0"/>
            </w:pPr>
            <w:r>
              <w:rPr>
                <w:rFonts w:ascii="Arial" w:hAnsi="Arial"/>
                <w:color w:val="1B1B1C"/>
                <w:sz w:val="16"/>
              </w:rPr>
              <w:t>A measure used to show whether a service, process, control or product is producing its intended result.</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Laboratory information management system (LIMS)</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Software that manages samples, methods, instruments, custody, results, approval, amendments and laboratory records.</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Machine learning (ML)</w:t>
            </w:r>
          </w:p>
        </w:tc>
        <w:tc>
          <w:tcPr>
            <w:tcW w:type="dxa" w:w="6900"/>
            <w:tcMar>
              <w:top w:w="70" w:type="dxa"/>
              <w:start w:w="90" w:type="dxa"/>
              <w:bottom w:w="70" w:type="dxa"/>
              <w:end w:w="90" w:type="dxa"/>
            </w:tcMar>
            <w:vAlign w:val="center"/>
          </w:tcPr>
          <w:p>
            <w:pPr>
              <w:spacing w:after="0"/>
            </w:pPr>
            <w:r>
              <w:rPr>
                <w:rFonts w:ascii="Arial" w:hAnsi="Arial"/>
                <w:color w:val="1B1B1C"/>
                <w:sz w:val="16"/>
              </w:rPr>
              <w:t>A form of AI in which a model learns patterns from data to classify, predict or generate an output.</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Metadata</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Information that identifies, describes, locates, classifies and explains data.</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National Institute of Standards and Technology (NIST)</w:t>
            </w:r>
          </w:p>
        </w:tc>
        <w:tc>
          <w:tcPr>
            <w:tcW w:type="dxa" w:w="6900"/>
            <w:tcMar>
              <w:top w:w="70" w:type="dxa"/>
              <w:start w:w="90" w:type="dxa"/>
              <w:bottom w:w="70" w:type="dxa"/>
              <w:end w:w="90" w:type="dxa"/>
            </w:tcMar>
            <w:vAlign w:val="center"/>
          </w:tcPr>
          <w:p>
            <w:pPr>
              <w:spacing w:after="0"/>
            </w:pPr>
            <w:r>
              <w:rPr>
                <w:rFonts w:ascii="Arial" w:hAnsi="Arial"/>
                <w:color w:val="1B1B1C"/>
                <w:sz w:val="16"/>
              </w:rPr>
              <w:t>A United States agency that publishes widely used risk, cybersecurity, privacy, AI, control and measurement guidance.</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North American Electric Reliability Corporation (NERC)</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The organization responsible for reliability standards for the North American bulk electric system.</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Network and Information Systems Directive 2 (NIS2)</w:t>
            </w:r>
          </w:p>
        </w:tc>
        <w:tc>
          <w:tcPr>
            <w:tcW w:type="dxa" w:w="6900"/>
            <w:tcMar>
              <w:top w:w="70" w:type="dxa"/>
              <w:start w:w="90" w:type="dxa"/>
              <w:bottom w:w="70" w:type="dxa"/>
              <w:end w:w="90" w:type="dxa"/>
            </w:tcMar>
            <w:vAlign w:val="center"/>
          </w:tcPr>
          <w:p>
            <w:pPr>
              <w:spacing w:after="0"/>
            </w:pPr>
            <w:r>
              <w:rPr>
                <w:rFonts w:ascii="Arial" w:hAnsi="Arial"/>
                <w:color w:val="1B1B1C"/>
                <w:sz w:val="16"/>
              </w:rPr>
              <w:t>A European Union cybersecurity directive that adds management and risk duties for important and essential sectors.</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Observability</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The ability to see the health, freshness, quality and failure state of data and pipelines.</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Open Digital Rights Language (ODRL)</w:t>
            </w:r>
          </w:p>
        </w:tc>
        <w:tc>
          <w:tcPr>
            <w:tcW w:type="dxa" w:w="6900"/>
            <w:tcMar>
              <w:top w:w="70" w:type="dxa"/>
              <w:start w:w="90" w:type="dxa"/>
              <w:bottom w:w="70" w:type="dxa"/>
              <w:end w:w="90" w:type="dxa"/>
            </w:tcMar>
            <w:vAlign w:val="center"/>
          </w:tcPr>
          <w:p>
            <w:pPr>
              <w:spacing w:after="0"/>
            </w:pPr>
            <w:r>
              <w:rPr>
                <w:rFonts w:ascii="Arial" w:hAnsi="Arial"/>
                <w:color w:val="1B1B1C"/>
                <w:sz w:val="16"/>
              </w:rPr>
              <w:t>A W3C language for expressing permissions, prohibitions, duties and conditions for data or digital resources.</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Open Geospatial Consortium (OGC)</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An international organization that develops standards for location, mapping, sensors and geospatial information.</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Open, shared or closed</w:t>
            </w:r>
          </w:p>
        </w:tc>
        <w:tc>
          <w:tcPr>
            <w:tcW w:type="dxa" w:w="6900"/>
            <w:tcMar>
              <w:top w:w="70" w:type="dxa"/>
              <w:start w:w="90" w:type="dxa"/>
              <w:bottom w:w="70" w:type="dxa"/>
              <w:end w:w="90" w:type="dxa"/>
            </w:tcMar>
            <w:vAlign w:val="center"/>
          </w:tcPr>
          <w:p>
            <w:pPr>
              <w:spacing w:after="0"/>
            </w:pPr>
            <w:r>
              <w:rPr>
                <w:rFonts w:ascii="Arial" w:hAnsi="Arial"/>
                <w:color w:val="1B1B1C"/>
                <w:sz w:val="16"/>
              </w:rPr>
              <w:t>A deliberate classification that balances access and value against privacy, security, commercial, quality and misuse risk.</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Petabyte</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A unit of digital information equal to 1,000 terabytes.</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OpenLineage</w:t>
            </w:r>
          </w:p>
        </w:tc>
        <w:tc>
          <w:tcPr>
            <w:tcW w:type="dxa" w:w="6900"/>
            <w:tcMar>
              <w:top w:w="70" w:type="dxa"/>
              <w:start w:w="90" w:type="dxa"/>
              <w:bottom w:w="70" w:type="dxa"/>
              <w:end w:w="90" w:type="dxa"/>
            </w:tcMar>
            <w:vAlign w:val="center"/>
          </w:tcPr>
          <w:p>
            <w:pPr>
              <w:spacing w:after="0"/>
            </w:pPr>
            <w:r>
              <w:rPr>
                <w:rFonts w:ascii="Arial" w:hAnsi="Arial"/>
                <w:color w:val="1B1B1C"/>
                <w:sz w:val="16"/>
              </w:rPr>
              <w:t>An open specification for recording how jobs, runs and datasets are connected in data processing.</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Open Security Controls Assessment Language (OSCAL)</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A NIST format for expressing security controls, implementation details, assessment plans and results in machine-readable form.</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Office of Management and Budget (OMB)</w:t>
            </w:r>
          </w:p>
        </w:tc>
        <w:tc>
          <w:tcPr>
            <w:tcW w:type="dxa" w:w="6900"/>
            <w:tcMar>
              <w:top w:w="70" w:type="dxa"/>
              <w:start w:w="90" w:type="dxa"/>
              <w:bottom w:w="70" w:type="dxa"/>
              <w:end w:w="90" w:type="dxa"/>
            </w:tcMar>
            <w:vAlign w:val="center"/>
          </w:tcPr>
          <w:p>
            <w:pPr>
              <w:spacing w:after="0"/>
            </w:pPr>
            <w:r>
              <w:rPr>
                <w:rFonts w:ascii="Arial" w:hAnsi="Arial"/>
                <w:color w:val="1B1B1C"/>
                <w:sz w:val="16"/>
              </w:rPr>
              <w:t>The United States federal office that issues management and budget policy, including federal data and AI memoranda.</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Operating system (OS)</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In this publication, an APAS product layer that joins governed data, rules, workflow, evidence and outcomes for a utility decision area. It does not mean a computer operating system.</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Operational technology (OT)</w:t>
            </w:r>
          </w:p>
        </w:tc>
        <w:tc>
          <w:tcPr>
            <w:tcW w:type="dxa" w:w="6900"/>
            <w:tcMar>
              <w:top w:w="70" w:type="dxa"/>
              <w:start w:w="90" w:type="dxa"/>
              <w:bottom w:w="70" w:type="dxa"/>
              <w:end w:w="90" w:type="dxa"/>
            </w:tcMar>
            <w:vAlign w:val="center"/>
          </w:tcPr>
          <w:p>
            <w:pPr>
              <w:spacing w:after="0"/>
            </w:pPr>
            <w:r>
              <w:rPr>
                <w:rFonts w:ascii="Arial" w:hAnsi="Arial"/>
                <w:color w:val="1B1B1C"/>
                <w:sz w:val="16"/>
              </w:rPr>
              <w:t>Hardware and software that monitor or control physical utility processes and equipment.</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Operational Twin</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A connected view of current physical state together with asset, work, environmental and operator context.</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Personally identifiable information (PII)</w:t>
            </w:r>
          </w:p>
        </w:tc>
        <w:tc>
          <w:tcPr>
            <w:tcW w:type="dxa" w:w="6900"/>
            <w:tcMar>
              <w:top w:w="70" w:type="dxa"/>
              <w:start w:w="90" w:type="dxa"/>
              <w:bottom w:w="70" w:type="dxa"/>
              <w:end w:w="90" w:type="dxa"/>
            </w:tcMar>
            <w:vAlign w:val="center"/>
          </w:tcPr>
          <w:p>
            <w:pPr>
              <w:spacing w:after="0"/>
            </w:pPr>
            <w:r>
              <w:rPr>
                <w:rFonts w:ascii="Arial" w:hAnsi="Arial"/>
                <w:color w:val="1B1B1C"/>
                <w:sz w:val="16"/>
              </w:rPr>
              <w:t>Information that identifies a person directly or can identify the person when combined with other information.</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Privacy impact assessment (PIA)</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A structured review of how a project or system collects, uses, shares, protects and retains personal data.</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Professional Engineer (P.E.)</w:t>
            </w:r>
          </w:p>
        </w:tc>
        <w:tc>
          <w:tcPr>
            <w:tcW w:type="dxa" w:w="6900"/>
            <w:tcMar>
              <w:top w:w="70" w:type="dxa"/>
              <w:start w:w="90" w:type="dxa"/>
              <w:bottom w:w="70" w:type="dxa"/>
              <w:end w:w="90" w:type="dxa"/>
            </w:tcMar>
            <w:vAlign w:val="center"/>
          </w:tcPr>
          <w:p>
            <w:pPr>
              <w:spacing w:after="0"/>
            </w:pPr>
            <w:r>
              <w:rPr>
                <w:rFonts w:ascii="Arial" w:hAnsi="Arial"/>
                <w:color w:val="1B1B1C"/>
                <w:sz w:val="16"/>
              </w:rPr>
              <w:t>A licensed engineering credential in the United States. Requirements and authority depend on the jurisdiction.</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Provenance Data Model (PROV)</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The W3C model that represents data or other entities, the activities that affected them and the people or systems responsible.</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Public Utilities Board (PUB)</w:t>
            </w:r>
          </w:p>
        </w:tc>
        <w:tc>
          <w:tcPr>
            <w:tcW w:type="dxa" w:w="6900"/>
            <w:tcMar>
              <w:top w:w="70" w:type="dxa"/>
              <w:start w:w="90" w:type="dxa"/>
              <w:bottom w:w="70" w:type="dxa"/>
              <w:end w:w="90" w:type="dxa"/>
            </w:tcMar>
            <w:vAlign w:val="center"/>
          </w:tcPr>
          <w:p>
            <w:pPr>
              <w:spacing w:after="0"/>
            </w:pPr>
            <w:r>
              <w:rPr>
                <w:rFonts w:ascii="Arial" w:hAnsi="Arial"/>
                <w:color w:val="1B1B1C"/>
                <w:sz w:val="16"/>
              </w:rPr>
              <w:t>Singapore's national water agency. PUB is the agency's current public name and originated from Public Utilities Board.</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Pump Operating System (Pump OS)</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The APAS application concept that connects pump state, condition, work, energy, operating rules, decisions and outcomes.</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Pipe Operating System (Pipe OS)</w:t>
            </w:r>
          </w:p>
        </w:tc>
        <w:tc>
          <w:tcPr>
            <w:tcW w:type="dxa" w:w="6900"/>
            <w:tcMar>
              <w:top w:w="70" w:type="dxa"/>
              <w:start w:w="90" w:type="dxa"/>
              <w:bottom w:w="70" w:type="dxa"/>
              <w:end w:w="90" w:type="dxa"/>
            </w:tcMar>
            <w:vAlign w:val="center"/>
          </w:tcPr>
          <w:p>
            <w:pPr>
              <w:spacing w:after="0"/>
            </w:pPr>
            <w:r>
              <w:rPr>
                <w:rFonts w:ascii="Arial" w:hAnsi="Arial"/>
                <w:color w:val="1B1B1C"/>
                <w:sz w:val="16"/>
              </w:rPr>
              <w:t>The APAS application concept that connects pipe identity, condition, flow, failure, customer consequence, work, renewal and outcomes.</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Regulatory Operating System (Reg OS)</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The APAS application concept that connects obligations, limits, authoritative data, calculations, approvals, filings, evidence and corrective action.</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Responsible, accountable, consulted and informed (RACI)</w:t>
            </w:r>
          </w:p>
        </w:tc>
        <w:tc>
          <w:tcPr>
            <w:tcW w:type="dxa" w:w="6900"/>
            <w:tcMar>
              <w:top w:w="70" w:type="dxa"/>
              <w:start w:w="90" w:type="dxa"/>
              <w:bottom w:w="70" w:type="dxa"/>
              <w:end w:w="90" w:type="dxa"/>
            </w:tcMar>
            <w:vAlign w:val="center"/>
          </w:tcPr>
          <w:p>
            <w:pPr>
              <w:spacing w:after="0"/>
            </w:pPr>
            <w:r>
              <w:rPr>
                <w:rFonts w:ascii="Arial" w:hAnsi="Arial"/>
                <w:color w:val="1B1B1C"/>
                <w:sz w:val="16"/>
              </w:rPr>
              <w:t>A role pattern used to clarify who does the work, who owns the result, who provides input and who must be kept informed.</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Resource Description Framework (RDF)</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A W3C model for representing data as identified things and relationships that machines can connect and interpret.</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Residual risk</w:t>
            </w:r>
          </w:p>
        </w:tc>
        <w:tc>
          <w:tcPr>
            <w:tcW w:type="dxa" w:w="6900"/>
            <w:tcMar>
              <w:top w:w="70" w:type="dxa"/>
              <w:start w:w="90" w:type="dxa"/>
              <w:bottom w:w="70" w:type="dxa"/>
              <w:end w:w="90" w:type="dxa"/>
            </w:tcMar>
            <w:vAlign w:val="center"/>
          </w:tcPr>
          <w:p>
            <w:pPr>
              <w:spacing w:after="0"/>
            </w:pPr>
            <w:r>
              <w:rPr>
                <w:rFonts w:ascii="Arial" w:hAnsi="Arial"/>
                <w:color w:val="1B1B1C"/>
                <w:sz w:val="16"/>
              </w:rPr>
              <w:t>Risk that remains after controls and is accepted, transferred, avoided or scheduled for more action.</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Risk Management Framework (RMF)</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A structured method for identifying risk, selecting controls, assessing results, authorizing use and monitoring change.</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Recovery point objective (RPO)</w:t>
            </w:r>
          </w:p>
        </w:tc>
        <w:tc>
          <w:tcPr>
            <w:tcW w:type="dxa" w:w="6900"/>
            <w:tcMar>
              <w:top w:w="70" w:type="dxa"/>
              <w:start w:w="90" w:type="dxa"/>
              <w:bottom w:w="70" w:type="dxa"/>
              <w:end w:w="90" w:type="dxa"/>
            </w:tcMar>
            <w:vAlign w:val="center"/>
          </w:tcPr>
          <w:p>
            <w:pPr>
              <w:spacing w:after="0"/>
            </w:pPr>
            <w:r>
              <w:rPr>
                <w:rFonts w:ascii="Arial" w:hAnsi="Arial"/>
                <w:color w:val="1B1B1C"/>
                <w:sz w:val="16"/>
              </w:rPr>
              <w:t>The maximum acceptable amount of data loss measured in time after a disruption.</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Recovery time objective (RTO)</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The target time for restoring a system, service or data product after a disruption.</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Shapes Constraint Language (SHACL)</w:t>
            </w:r>
          </w:p>
        </w:tc>
        <w:tc>
          <w:tcPr>
            <w:tcW w:type="dxa" w:w="6900"/>
            <w:tcMar>
              <w:top w:w="70" w:type="dxa"/>
              <w:start w:w="90" w:type="dxa"/>
              <w:bottom w:w="70" w:type="dxa"/>
              <w:end w:w="90" w:type="dxa"/>
            </w:tcMar>
            <w:vAlign w:val="center"/>
          </w:tcPr>
          <w:p>
            <w:pPr>
              <w:spacing w:after="0"/>
            </w:pPr>
            <w:r>
              <w:rPr>
                <w:rFonts w:ascii="Arial" w:hAnsi="Arial"/>
                <w:color w:val="1B1B1C"/>
                <w:sz w:val="16"/>
              </w:rPr>
              <w:t>A W3C language for testing whether graph data follows required structures and rules.</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Simple Knowledge Organization System (SKOS)</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A W3C model for controlled vocabularies such as taxonomies, thesauri and code lists.</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Sensor, Observation, Sample and Actuator (SOSA)</w:t>
            </w:r>
          </w:p>
        </w:tc>
        <w:tc>
          <w:tcPr>
            <w:tcW w:type="dxa" w:w="6900"/>
            <w:tcMar>
              <w:top w:w="70" w:type="dxa"/>
              <w:start w:w="90" w:type="dxa"/>
              <w:bottom w:w="70" w:type="dxa"/>
              <w:end w:w="90" w:type="dxa"/>
            </w:tcMar>
            <w:vAlign w:val="center"/>
          </w:tcPr>
          <w:p>
            <w:pPr>
              <w:spacing w:after="0"/>
            </w:pPr>
            <w:r>
              <w:rPr>
                <w:rFonts w:ascii="Arial" w:hAnsi="Arial"/>
                <w:color w:val="1B1B1C"/>
                <w:sz w:val="16"/>
              </w:rPr>
              <w:t>A lightweight W3C and OGC model for describing sensors, observations, samples, actuators and related activities.</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Semantic Sensor Network ontology (SSN)</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A W3C and OGC model that adds detailed system and deployment meaning to sensor and observation data.</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Source system</w:t>
            </w:r>
          </w:p>
        </w:tc>
        <w:tc>
          <w:tcPr>
            <w:tcW w:type="dxa" w:w="6900"/>
            <w:tcMar>
              <w:top w:w="70" w:type="dxa"/>
              <w:start w:w="90" w:type="dxa"/>
              <w:bottom w:w="70" w:type="dxa"/>
              <w:end w:w="90" w:type="dxa"/>
            </w:tcMar>
            <w:vAlign w:val="center"/>
          </w:tcPr>
          <w:p>
            <w:pPr>
              <w:spacing w:after="0"/>
            </w:pPr>
            <w:r>
              <w:rPr>
                <w:rFonts w:ascii="Arial" w:hAnsi="Arial"/>
                <w:color w:val="1B1B1C"/>
                <w:sz w:val="16"/>
              </w:rPr>
              <w:t>The system or record from which data is obtained. It is not automatically authoritative for every use.</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Supervisory control and data acquisition (SCADA)</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The industrial system used to monitor equipment and processes, collect operating data, issue alarms and support remote control.</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Tag</w:t>
            </w:r>
          </w:p>
        </w:tc>
        <w:tc>
          <w:tcPr>
            <w:tcW w:type="dxa" w:w="6900"/>
            <w:tcMar>
              <w:top w:w="70" w:type="dxa"/>
              <w:start w:w="90" w:type="dxa"/>
              <w:bottom w:w="70" w:type="dxa"/>
              <w:end w:w="90" w:type="dxa"/>
            </w:tcMar>
            <w:vAlign w:val="center"/>
          </w:tcPr>
          <w:p>
            <w:pPr>
              <w:spacing w:after="0"/>
            </w:pPr>
            <w:r>
              <w:rPr>
                <w:rFonts w:ascii="Arial" w:hAnsi="Arial"/>
                <w:color w:val="1B1B1C"/>
                <w:sz w:val="16"/>
              </w:rPr>
              <w:t>A named SCADA or historian point representing a measurement, status, command, alarm or calculated value.</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Terabyte</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A unit of digital information equal to 1,000 gigabytes.</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Traceability</w:t>
            </w:r>
          </w:p>
        </w:tc>
        <w:tc>
          <w:tcPr>
            <w:tcW w:type="dxa" w:w="6900"/>
            <w:tcMar>
              <w:top w:w="70" w:type="dxa"/>
              <w:start w:w="90" w:type="dxa"/>
              <w:bottom w:w="70" w:type="dxa"/>
              <w:end w:w="90" w:type="dxa"/>
            </w:tcMar>
            <w:vAlign w:val="center"/>
          </w:tcPr>
          <w:p>
            <w:pPr>
              <w:spacing w:after="0"/>
            </w:pPr>
            <w:r>
              <w:rPr>
                <w:rFonts w:ascii="Arial" w:hAnsi="Arial"/>
                <w:color w:val="1B1B1C"/>
                <w:sz w:val="16"/>
              </w:rPr>
              <w:t>The ability to follow a requirement, record or decision backward and forward through linked evidence.</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Transformation</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A change that improves how the utility decides, operates and learns, not only the completion of a task.</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World Wide Web Consortium (W3C)</w:t>
            </w:r>
          </w:p>
        </w:tc>
        <w:tc>
          <w:tcPr>
            <w:tcW w:type="dxa" w:w="6900"/>
            <w:tcMar>
              <w:top w:w="70" w:type="dxa"/>
              <w:start w:w="90" w:type="dxa"/>
              <w:bottom w:w="70" w:type="dxa"/>
              <w:end w:w="90" w:type="dxa"/>
            </w:tcMar>
            <w:vAlign w:val="center"/>
          </w:tcPr>
          <w:p>
            <w:pPr>
              <w:spacing w:after="0"/>
            </w:pPr>
            <w:r>
              <w:rPr>
                <w:rFonts w:ascii="Arial" w:hAnsi="Arial"/>
                <w:color w:val="1B1B1C"/>
                <w:sz w:val="16"/>
              </w:rPr>
              <w:t>The organization that develops open web standards, including standards for provenance, data catalogs, linked data, constraints and digital rights.</w:t>
            </w:r>
          </w:p>
        </w:tc>
      </w:tr>
      <w:tr>
        <w:trPr>
          <w:cantSplit/>
        </w:trPr>
        <w:tc>
          <w:tcPr>
            <w:tcW w:type="dxa" w:w="2400"/>
            <w:tcMar>
              <w:top w:w="70" w:type="dxa"/>
              <w:start w:w="90" w:type="dxa"/>
              <w:bottom w:w="70" w:type="dxa"/>
              <w:end w:w="90" w:type="dxa"/>
            </w:tcMar>
            <w:shd w:fill="F1EFE5"/>
            <w:vAlign w:val="center"/>
          </w:tcPr>
          <w:p>
            <w:pPr>
              <w:spacing w:after="0"/>
            </w:pPr>
            <w:r>
              <w:rPr>
                <w:rFonts w:ascii="Arial" w:hAnsi="Arial"/>
                <w:b/>
                <w:color w:val="0E2530"/>
                <w:sz w:val="16"/>
              </w:rPr>
              <w:t>Work order</w:t>
            </w:r>
          </w:p>
        </w:tc>
        <w:tc>
          <w:tcPr>
            <w:tcW w:type="dxa" w:w="6900"/>
            <w:tcMar>
              <w:top w:w="70" w:type="dxa"/>
              <w:start w:w="90" w:type="dxa"/>
              <w:bottom w:w="70" w:type="dxa"/>
              <w:end w:w="90" w:type="dxa"/>
            </w:tcMar>
            <w:shd w:fill="F1EFE5"/>
            <w:vAlign w:val="center"/>
          </w:tcPr>
          <w:p>
            <w:pPr>
              <w:spacing w:after="0"/>
            </w:pPr>
            <w:r>
              <w:rPr>
                <w:rFonts w:ascii="Arial" w:hAnsi="Arial"/>
                <w:color w:val="1B1B1C"/>
                <w:sz w:val="16"/>
              </w:rPr>
              <w:t>The controlled record used to request, plan, perform, close and review maintenance, inspection, repair or field work.</w:t>
            </w:r>
          </w:p>
        </w:tc>
      </w:tr>
      <w:tr>
        <w:trPr>
          <w:cantSplit/>
        </w:trPr>
        <w:tc>
          <w:tcPr>
            <w:tcW w:type="dxa" w:w="2400"/>
            <w:tcMar>
              <w:top w:w="70" w:type="dxa"/>
              <w:start w:w="90" w:type="dxa"/>
              <w:bottom w:w="70" w:type="dxa"/>
              <w:end w:w="90" w:type="dxa"/>
            </w:tcMar>
            <w:vAlign w:val="center"/>
          </w:tcPr>
          <w:p>
            <w:pPr>
              <w:spacing w:after="0"/>
            </w:pPr>
            <w:r>
              <w:rPr>
                <w:rFonts w:ascii="Arial" w:hAnsi="Arial"/>
                <w:b/>
                <w:color w:val="0E2530"/>
                <w:sz w:val="16"/>
              </w:rPr>
              <w:t>Zettabyte</w:t>
            </w:r>
          </w:p>
        </w:tc>
        <w:tc>
          <w:tcPr>
            <w:tcW w:type="dxa" w:w="6900"/>
            <w:tcMar>
              <w:top w:w="70" w:type="dxa"/>
              <w:start w:w="90" w:type="dxa"/>
              <w:bottom w:w="70" w:type="dxa"/>
              <w:end w:w="90" w:type="dxa"/>
            </w:tcMar>
            <w:vAlign w:val="center"/>
          </w:tcPr>
          <w:p>
            <w:pPr>
              <w:spacing w:after="0"/>
            </w:pPr>
            <w:r>
              <w:rPr>
                <w:rFonts w:ascii="Arial" w:hAnsi="Arial"/>
                <w:color w:val="1B1B1C"/>
                <w:sz w:val="16"/>
              </w:rPr>
              <w:t>A unit of digital information equal to 1,000 exabytes, 1 million petabytes or 1 billion terabytes.</w:t>
            </w:r>
          </w:p>
        </w:tc>
      </w:tr>
    </w:tbl>
    <w:p>
      <w:pPr>
        <w:pageBreakBefore/>
        <w:spacing w:after="100"/>
      </w:pPr>
      <w:r>
        <w:rPr>
          <w:rFonts w:ascii="Arial" w:hAnsi="Arial"/>
          <w:b/>
          <w:color w:val="2F7F9E"/>
          <w:sz w:val="17"/>
        </w:rPr>
        <w:t>APPLICATION PAPER</w:t>
      </w:r>
    </w:p>
    <w:p>
      <w:pPr>
        <w:pStyle w:val="Heading1"/>
      </w:pPr>
      <w:r>
        <w:t>Appendix D | Validation protocol, worked example and release gates</w:t>
      </w:r>
    </w:p>
    <w:p>
      <w:pPr>
        <w:pStyle w:val="Subtitle"/>
        <w:spacing w:after="280"/>
      </w:pPr>
      <w:r>
        <w:rPr>
          <w:color w:val="3C3B36"/>
          <w:sz w:val="25"/>
        </w:rPr>
        <w:t>Use the method without allowing a publication score to become an unsupported product, benchmark or assurance claim.</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820"/>
      </w:tblGrid>
      <w:tr>
        <w:tc>
          <w:tcPr>
            <w:tcW w:type="dxa" w:w="1500"/>
            <w:shd w:fill="E0A64A"/>
            <w:tcMar>
              <w:top w:w="0" w:type="dxa"/>
              <w:start w:w="0" w:type="dxa"/>
              <w:bottom w:w="0" w:type="dxa"/>
              <w:end w:w="0" w:type="dxa"/>
            </w:tcMar>
          </w:tcPr>
          <w:p>
            <w:pPr>
              <w:spacing w:after="0"/>
            </w:pPr>
            <w:r>
              <w:rPr>
                <w:sz w:val="4"/>
              </w:rPr>
              <w:t xml:space="preserve"> </w:t>
            </w:r>
          </w:p>
        </w:tc>
      </w:tr>
    </w:tbl>
    <w:p>
      <w:pPr>
        <w:spacing w:before="120" w:after="0"/>
        <w:jc w:val="center"/>
      </w:pPr>
      <w:r>
        <w:drawing>
          <wp:inline xmlns:a="http://schemas.openxmlformats.org/drawingml/2006/main" xmlns:pic="http://schemas.openxmlformats.org/drawingml/2006/picture">
            <wp:extent cx="6126480" cy="4016248"/>
            <wp:docPr id="25" name="Picture 25" title="Figure 21. Four release gates prevent one score from making four different claims" descr="Publication readiness, assessment-method validation, application security and operational readiness, and independent assurance are separate decisions. Passing one gate does not pass the others."/>
            <wp:cNvGraphicFramePr>
              <a:graphicFrameLocks noChangeAspect="1"/>
            </wp:cNvGraphicFramePr>
            <a:graphic>
              <a:graphicData uri="http://schemas.openxmlformats.org/drawingml/2006/picture">
                <pic:pic>
                  <pic:nvPicPr>
                    <pic:cNvPr id="0" name="21_release_gates.png"/>
                    <pic:cNvPicPr/>
                  </pic:nvPicPr>
                  <pic:blipFill>
                    <a:blip r:embed="rId265"/>
                    <a:stretch>
                      <a:fillRect/>
                    </a:stretch>
                  </pic:blipFill>
                  <pic:spPr>
                    <a:xfrm>
                      <a:off x="0" y="0"/>
                      <a:ext cx="6126480" cy="4016248"/>
                    </a:xfrm>
                    <a:prstGeom prst="rect"/>
                  </pic:spPr>
                </pic:pic>
              </a:graphicData>
            </a:graphic>
          </wp:inline>
        </w:drawing>
      </w:r>
    </w:p>
    <w:p>
      <w:pPr>
        <w:pStyle w:val="Caption"/>
        <w:jc w:val="left"/>
      </w:pPr>
      <w:r>
        <w:t>Figure 21. Four release gates prevent one score from making four different claims</w:t>
      </w:r>
    </w:p>
    <w:p>
      <w:pPr>
        <w:spacing w:after="40"/>
      </w:pPr>
      <w:r>
        <w:rPr>
          <w:b/>
          <w:color w:val="2F7F9E"/>
        </w:rPr>
        <w:t xml:space="preserve">What this shows. </w:t>
      </w:r>
      <w:r>
        <w:t>Publication readiness, assessment-method validation, application security and operational readiness, and independent assurance are separate decisions. Passing one gate does not pass the others.</w:t>
      </w:r>
    </w:p>
    <w:p>
      <w:pPr>
        <w:spacing w:after="180"/>
      </w:pPr>
      <w:r>
        <w:rPr>
          <w:rFonts w:ascii="Arial" w:hAnsi="Arial"/>
          <w:i/>
          <w:color w:val="7D766A"/>
          <w:sz w:val="15"/>
        </w:rPr>
        <w:t>Source: APAS AI release-governance model.</w:t>
      </w:r>
    </w:p>
    <w:p>
      <w:pPr>
        <w:pStyle w:val="Heading2"/>
      </w:pPr>
      <w:r>
        <w:t>Four separate release decisions</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2455"/>
        <w:gridCol w:w="2455"/>
        <w:gridCol w:w="2455"/>
        <w:gridCol w:w="2455"/>
      </w:tblGrid>
      <w:tr>
        <w:trPr>
          <w:tblHeader w:val="true"/>
          <w:cantSplit/>
        </w:trPr>
        <w:tc>
          <w:tcPr>
            <w:tcW w:type="dxa" w:w="1700"/>
            <w:tcMar>
              <w:top w:w="75" w:type="dxa"/>
              <w:start w:w="90" w:type="dxa"/>
              <w:bottom w:w="75" w:type="dxa"/>
              <w:end w:w="90" w:type="dxa"/>
            </w:tcMar>
            <w:shd w:fill="1B1B1C"/>
          </w:tcPr>
          <w:p>
            <w:pPr>
              <w:spacing w:after="0"/>
            </w:pPr>
            <w:r>
              <w:rPr>
                <w:rFonts w:ascii="Arial" w:hAnsi="Arial"/>
                <w:b/>
                <w:color w:val="FFFFFF"/>
                <w:sz w:val="14"/>
              </w:rPr>
              <w:t>Gate</w:t>
            </w:r>
          </w:p>
        </w:tc>
        <w:tc>
          <w:tcPr>
            <w:tcW w:type="dxa" w:w="2500"/>
            <w:tcMar>
              <w:top w:w="75" w:type="dxa"/>
              <w:start w:w="90" w:type="dxa"/>
              <w:bottom w:w="75" w:type="dxa"/>
              <w:end w:w="90" w:type="dxa"/>
            </w:tcMar>
            <w:shd w:fill="1B1B1C"/>
          </w:tcPr>
          <w:p>
            <w:pPr>
              <w:spacing w:after="0"/>
            </w:pPr>
            <w:r>
              <w:rPr>
                <w:rFonts w:ascii="Arial" w:hAnsi="Arial"/>
                <w:b/>
                <w:color w:val="FFFFFF"/>
                <w:sz w:val="14"/>
              </w:rPr>
              <w:t>Decision</w:t>
            </w:r>
          </w:p>
        </w:tc>
        <w:tc>
          <w:tcPr>
            <w:tcW w:type="dxa" w:w="3400"/>
            <w:tcMar>
              <w:top w:w="75" w:type="dxa"/>
              <w:start w:w="90" w:type="dxa"/>
              <w:bottom w:w="75" w:type="dxa"/>
              <w:end w:w="90" w:type="dxa"/>
            </w:tcMar>
            <w:shd w:fill="1B1B1C"/>
          </w:tcPr>
          <w:p>
            <w:pPr>
              <w:spacing w:after="0"/>
            </w:pPr>
            <w:r>
              <w:rPr>
                <w:rFonts w:ascii="Arial" w:hAnsi="Arial"/>
                <w:b/>
                <w:color w:val="FFFFFF"/>
                <w:sz w:val="14"/>
              </w:rPr>
              <w:t>Minimum evidence</w:t>
            </w:r>
          </w:p>
        </w:tc>
        <w:tc>
          <w:tcPr>
            <w:tcW w:type="dxa" w:w="1900"/>
            <w:tcMar>
              <w:top w:w="75" w:type="dxa"/>
              <w:start w:w="90" w:type="dxa"/>
              <w:bottom w:w="75" w:type="dxa"/>
              <w:end w:w="90" w:type="dxa"/>
            </w:tcMar>
            <w:shd w:fill="1B1B1C"/>
          </w:tcPr>
          <w:p>
            <w:pPr>
              <w:spacing w:after="0"/>
            </w:pPr>
            <w:r>
              <w:rPr>
                <w:rFonts w:ascii="Arial" w:hAnsi="Arial"/>
                <w:b/>
                <w:color w:val="FFFFFF"/>
                <w:sz w:val="14"/>
              </w:rPr>
              <w:t>Accountable approval</w:t>
            </w:r>
          </w:p>
        </w:tc>
      </w:tr>
      <w:tr>
        <w:trPr>
          <w:cantSplit/>
        </w:trPr>
        <w:tc>
          <w:tcPr>
            <w:tcW w:type="dxa" w:w="1700"/>
            <w:tcMar>
              <w:top w:w="70" w:type="dxa"/>
              <w:start w:w="90" w:type="dxa"/>
              <w:bottom w:w="70" w:type="dxa"/>
              <w:end w:w="90" w:type="dxa"/>
            </w:tcMar>
            <w:vAlign w:val="center"/>
          </w:tcPr>
          <w:p>
            <w:pPr>
              <w:spacing w:after="0"/>
            </w:pPr>
            <w:r>
              <w:rPr>
                <w:rFonts w:ascii="Arial" w:hAnsi="Arial"/>
                <w:b/>
                <w:color w:val="0E2530"/>
                <w:sz w:val="14"/>
              </w:rPr>
              <w:t>Publication readiness</w:t>
            </w:r>
          </w:p>
        </w:tc>
        <w:tc>
          <w:tcPr>
            <w:tcW w:type="dxa" w:w="2500"/>
            <w:tcMar>
              <w:top w:w="70" w:type="dxa"/>
              <w:start w:w="90" w:type="dxa"/>
              <w:bottom w:w="70" w:type="dxa"/>
              <w:end w:w="90" w:type="dxa"/>
            </w:tcMar>
            <w:vAlign w:val="center"/>
          </w:tcPr>
          <w:p>
            <w:pPr>
              <w:spacing w:after="0"/>
            </w:pPr>
            <w:r>
              <w:rPr>
                <w:rFonts w:ascii="Arial" w:hAnsi="Arial"/>
                <w:color w:val="1B1B1C"/>
                <w:sz w:val="14"/>
              </w:rPr>
              <w:t>May the paper be published with its stated scope and limits?</w:t>
            </w:r>
          </w:p>
        </w:tc>
        <w:tc>
          <w:tcPr>
            <w:tcW w:type="dxa" w:w="3400"/>
            <w:tcMar>
              <w:top w:w="70" w:type="dxa"/>
              <w:start w:w="90" w:type="dxa"/>
              <w:bottom w:w="70" w:type="dxa"/>
              <w:end w:w="90" w:type="dxa"/>
            </w:tcMar>
            <w:vAlign w:val="center"/>
          </w:tcPr>
          <w:p>
            <w:pPr>
              <w:spacing w:after="0"/>
            </w:pPr>
            <w:r>
              <w:rPr>
                <w:rFonts w:ascii="Arial" w:hAnsi="Arial"/>
                <w:color w:val="1B1B1C"/>
                <w:sz w:val="14"/>
              </w:rPr>
              <w:t>Verified sources, complete references, resolved production defects, accessibility review and change record.</w:t>
            </w:r>
          </w:p>
        </w:tc>
        <w:tc>
          <w:tcPr>
            <w:tcW w:type="dxa" w:w="1900"/>
            <w:tcMar>
              <w:top w:w="70" w:type="dxa"/>
              <w:start w:w="90" w:type="dxa"/>
              <w:bottom w:w="70" w:type="dxa"/>
              <w:end w:w="90" w:type="dxa"/>
            </w:tcMar>
            <w:vAlign w:val="center"/>
          </w:tcPr>
          <w:p>
            <w:pPr>
              <w:spacing w:after="0"/>
            </w:pPr>
            <w:r>
              <w:rPr>
                <w:rFonts w:ascii="Arial" w:hAnsi="Arial"/>
                <w:color w:val="1B1B1C"/>
                <w:sz w:val="14"/>
              </w:rPr>
              <w:t>Publication owner and editorial reviewer.</w:t>
            </w:r>
          </w:p>
        </w:tc>
      </w:tr>
      <w:tr>
        <w:trPr>
          <w:cantSplit/>
        </w:trPr>
        <w:tc>
          <w:tcPr>
            <w:tcW w:type="dxa" w:w="1700"/>
            <w:tcMar>
              <w:top w:w="70" w:type="dxa"/>
              <w:start w:w="90" w:type="dxa"/>
              <w:bottom w:w="70" w:type="dxa"/>
              <w:end w:w="90" w:type="dxa"/>
            </w:tcMar>
            <w:shd w:fill="F1EFE5"/>
            <w:vAlign w:val="center"/>
          </w:tcPr>
          <w:p>
            <w:pPr>
              <w:spacing w:after="0"/>
            </w:pPr>
            <w:r>
              <w:rPr>
                <w:rFonts w:ascii="Arial" w:hAnsi="Arial"/>
                <w:b/>
                <w:color w:val="0E2530"/>
                <w:sz w:val="14"/>
              </w:rPr>
              <w:t>Assessment-method validation</w:t>
            </w:r>
          </w:p>
        </w:tc>
        <w:tc>
          <w:tcPr>
            <w:tcW w:type="dxa" w:w="2500"/>
            <w:tcMar>
              <w:top w:w="70" w:type="dxa"/>
              <w:start w:w="90" w:type="dxa"/>
              <w:bottom w:w="70" w:type="dxa"/>
              <w:end w:w="90" w:type="dxa"/>
            </w:tcMar>
            <w:shd w:fill="F1EFE5"/>
            <w:vAlign w:val="center"/>
          </w:tcPr>
          <w:p>
            <w:pPr>
              <w:spacing w:after="0"/>
            </w:pPr>
            <w:r>
              <w:rPr>
                <w:rFonts w:ascii="Arial" w:hAnsi="Arial"/>
                <w:color w:val="1B1B1C"/>
                <w:sz w:val="14"/>
              </w:rPr>
              <w:t>May scores be compared, benchmarked or used without facilitation?</w:t>
            </w:r>
          </w:p>
        </w:tc>
        <w:tc>
          <w:tcPr>
            <w:tcW w:type="dxa" w:w="3400"/>
            <w:tcMar>
              <w:top w:w="70" w:type="dxa"/>
              <w:start w:w="90" w:type="dxa"/>
              <w:bottom w:w="70" w:type="dxa"/>
              <w:end w:w="90" w:type="dxa"/>
            </w:tcMar>
            <w:shd w:fill="F1EFE5"/>
            <w:vAlign w:val="center"/>
          </w:tcPr>
          <w:p>
            <w:pPr>
              <w:spacing w:after="0"/>
            </w:pPr>
            <w:r>
              <w:rPr>
                <w:rFonts w:ascii="Arial" w:hAnsi="Arial"/>
                <w:color w:val="1B1B1C"/>
                <w:sz w:val="14"/>
              </w:rPr>
              <w:t>Diverse pilots, scoring calibration, inter-rater reliability, sensitivity tests, utility overlays and worked examples.</w:t>
            </w:r>
          </w:p>
        </w:tc>
        <w:tc>
          <w:tcPr>
            <w:tcW w:type="dxa" w:w="1900"/>
            <w:tcMar>
              <w:top w:w="70" w:type="dxa"/>
              <w:start w:w="90" w:type="dxa"/>
              <w:bottom w:w="70" w:type="dxa"/>
              <w:end w:w="90" w:type="dxa"/>
            </w:tcMar>
            <w:shd w:fill="F1EFE5"/>
            <w:vAlign w:val="center"/>
          </w:tcPr>
          <w:p>
            <w:pPr>
              <w:spacing w:after="0"/>
            </w:pPr>
            <w:r>
              <w:rPr>
                <w:rFonts w:ascii="Arial" w:hAnsi="Arial"/>
                <w:color w:val="1B1B1C"/>
                <w:sz w:val="14"/>
              </w:rPr>
              <w:t>Method owner with independent technical challenge.</w:t>
            </w:r>
          </w:p>
        </w:tc>
      </w:tr>
      <w:tr>
        <w:trPr>
          <w:cantSplit/>
        </w:trPr>
        <w:tc>
          <w:tcPr>
            <w:tcW w:type="dxa" w:w="1700"/>
            <w:tcMar>
              <w:top w:w="70" w:type="dxa"/>
              <w:start w:w="90" w:type="dxa"/>
              <w:bottom w:w="70" w:type="dxa"/>
              <w:end w:w="90" w:type="dxa"/>
            </w:tcMar>
            <w:vAlign w:val="center"/>
          </w:tcPr>
          <w:p>
            <w:pPr>
              <w:spacing w:after="0"/>
            </w:pPr>
            <w:r>
              <w:rPr>
                <w:rFonts w:ascii="Arial" w:hAnsi="Arial"/>
                <w:b/>
                <w:color w:val="0E2530"/>
                <w:sz w:val="14"/>
              </w:rPr>
              <w:t>Application readiness</w:t>
            </w:r>
          </w:p>
        </w:tc>
        <w:tc>
          <w:tcPr>
            <w:tcW w:type="dxa" w:w="2500"/>
            <w:tcMar>
              <w:top w:w="70" w:type="dxa"/>
              <w:start w:w="90" w:type="dxa"/>
              <w:bottom w:w="70" w:type="dxa"/>
              <w:end w:w="90" w:type="dxa"/>
            </w:tcMar>
            <w:vAlign w:val="center"/>
          </w:tcPr>
          <w:p>
            <w:pPr>
              <w:spacing w:after="0"/>
            </w:pPr>
            <w:r>
              <w:rPr>
                <w:rFonts w:ascii="Arial" w:hAnsi="Arial"/>
                <w:color w:val="1B1B1C"/>
                <w:sz w:val="14"/>
              </w:rPr>
              <w:t>May the product accept utility evidence or connect to utility systems?</w:t>
            </w:r>
          </w:p>
        </w:tc>
        <w:tc>
          <w:tcPr>
            <w:tcW w:type="dxa" w:w="3400"/>
            <w:tcMar>
              <w:top w:w="70" w:type="dxa"/>
              <w:start w:w="90" w:type="dxa"/>
              <w:bottom w:w="70" w:type="dxa"/>
              <w:end w:w="90" w:type="dxa"/>
            </w:tcMar>
            <w:vAlign w:val="center"/>
          </w:tcPr>
          <w:p>
            <w:pPr>
              <w:spacing w:after="0"/>
            </w:pPr>
            <w:r>
              <w:rPr>
                <w:rFonts w:ascii="Arial" w:hAnsi="Arial"/>
                <w:color w:val="1B1B1C"/>
                <w:sz w:val="14"/>
              </w:rPr>
              <w:t>Threat model, privacy assessment, records and residency design, supplier controls, safe integration boundary, incident plan and user testing.</w:t>
            </w:r>
          </w:p>
        </w:tc>
        <w:tc>
          <w:tcPr>
            <w:tcW w:type="dxa" w:w="1900"/>
            <w:tcMar>
              <w:top w:w="70" w:type="dxa"/>
              <w:start w:w="90" w:type="dxa"/>
              <w:bottom w:w="70" w:type="dxa"/>
              <w:end w:w="90" w:type="dxa"/>
            </w:tcMar>
            <w:vAlign w:val="center"/>
          </w:tcPr>
          <w:p>
            <w:pPr>
              <w:spacing w:after="0"/>
            </w:pPr>
            <w:r>
              <w:rPr>
                <w:rFonts w:ascii="Arial" w:hAnsi="Arial"/>
                <w:color w:val="1B1B1C"/>
                <w:sz w:val="14"/>
              </w:rPr>
              <w:t>Product, security, privacy, records and utility-operations owners.</w:t>
            </w:r>
          </w:p>
        </w:tc>
      </w:tr>
      <w:tr>
        <w:trPr>
          <w:cantSplit/>
        </w:trPr>
        <w:tc>
          <w:tcPr>
            <w:tcW w:type="dxa" w:w="1700"/>
            <w:tcMar>
              <w:top w:w="70" w:type="dxa"/>
              <w:start w:w="90" w:type="dxa"/>
              <w:bottom w:w="70" w:type="dxa"/>
              <w:end w:w="90" w:type="dxa"/>
            </w:tcMar>
            <w:shd w:fill="F1EFE5"/>
            <w:vAlign w:val="center"/>
          </w:tcPr>
          <w:p>
            <w:pPr>
              <w:spacing w:after="0"/>
            </w:pPr>
            <w:r>
              <w:rPr>
                <w:rFonts w:ascii="Arial" w:hAnsi="Arial"/>
                <w:b/>
                <w:color w:val="0E2530"/>
                <w:sz w:val="14"/>
              </w:rPr>
              <w:t>Independent assurance</w:t>
            </w:r>
          </w:p>
        </w:tc>
        <w:tc>
          <w:tcPr>
            <w:tcW w:type="dxa" w:w="2500"/>
            <w:tcMar>
              <w:top w:w="70" w:type="dxa"/>
              <w:start w:w="90" w:type="dxa"/>
              <w:bottom w:w="70" w:type="dxa"/>
              <w:end w:w="90" w:type="dxa"/>
            </w:tcMar>
            <w:shd w:fill="F1EFE5"/>
            <w:vAlign w:val="center"/>
          </w:tcPr>
          <w:p>
            <w:pPr>
              <w:spacing w:after="0"/>
            </w:pPr>
            <w:r>
              <w:rPr>
                <w:rFonts w:ascii="Arial" w:hAnsi="Arial"/>
                <w:color w:val="1B1B1C"/>
                <w:sz w:val="14"/>
              </w:rPr>
              <w:t>May APAS issue certification, compliance or assurance conclusions?</w:t>
            </w:r>
          </w:p>
        </w:tc>
        <w:tc>
          <w:tcPr>
            <w:tcW w:type="dxa" w:w="3400"/>
            <w:tcMar>
              <w:top w:w="70" w:type="dxa"/>
              <w:start w:w="90" w:type="dxa"/>
              <w:bottom w:w="70" w:type="dxa"/>
              <w:end w:w="90" w:type="dxa"/>
            </w:tcMar>
            <w:shd w:fill="F1EFE5"/>
            <w:vAlign w:val="center"/>
          </w:tcPr>
          <w:p>
            <w:pPr>
              <w:spacing w:after="0"/>
            </w:pPr>
            <w:r>
              <w:rPr>
                <w:rFonts w:ascii="Arial" w:hAnsi="Arial"/>
                <w:color w:val="1B1B1C"/>
                <w:sz w:val="14"/>
              </w:rPr>
              <w:t>Defined criteria, competence, independence, sampling, evidence retention, quality controls and external review authority.</w:t>
            </w:r>
          </w:p>
        </w:tc>
        <w:tc>
          <w:tcPr>
            <w:tcW w:type="dxa" w:w="1900"/>
            <w:tcMar>
              <w:top w:w="70" w:type="dxa"/>
              <w:start w:w="90" w:type="dxa"/>
              <w:bottom w:w="70" w:type="dxa"/>
              <w:end w:w="90" w:type="dxa"/>
            </w:tcMar>
            <w:shd w:fill="F1EFE5"/>
            <w:vAlign w:val="center"/>
          </w:tcPr>
          <w:p>
            <w:pPr>
              <w:spacing w:after="0"/>
            </w:pPr>
            <w:r>
              <w:rPr>
                <w:rFonts w:ascii="Arial" w:hAnsi="Arial"/>
                <w:color w:val="1B1B1C"/>
                <w:sz w:val="14"/>
              </w:rPr>
              <w:t>Qualified independent assurance authority.</w:t>
            </w:r>
          </w:p>
        </w:tc>
      </w:tr>
    </w:tbl>
    <w:p>
      <w:pPr>
        <w:spacing w:after="0"/>
      </w:pPr>
    </w:p>
    <w:tbl>
      <w:tblPr>
        <w:tblW w:type="auto" w:w="0"/>
        <w:jc w:val="center"/>
        <w:tblLayout w:type="fixed"/>
        <w:tblLook w:firstColumn="1" w:firstRow="1" w:lastColumn="0" w:lastRow="0" w:noHBand="0" w:noVBand="1" w:val="04A0"/>
        <w:tblBorders>
          <w:top w:val="single" w:sz="10" w:space="0" w:color="E0A64A"/>
          <w:left w:val="single" w:sz="10" w:space="0" w:color="E0A64A"/>
          <w:bottom w:val="single" w:sz="10" w:space="0" w:color="E0A64A"/>
          <w:right w:val="single" w:sz="10" w:space="0" w:color="E0A64A"/>
          <w:insideH w:val="single" w:sz="10" w:space="0" w:color="E0A64A"/>
          <w:insideV w:val="single" w:sz="10" w:space="0" w:color="E0A64A"/>
        </w:tblBorders>
      </w:tblPr>
      <w:tblGrid>
        <w:gridCol w:w="9820"/>
      </w:tblGrid>
      <w:tr>
        <w:trPr>
          <w:cantSplit/>
        </w:trPr>
        <w:tc>
          <w:tcPr>
            <w:tcW w:type="dxa" w:w="9820"/>
            <w:shd w:fill="1B1B1C"/>
            <w:tcMar>
              <w:top w:w="140" w:type="dxa"/>
              <w:start w:w="170" w:type="dxa"/>
              <w:bottom w:w="140" w:type="dxa"/>
              <w:end w:w="170" w:type="dxa"/>
            </w:tcMar>
          </w:tcPr>
          <w:p>
            <w:pPr>
              <w:spacing w:after="80"/>
            </w:pPr>
            <w:r>
              <w:rPr>
                <w:rFonts w:ascii="Arial" w:hAnsi="Arial"/>
                <w:b/>
                <w:color w:val="E0A64A"/>
                <w:sz w:val="20"/>
              </w:rPr>
              <w:t>Release rule</w:t>
            </w:r>
          </w:p>
          <w:p>
            <w:pPr>
              <w:spacing w:after="0"/>
            </w:pPr>
            <w:r>
              <w:rPr>
                <w:rFonts w:ascii="Arial" w:hAnsi="Arial"/>
                <w:color w:val="FFFFFF"/>
                <w:sz w:val="20"/>
              </w:rPr>
              <w:t>A pass at the publication gate does not pass the method, application or assurance gates. No average score can override a failed safety, privacy, legal, evidence or independence condition.</w:t>
            </w:r>
          </w:p>
        </w:tc>
      </w:tr>
    </w:tbl>
    <w:p>
      <w:pPr>
        <w:spacing w:after="0"/>
      </w:pPr>
    </w:p>
    <w:p>
      <w:pPr>
        <w:pStyle w:val="Heading2"/>
      </w:pPr>
      <w:r>
        <w:t>Utility-type overlays</w:t>
      </w:r>
    </w:p>
    <w:p>
      <w:r>
        <w:t>The 60 core criteria remain stable, but the critical data, consequence and required evidence must change by utility context. The overlay does not create a separate governance system. It changes the decision samples, operating risks and evidence depth used to test the common system.</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3273"/>
        <w:gridCol w:w="3273"/>
        <w:gridCol w:w="3273"/>
      </w:tblGrid>
      <w:tr>
        <w:trPr>
          <w:tblHeader w:val="true"/>
          <w:cantSplit/>
        </w:trPr>
        <w:tc>
          <w:tcPr>
            <w:tcW w:type="dxa" w:w="1700"/>
            <w:tcMar>
              <w:top w:w="75" w:type="dxa"/>
              <w:start w:w="90" w:type="dxa"/>
              <w:bottom w:w="75" w:type="dxa"/>
              <w:end w:w="90" w:type="dxa"/>
            </w:tcMar>
            <w:shd w:fill="1B1B1C"/>
          </w:tcPr>
          <w:p>
            <w:pPr>
              <w:spacing w:after="0"/>
            </w:pPr>
            <w:r>
              <w:rPr>
                <w:rFonts w:ascii="Arial" w:hAnsi="Arial"/>
                <w:b/>
                <w:color w:val="FFFFFF"/>
                <w:sz w:val="15"/>
              </w:rPr>
              <w:t>Overlay</w:t>
            </w:r>
          </w:p>
        </w:tc>
        <w:tc>
          <w:tcPr>
            <w:tcW w:type="dxa" w:w="3300"/>
            <w:tcMar>
              <w:top w:w="75" w:type="dxa"/>
              <w:start w:w="90" w:type="dxa"/>
              <w:bottom w:w="75" w:type="dxa"/>
              <w:end w:w="90" w:type="dxa"/>
            </w:tcMar>
            <w:shd w:fill="1B1B1C"/>
          </w:tcPr>
          <w:p>
            <w:pPr>
              <w:spacing w:after="0"/>
            </w:pPr>
            <w:r>
              <w:rPr>
                <w:rFonts w:ascii="Arial" w:hAnsi="Arial"/>
                <w:b/>
                <w:color w:val="FFFFFF"/>
                <w:sz w:val="15"/>
              </w:rPr>
              <w:t>Priority decisions</w:t>
            </w:r>
          </w:p>
        </w:tc>
        <w:tc>
          <w:tcPr>
            <w:tcW w:type="dxa" w:w="4500"/>
            <w:tcMar>
              <w:top w:w="75" w:type="dxa"/>
              <w:start w:w="90" w:type="dxa"/>
              <w:bottom w:w="75" w:type="dxa"/>
              <w:end w:w="90" w:type="dxa"/>
            </w:tcMar>
            <w:shd w:fill="1B1B1C"/>
          </w:tcPr>
          <w:p>
            <w:pPr>
              <w:spacing w:after="0"/>
            </w:pPr>
            <w:r>
              <w:rPr>
                <w:rFonts w:ascii="Arial" w:hAnsi="Arial"/>
                <w:b/>
                <w:color w:val="FFFFFF"/>
                <w:sz w:val="15"/>
              </w:rPr>
              <w:t>Critical data and evidence</w:t>
            </w:r>
          </w:p>
        </w:tc>
      </w:tr>
      <w:tr>
        <w:trPr>
          <w:cantSplit/>
        </w:trPr>
        <w:tc>
          <w:tcPr>
            <w:tcW w:type="dxa" w:w="1700"/>
            <w:tcMar>
              <w:top w:w="70" w:type="dxa"/>
              <w:start w:w="90" w:type="dxa"/>
              <w:bottom w:w="70" w:type="dxa"/>
              <w:end w:w="90" w:type="dxa"/>
            </w:tcMar>
            <w:vAlign w:val="center"/>
          </w:tcPr>
          <w:p>
            <w:pPr>
              <w:spacing w:after="0"/>
            </w:pPr>
            <w:r>
              <w:rPr>
                <w:rFonts w:ascii="Arial" w:hAnsi="Arial"/>
                <w:b/>
                <w:color w:val="0E2530"/>
                <w:sz w:val="15"/>
              </w:rPr>
              <w:t>Drinking water</w:t>
            </w:r>
          </w:p>
        </w:tc>
        <w:tc>
          <w:tcPr>
            <w:tcW w:type="dxa" w:w="3300"/>
            <w:tcMar>
              <w:top w:w="70" w:type="dxa"/>
              <w:start w:w="90" w:type="dxa"/>
              <w:bottom w:w="70" w:type="dxa"/>
              <w:end w:w="90" w:type="dxa"/>
            </w:tcMar>
            <w:vAlign w:val="center"/>
          </w:tcPr>
          <w:p>
            <w:pPr>
              <w:spacing w:after="0"/>
            </w:pPr>
            <w:r>
              <w:rPr>
                <w:rFonts w:ascii="Arial" w:hAnsi="Arial"/>
                <w:color w:val="1B1B1C"/>
                <w:sz w:val="15"/>
              </w:rPr>
              <w:t>Treatment release, pressure, water quality, source protection and customer notice.</w:t>
            </w:r>
          </w:p>
        </w:tc>
        <w:tc>
          <w:tcPr>
            <w:tcW w:type="dxa" w:w="4500"/>
            <w:tcMar>
              <w:top w:w="70" w:type="dxa"/>
              <w:start w:w="90" w:type="dxa"/>
              <w:bottom w:w="70" w:type="dxa"/>
              <w:end w:w="90" w:type="dxa"/>
            </w:tcMar>
            <w:vAlign w:val="center"/>
          </w:tcPr>
          <w:p>
            <w:pPr>
              <w:spacing w:after="0"/>
            </w:pPr>
            <w:r>
              <w:rPr>
                <w:rFonts w:ascii="Arial" w:hAnsi="Arial"/>
                <w:color w:val="1B1B1C"/>
                <w:sz w:val="15"/>
              </w:rPr>
              <w:t>SCADA and historian context; laboratory custody and method; distribution model; asset condition; permit limits; operator authorization.</w:t>
            </w:r>
          </w:p>
        </w:tc>
      </w:tr>
      <w:tr>
        <w:trPr>
          <w:cantSplit/>
        </w:trPr>
        <w:tc>
          <w:tcPr>
            <w:tcW w:type="dxa" w:w="1700"/>
            <w:tcMar>
              <w:top w:w="70" w:type="dxa"/>
              <w:start w:w="90" w:type="dxa"/>
              <w:bottom w:w="70" w:type="dxa"/>
              <w:end w:w="90" w:type="dxa"/>
            </w:tcMar>
            <w:shd w:fill="F1EFE5"/>
            <w:vAlign w:val="center"/>
          </w:tcPr>
          <w:p>
            <w:pPr>
              <w:spacing w:after="0"/>
            </w:pPr>
            <w:r>
              <w:rPr>
                <w:rFonts w:ascii="Arial" w:hAnsi="Arial"/>
                <w:b/>
                <w:color w:val="0E2530"/>
                <w:sz w:val="15"/>
              </w:rPr>
              <w:t>Wastewater and stormwater</w:t>
            </w:r>
          </w:p>
        </w:tc>
        <w:tc>
          <w:tcPr>
            <w:tcW w:type="dxa" w:w="3300"/>
            <w:tcMar>
              <w:top w:w="70" w:type="dxa"/>
              <w:start w:w="90" w:type="dxa"/>
              <w:bottom w:w="70" w:type="dxa"/>
              <w:end w:w="90" w:type="dxa"/>
            </w:tcMar>
            <w:shd w:fill="F1EFE5"/>
            <w:vAlign w:val="center"/>
          </w:tcPr>
          <w:p>
            <w:pPr>
              <w:spacing w:after="0"/>
            </w:pPr>
            <w:r>
              <w:rPr>
                <w:rFonts w:ascii="Arial" w:hAnsi="Arial"/>
                <w:color w:val="1B1B1C"/>
                <w:sz w:val="15"/>
              </w:rPr>
              <w:t>Overflow response, wet-weather operation, collection risk, treatment performance and discharge reporting.</w:t>
            </w:r>
          </w:p>
        </w:tc>
        <w:tc>
          <w:tcPr>
            <w:tcW w:type="dxa" w:w="4500"/>
            <w:tcMar>
              <w:top w:w="70" w:type="dxa"/>
              <w:start w:w="90" w:type="dxa"/>
              <w:bottom w:w="70" w:type="dxa"/>
              <w:end w:w="90" w:type="dxa"/>
            </w:tcMar>
            <w:shd w:fill="F1EFE5"/>
            <w:vAlign w:val="center"/>
          </w:tcPr>
          <w:p>
            <w:pPr>
              <w:spacing w:after="0"/>
            </w:pPr>
            <w:r>
              <w:rPr>
                <w:rFonts w:ascii="Arial" w:hAnsi="Arial"/>
                <w:color w:val="1B1B1C"/>
                <w:sz w:val="15"/>
              </w:rPr>
              <w:t>Rainfall; levels and flows; pump state; sewer model; blockage and FOG work; event timeline; consent or permit evidence.</w:t>
            </w:r>
          </w:p>
        </w:tc>
      </w:tr>
      <w:tr>
        <w:trPr>
          <w:cantSplit/>
        </w:trPr>
        <w:tc>
          <w:tcPr>
            <w:tcW w:type="dxa" w:w="1700"/>
            <w:tcMar>
              <w:top w:w="70" w:type="dxa"/>
              <w:start w:w="90" w:type="dxa"/>
              <w:bottom w:w="70" w:type="dxa"/>
              <w:end w:w="90" w:type="dxa"/>
            </w:tcMar>
            <w:vAlign w:val="center"/>
          </w:tcPr>
          <w:p>
            <w:pPr>
              <w:spacing w:after="0"/>
            </w:pPr>
            <w:r>
              <w:rPr>
                <w:rFonts w:ascii="Arial" w:hAnsi="Arial"/>
                <w:b/>
                <w:color w:val="0E2530"/>
                <w:sz w:val="15"/>
              </w:rPr>
              <w:t>Electric</w:t>
            </w:r>
          </w:p>
        </w:tc>
        <w:tc>
          <w:tcPr>
            <w:tcW w:type="dxa" w:w="3300"/>
            <w:tcMar>
              <w:top w:w="70" w:type="dxa"/>
              <w:start w:w="90" w:type="dxa"/>
              <w:bottom w:w="70" w:type="dxa"/>
              <w:end w:w="90" w:type="dxa"/>
            </w:tcMar>
            <w:vAlign w:val="center"/>
          </w:tcPr>
          <w:p>
            <w:pPr>
              <w:spacing w:after="0"/>
            </w:pPr>
            <w:r>
              <w:rPr>
                <w:rFonts w:ascii="Arial" w:hAnsi="Arial"/>
                <w:color w:val="1B1B1C"/>
                <w:sz w:val="15"/>
              </w:rPr>
              <w:t>Switching, outage restoration, load and voltage control, asset health and reliability reporting.</w:t>
            </w:r>
          </w:p>
        </w:tc>
        <w:tc>
          <w:tcPr>
            <w:tcW w:type="dxa" w:w="4500"/>
            <w:tcMar>
              <w:top w:w="70" w:type="dxa"/>
              <w:start w:w="90" w:type="dxa"/>
              <w:bottom w:w="70" w:type="dxa"/>
              <w:end w:w="90" w:type="dxa"/>
            </w:tcMar>
            <w:vAlign w:val="center"/>
          </w:tcPr>
          <w:p>
            <w:pPr>
              <w:spacing w:after="0"/>
            </w:pPr>
            <w:r>
              <w:rPr>
                <w:rFonts w:ascii="Arial" w:hAnsi="Arial"/>
                <w:color w:val="1B1B1C"/>
                <w:sz w:val="15"/>
              </w:rPr>
              <w:t>Network model; telemetry; protection settings; outage and work records; asset hierarchy; NERC applicability; operator and control evidence.</w:t>
            </w:r>
          </w:p>
        </w:tc>
      </w:tr>
      <w:tr>
        <w:trPr>
          <w:cantSplit/>
        </w:trPr>
        <w:tc>
          <w:tcPr>
            <w:tcW w:type="dxa" w:w="1700"/>
            <w:tcMar>
              <w:top w:w="70" w:type="dxa"/>
              <w:start w:w="90" w:type="dxa"/>
              <w:bottom w:w="70" w:type="dxa"/>
              <w:end w:w="90" w:type="dxa"/>
            </w:tcMar>
            <w:shd w:fill="F1EFE5"/>
            <w:vAlign w:val="center"/>
          </w:tcPr>
          <w:p>
            <w:pPr>
              <w:spacing w:after="0"/>
            </w:pPr>
            <w:r>
              <w:rPr>
                <w:rFonts w:ascii="Arial" w:hAnsi="Arial"/>
                <w:b/>
                <w:color w:val="0E2530"/>
                <w:sz w:val="15"/>
              </w:rPr>
              <w:t>Multi-utility</w:t>
            </w:r>
          </w:p>
        </w:tc>
        <w:tc>
          <w:tcPr>
            <w:tcW w:type="dxa" w:w="3300"/>
            <w:tcMar>
              <w:top w:w="70" w:type="dxa"/>
              <w:start w:w="90" w:type="dxa"/>
              <w:bottom w:w="70" w:type="dxa"/>
              <w:end w:w="90" w:type="dxa"/>
            </w:tcMar>
            <w:shd w:fill="F1EFE5"/>
            <w:vAlign w:val="center"/>
          </w:tcPr>
          <w:p>
            <w:pPr>
              <w:spacing w:after="0"/>
            </w:pPr>
            <w:r>
              <w:rPr>
                <w:rFonts w:ascii="Arial" w:hAnsi="Arial"/>
                <w:color w:val="1B1B1C"/>
                <w:sz w:val="15"/>
              </w:rPr>
              <w:t>Cross-service customer, emergency, capital, cyber and shared-infrastructure decisions.</w:t>
            </w:r>
          </w:p>
        </w:tc>
        <w:tc>
          <w:tcPr>
            <w:tcW w:type="dxa" w:w="4500"/>
            <w:tcMar>
              <w:top w:w="70" w:type="dxa"/>
              <w:start w:w="90" w:type="dxa"/>
              <w:bottom w:w="70" w:type="dxa"/>
              <w:end w:w="90" w:type="dxa"/>
            </w:tcMar>
            <w:shd w:fill="F1EFE5"/>
            <w:vAlign w:val="center"/>
          </w:tcPr>
          <w:p>
            <w:pPr>
              <w:spacing w:after="0"/>
            </w:pPr>
            <w:r>
              <w:rPr>
                <w:rFonts w:ascii="Arial" w:hAnsi="Arial"/>
                <w:color w:val="1B1B1C"/>
                <w:sz w:val="15"/>
              </w:rPr>
              <w:t>Common asset and location identity; service boundaries; shared suppliers; access segregation; coordinated incident and records evidence.</w:t>
            </w:r>
          </w:p>
        </w:tc>
      </w:tr>
    </w:tbl>
    <w:p>
      <w:pPr>
        <w:spacing w:after="0"/>
      </w:pPr>
    </w:p>
    <w:p>
      <w:pPr>
        <w:pStyle w:val="Heading2"/>
      </w:pPr>
      <w:r>
        <w:t>Worked assessment example with missing and conflicting evidence</w:t>
      </w:r>
    </w:p>
    <w:p>
      <w:r>
        <w:t>Example decision: a wet-weather overflow response. The assessment begins with an asserted maturity of Level 4 because a dashboard, procedure and monthly review exist. The evidence sample shows that one SCADA tag lacks a governed unit, rainfall time is offset by one hour, the spreadsheet transformation has no version record, and operator approval is not linked to the regulatory response.</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2455"/>
        <w:gridCol w:w="2455"/>
        <w:gridCol w:w="2455"/>
        <w:gridCol w:w="2455"/>
      </w:tblGrid>
      <w:tr>
        <w:trPr>
          <w:tblHeader w:val="true"/>
          <w:cantSplit/>
        </w:trPr>
        <w:tc>
          <w:tcPr>
            <w:tcW w:type="dxa" w:w="1500"/>
            <w:tcMar>
              <w:top w:w="75" w:type="dxa"/>
              <w:start w:w="90" w:type="dxa"/>
              <w:bottom w:w="75" w:type="dxa"/>
              <w:end w:w="90" w:type="dxa"/>
            </w:tcMar>
            <w:shd w:fill="1B1B1C"/>
          </w:tcPr>
          <w:p>
            <w:pPr>
              <w:spacing w:after="0"/>
            </w:pPr>
            <w:r>
              <w:rPr>
                <w:rFonts w:ascii="Arial" w:hAnsi="Arial"/>
                <w:b/>
                <w:color w:val="FFFFFF"/>
                <w:sz w:val="15"/>
              </w:rPr>
              <w:t>Measure</w:t>
            </w:r>
          </w:p>
        </w:tc>
        <w:tc>
          <w:tcPr>
            <w:tcW w:type="dxa" w:w="1800"/>
            <w:tcMar>
              <w:top w:w="75" w:type="dxa"/>
              <w:start w:w="90" w:type="dxa"/>
              <w:bottom w:w="75" w:type="dxa"/>
              <w:end w:w="90" w:type="dxa"/>
            </w:tcMar>
            <w:shd w:fill="1B1B1C"/>
          </w:tcPr>
          <w:p>
            <w:pPr>
              <w:spacing w:after="0"/>
            </w:pPr>
            <w:r>
              <w:rPr>
                <w:rFonts w:ascii="Arial" w:hAnsi="Arial"/>
                <w:b/>
                <w:color w:val="FFFFFF"/>
                <w:sz w:val="15"/>
              </w:rPr>
              <w:t>Initial answer</w:t>
            </w:r>
          </w:p>
        </w:tc>
        <w:tc>
          <w:tcPr>
            <w:tcW w:type="dxa" w:w="3100"/>
            <w:tcMar>
              <w:top w:w="75" w:type="dxa"/>
              <w:start w:w="90" w:type="dxa"/>
              <w:bottom w:w="75" w:type="dxa"/>
              <w:end w:w="90" w:type="dxa"/>
            </w:tcMar>
            <w:shd w:fill="1B1B1C"/>
          </w:tcPr>
          <w:p>
            <w:pPr>
              <w:spacing w:after="0"/>
            </w:pPr>
            <w:r>
              <w:rPr>
                <w:rFonts w:ascii="Arial" w:hAnsi="Arial"/>
                <w:b/>
                <w:color w:val="FFFFFF"/>
                <w:sz w:val="15"/>
              </w:rPr>
              <w:t>Evidence result</w:t>
            </w:r>
          </w:p>
        </w:tc>
        <w:tc>
          <w:tcPr>
            <w:tcW w:type="dxa" w:w="3100"/>
            <w:tcMar>
              <w:top w:w="75" w:type="dxa"/>
              <w:start w:w="90" w:type="dxa"/>
              <w:bottom w:w="75" w:type="dxa"/>
              <w:end w:w="90" w:type="dxa"/>
            </w:tcMar>
            <w:shd w:fill="1B1B1C"/>
          </w:tcPr>
          <w:p>
            <w:pPr>
              <w:spacing w:after="0"/>
            </w:pPr>
            <w:r>
              <w:rPr>
                <w:rFonts w:ascii="Arial" w:hAnsi="Arial"/>
                <w:b/>
                <w:color w:val="FFFFFF"/>
                <w:sz w:val="15"/>
              </w:rPr>
              <w:t>Recorded outcome</w:t>
            </w:r>
          </w:p>
        </w:tc>
      </w:tr>
      <w:tr>
        <w:trPr>
          <w:cantSplit/>
        </w:trPr>
        <w:tc>
          <w:tcPr>
            <w:tcW w:type="dxa" w:w="1500"/>
            <w:tcMar>
              <w:top w:w="70" w:type="dxa"/>
              <w:start w:w="90" w:type="dxa"/>
              <w:bottom w:w="70" w:type="dxa"/>
              <w:end w:w="90" w:type="dxa"/>
            </w:tcMar>
            <w:vAlign w:val="center"/>
          </w:tcPr>
          <w:p>
            <w:pPr>
              <w:spacing w:after="0"/>
            </w:pPr>
            <w:r>
              <w:rPr>
                <w:rFonts w:ascii="Arial" w:hAnsi="Arial"/>
                <w:b/>
                <w:color w:val="0E2530"/>
                <w:sz w:val="15"/>
              </w:rPr>
              <w:t>Maturity</w:t>
            </w:r>
          </w:p>
        </w:tc>
        <w:tc>
          <w:tcPr>
            <w:tcW w:type="dxa" w:w="1800"/>
            <w:tcMar>
              <w:top w:w="70" w:type="dxa"/>
              <w:start w:w="90" w:type="dxa"/>
              <w:bottom w:w="70" w:type="dxa"/>
              <w:end w:w="90" w:type="dxa"/>
            </w:tcMar>
            <w:vAlign w:val="center"/>
          </w:tcPr>
          <w:p>
            <w:pPr>
              <w:spacing w:after="0"/>
            </w:pPr>
            <w:r>
              <w:rPr>
                <w:rFonts w:ascii="Arial" w:hAnsi="Arial"/>
                <w:color w:val="1B1B1C"/>
                <w:sz w:val="15"/>
              </w:rPr>
              <w:t>4, measured</w:t>
            </w:r>
          </w:p>
        </w:tc>
        <w:tc>
          <w:tcPr>
            <w:tcW w:type="dxa" w:w="3100"/>
            <w:tcMar>
              <w:top w:w="70" w:type="dxa"/>
              <w:start w:w="90" w:type="dxa"/>
              <w:bottom w:w="70" w:type="dxa"/>
              <w:end w:w="90" w:type="dxa"/>
            </w:tcMar>
            <w:vAlign w:val="center"/>
          </w:tcPr>
          <w:p>
            <w:pPr>
              <w:spacing w:after="0"/>
            </w:pPr>
            <w:r>
              <w:rPr>
                <w:rFonts w:ascii="Arial" w:hAnsi="Arial"/>
                <w:color w:val="1B1B1C"/>
                <w:sz w:val="15"/>
              </w:rPr>
              <w:t>The process operates, but critical handoffs are not controlled.</w:t>
            </w:r>
          </w:p>
        </w:tc>
        <w:tc>
          <w:tcPr>
            <w:tcW w:type="dxa" w:w="3100"/>
            <w:tcMar>
              <w:top w:w="70" w:type="dxa"/>
              <w:start w:w="90" w:type="dxa"/>
              <w:bottom w:w="70" w:type="dxa"/>
              <w:end w:w="90" w:type="dxa"/>
            </w:tcMar>
            <w:vAlign w:val="center"/>
          </w:tcPr>
          <w:p>
            <w:pPr>
              <w:spacing w:after="0"/>
            </w:pPr>
            <w:r>
              <w:rPr>
                <w:rFonts w:ascii="Arial" w:hAnsi="Arial"/>
                <w:color w:val="1B1B1C"/>
                <w:sz w:val="15"/>
              </w:rPr>
              <w:t>2, defined. A score cannot exceed Level 2 until recurring evidence supports operation.</w:t>
            </w:r>
          </w:p>
        </w:tc>
      </w:tr>
      <w:tr>
        <w:trPr>
          <w:cantSplit/>
        </w:trPr>
        <w:tc>
          <w:tcPr>
            <w:tcW w:type="dxa" w:w="1500"/>
            <w:tcMar>
              <w:top w:w="70" w:type="dxa"/>
              <w:start w:w="90" w:type="dxa"/>
              <w:bottom w:w="70" w:type="dxa"/>
              <w:end w:w="90" w:type="dxa"/>
            </w:tcMar>
            <w:shd w:fill="F1EFE5"/>
            <w:vAlign w:val="center"/>
          </w:tcPr>
          <w:p>
            <w:pPr>
              <w:spacing w:after="0"/>
            </w:pPr>
            <w:r>
              <w:rPr>
                <w:rFonts w:ascii="Arial" w:hAnsi="Arial"/>
                <w:b/>
                <w:color w:val="0E2530"/>
                <w:sz w:val="15"/>
              </w:rPr>
              <w:t>Evidence confidence</w:t>
            </w:r>
          </w:p>
        </w:tc>
        <w:tc>
          <w:tcPr>
            <w:tcW w:type="dxa" w:w="1800"/>
            <w:tcMar>
              <w:top w:w="70" w:type="dxa"/>
              <w:start w:w="90" w:type="dxa"/>
              <w:bottom w:w="70" w:type="dxa"/>
              <w:end w:w="90" w:type="dxa"/>
            </w:tcMar>
            <w:shd w:fill="F1EFE5"/>
            <w:vAlign w:val="center"/>
          </w:tcPr>
          <w:p>
            <w:pPr>
              <w:spacing w:after="0"/>
            </w:pPr>
            <w:r>
              <w:rPr>
                <w:rFonts w:ascii="Arial" w:hAnsi="Arial"/>
                <w:color w:val="1B1B1C"/>
                <w:sz w:val="15"/>
              </w:rPr>
              <w:t>3, operating sample</w:t>
            </w:r>
          </w:p>
        </w:tc>
        <w:tc>
          <w:tcPr>
            <w:tcW w:type="dxa" w:w="3100"/>
            <w:tcMar>
              <w:top w:w="70" w:type="dxa"/>
              <w:start w:w="90" w:type="dxa"/>
              <w:bottom w:w="70" w:type="dxa"/>
              <w:end w:w="90" w:type="dxa"/>
            </w:tcMar>
            <w:shd w:fill="F1EFE5"/>
            <w:vAlign w:val="center"/>
          </w:tcPr>
          <w:p>
            <w:pPr>
              <w:spacing w:after="0"/>
            </w:pPr>
            <w:r>
              <w:rPr>
                <w:rFonts w:ascii="Arial" w:hAnsi="Arial"/>
                <w:color w:val="1B1B1C"/>
                <w:sz w:val="15"/>
              </w:rPr>
              <w:t>Two sources verified, two partial, one missing and one conflicting.</w:t>
            </w:r>
          </w:p>
        </w:tc>
        <w:tc>
          <w:tcPr>
            <w:tcW w:type="dxa" w:w="3100"/>
            <w:tcMar>
              <w:top w:w="70" w:type="dxa"/>
              <w:start w:w="90" w:type="dxa"/>
              <w:bottom w:w="70" w:type="dxa"/>
              <w:end w:w="90" w:type="dxa"/>
            </w:tcMar>
            <w:shd w:fill="F1EFE5"/>
            <w:vAlign w:val="center"/>
          </w:tcPr>
          <w:p>
            <w:pPr>
              <w:spacing w:after="0"/>
            </w:pPr>
            <w:r>
              <w:rPr>
                <w:rFonts w:ascii="Arial" w:hAnsi="Arial"/>
                <w:color w:val="1B1B1C"/>
                <w:sz w:val="15"/>
              </w:rPr>
              <w:t>2, documented. Conflict and missing approval remain visible.</w:t>
            </w:r>
          </w:p>
        </w:tc>
      </w:tr>
      <w:tr>
        <w:trPr>
          <w:cantSplit/>
        </w:trPr>
        <w:tc>
          <w:tcPr>
            <w:tcW w:type="dxa" w:w="1500"/>
            <w:tcMar>
              <w:top w:w="70" w:type="dxa"/>
              <w:start w:w="90" w:type="dxa"/>
              <w:bottom w:w="70" w:type="dxa"/>
              <w:end w:w="90" w:type="dxa"/>
            </w:tcMar>
            <w:vAlign w:val="center"/>
          </w:tcPr>
          <w:p>
            <w:pPr>
              <w:spacing w:after="0"/>
            </w:pPr>
            <w:r>
              <w:rPr>
                <w:rFonts w:ascii="Arial" w:hAnsi="Arial"/>
                <w:b/>
                <w:color w:val="0E2530"/>
                <w:sz w:val="15"/>
              </w:rPr>
              <w:t>Consequence</w:t>
            </w:r>
          </w:p>
        </w:tc>
        <w:tc>
          <w:tcPr>
            <w:tcW w:type="dxa" w:w="1800"/>
            <w:tcMar>
              <w:top w:w="70" w:type="dxa"/>
              <w:start w:w="90" w:type="dxa"/>
              <w:bottom w:w="70" w:type="dxa"/>
              <w:end w:w="90" w:type="dxa"/>
            </w:tcMar>
            <w:vAlign w:val="center"/>
          </w:tcPr>
          <w:p>
            <w:pPr>
              <w:spacing w:after="0"/>
            </w:pPr>
            <w:r>
              <w:rPr>
                <w:rFonts w:ascii="Arial" w:hAnsi="Arial"/>
                <w:color w:val="1B1B1C"/>
                <w:sz w:val="15"/>
              </w:rPr>
              <w:t>5</w:t>
            </w:r>
          </w:p>
        </w:tc>
        <w:tc>
          <w:tcPr>
            <w:tcW w:type="dxa" w:w="3100"/>
            <w:tcMar>
              <w:top w:w="70" w:type="dxa"/>
              <w:start w:w="90" w:type="dxa"/>
              <w:bottom w:w="70" w:type="dxa"/>
              <w:end w:w="90" w:type="dxa"/>
            </w:tcMar>
            <w:vAlign w:val="center"/>
          </w:tcPr>
          <w:p>
            <w:pPr>
              <w:spacing w:after="0"/>
            </w:pPr>
            <w:r>
              <w:rPr>
                <w:rFonts w:ascii="Arial" w:hAnsi="Arial"/>
                <w:color w:val="1B1B1C"/>
                <w:sz w:val="15"/>
              </w:rPr>
              <w:t>Potential service, environmental, regulatory and public-trust harm.</w:t>
            </w:r>
          </w:p>
        </w:tc>
        <w:tc>
          <w:tcPr>
            <w:tcW w:type="dxa" w:w="3100"/>
            <w:tcMar>
              <w:top w:w="70" w:type="dxa"/>
              <w:start w:w="90" w:type="dxa"/>
              <w:bottom w:w="70" w:type="dxa"/>
              <w:end w:w="90" w:type="dxa"/>
            </w:tcMar>
            <w:vAlign w:val="center"/>
          </w:tcPr>
          <w:p>
            <w:pPr>
              <w:spacing w:after="0"/>
            </w:pPr>
            <w:r>
              <w:rPr>
                <w:rFonts w:ascii="Arial" w:hAnsi="Arial"/>
                <w:color w:val="1B1B1C"/>
                <w:sz w:val="15"/>
              </w:rPr>
              <w:t>5. Consequence is not reduced by a lower maturity score.</w:t>
            </w:r>
          </w:p>
        </w:tc>
      </w:tr>
      <w:tr>
        <w:trPr>
          <w:cantSplit/>
        </w:trPr>
        <w:tc>
          <w:tcPr>
            <w:tcW w:type="dxa" w:w="1500"/>
            <w:tcMar>
              <w:top w:w="70" w:type="dxa"/>
              <w:start w:w="90" w:type="dxa"/>
              <w:bottom w:w="70" w:type="dxa"/>
              <w:end w:w="90" w:type="dxa"/>
            </w:tcMar>
            <w:shd w:fill="F1EFE5"/>
            <w:vAlign w:val="center"/>
          </w:tcPr>
          <w:p>
            <w:pPr>
              <w:spacing w:after="0"/>
            </w:pPr>
            <w:r>
              <w:rPr>
                <w:rFonts w:ascii="Arial" w:hAnsi="Arial"/>
                <w:b/>
                <w:color w:val="0E2530"/>
                <w:sz w:val="15"/>
              </w:rPr>
              <w:t>Urgency</w:t>
            </w:r>
          </w:p>
        </w:tc>
        <w:tc>
          <w:tcPr>
            <w:tcW w:type="dxa" w:w="1800"/>
            <w:tcMar>
              <w:top w:w="70" w:type="dxa"/>
              <w:start w:w="90" w:type="dxa"/>
              <w:bottom w:w="70" w:type="dxa"/>
              <w:end w:w="90" w:type="dxa"/>
            </w:tcMar>
            <w:shd w:fill="F1EFE5"/>
            <w:vAlign w:val="center"/>
          </w:tcPr>
          <w:p>
            <w:pPr>
              <w:spacing w:after="0"/>
            </w:pPr>
            <w:r>
              <w:rPr>
                <w:rFonts w:ascii="Arial" w:hAnsi="Arial"/>
                <w:color w:val="1B1B1C"/>
                <w:sz w:val="15"/>
              </w:rPr>
              <w:t>4</w:t>
            </w:r>
          </w:p>
        </w:tc>
        <w:tc>
          <w:tcPr>
            <w:tcW w:type="dxa" w:w="3100"/>
            <w:tcMar>
              <w:top w:w="70" w:type="dxa"/>
              <w:start w:w="90" w:type="dxa"/>
              <w:bottom w:w="70" w:type="dxa"/>
              <w:end w:w="90" w:type="dxa"/>
            </w:tcMar>
            <w:shd w:fill="F1EFE5"/>
            <w:vAlign w:val="center"/>
          </w:tcPr>
          <w:p>
            <w:pPr>
              <w:spacing w:after="0"/>
            </w:pPr>
            <w:r>
              <w:rPr>
                <w:rFonts w:ascii="Arial" w:hAnsi="Arial"/>
                <w:color w:val="1B1B1C"/>
                <w:sz w:val="15"/>
              </w:rPr>
              <w:t>Wet-weather season begins in 45 days.</w:t>
            </w:r>
          </w:p>
        </w:tc>
        <w:tc>
          <w:tcPr>
            <w:tcW w:type="dxa" w:w="3100"/>
            <w:tcMar>
              <w:top w:w="70" w:type="dxa"/>
              <w:start w:w="90" w:type="dxa"/>
              <w:bottom w:w="70" w:type="dxa"/>
              <w:end w:w="90" w:type="dxa"/>
            </w:tcMar>
            <w:shd w:fill="F1EFE5"/>
            <w:vAlign w:val="center"/>
          </w:tcPr>
          <w:p>
            <w:pPr>
              <w:spacing w:after="0"/>
            </w:pPr>
            <w:r>
              <w:rPr>
                <w:rFonts w:ascii="Arial" w:hAnsi="Arial"/>
                <w:color w:val="1B1B1C"/>
                <w:sz w:val="15"/>
              </w:rPr>
              <w:t>4. Fund immediate control correction and a retest.</w:t>
            </w:r>
          </w:p>
        </w:tc>
      </w:tr>
      <w:tr>
        <w:trPr>
          <w:cantSplit/>
        </w:trPr>
        <w:tc>
          <w:tcPr>
            <w:tcW w:type="dxa" w:w="1500"/>
            <w:tcMar>
              <w:top w:w="70" w:type="dxa"/>
              <w:start w:w="90" w:type="dxa"/>
              <w:bottom w:w="70" w:type="dxa"/>
              <w:end w:w="90" w:type="dxa"/>
            </w:tcMar>
            <w:vAlign w:val="center"/>
          </w:tcPr>
          <w:p>
            <w:pPr>
              <w:spacing w:after="0"/>
            </w:pPr>
            <w:r>
              <w:rPr>
                <w:rFonts w:ascii="Arial" w:hAnsi="Arial"/>
                <w:b/>
                <w:color w:val="0E2530"/>
                <w:sz w:val="15"/>
              </w:rPr>
              <w:t>Finding</w:t>
            </w:r>
          </w:p>
        </w:tc>
        <w:tc>
          <w:tcPr>
            <w:tcW w:type="dxa" w:w="1800"/>
            <w:tcMar>
              <w:top w:w="70" w:type="dxa"/>
              <w:start w:w="90" w:type="dxa"/>
              <w:bottom w:w="70" w:type="dxa"/>
              <w:end w:w="90" w:type="dxa"/>
            </w:tcMar>
            <w:vAlign w:val="center"/>
          </w:tcPr>
          <w:p>
            <w:pPr>
              <w:spacing w:after="0"/>
            </w:pPr>
            <w:r>
              <w:rPr>
                <w:rFonts w:ascii="Arial" w:hAnsi="Arial"/>
                <w:color w:val="1B1B1C"/>
                <w:sz w:val="15"/>
              </w:rPr>
              <w:t>None</w:t>
            </w:r>
          </w:p>
        </w:tc>
        <w:tc>
          <w:tcPr>
            <w:tcW w:type="dxa" w:w="3100"/>
            <w:tcMar>
              <w:top w:w="70" w:type="dxa"/>
              <w:start w:w="90" w:type="dxa"/>
              <w:bottom w:w="70" w:type="dxa"/>
              <w:end w:w="90" w:type="dxa"/>
            </w:tcMar>
            <w:vAlign w:val="center"/>
          </w:tcPr>
          <w:p>
            <w:pPr>
              <w:spacing w:after="0"/>
            </w:pPr>
            <w:r>
              <w:rPr>
                <w:rFonts w:ascii="Arial" w:hAnsi="Arial"/>
                <w:color w:val="1B1B1C"/>
                <w:sz w:val="15"/>
              </w:rPr>
              <w:t>Authoritative time, transformation version and approval evidence are incomplete.</w:t>
            </w:r>
          </w:p>
        </w:tc>
        <w:tc>
          <w:tcPr>
            <w:tcW w:type="dxa" w:w="3100"/>
            <w:tcMar>
              <w:top w:w="70" w:type="dxa"/>
              <w:start w:w="90" w:type="dxa"/>
              <w:bottom w:w="70" w:type="dxa"/>
              <w:end w:w="90" w:type="dxa"/>
            </w:tcMar>
            <w:vAlign w:val="center"/>
          </w:tcPr>
          <w:p>
            <w:pPr>
              <w:spacing w:after="0"/>
            </w:pPr>
            <w:r>
              <w:rPr>
                <w:rFonts w:ascii="Arial" w:hAnsi="Arial"/>
                <w:color w:val="1B1B1C"/>
                <w:sz w:val="15"/>
              </w:rPr>
              <w:t>High priority. Owner, action, date and closure proof required.</w:t>
            </w:r>
          </w:p>
        </w:tc>
      </w:tr>
    </w:tbl>
    <w:p>
      <w:pPr>
        <w:spacing w:after="0"/>
      </w:pPr>
    </w:p>
    <w:tbl>
      <w:tblPr>
        <w:tblW w:type="auto" w:w="0"/>
        <w:jc w:val="center"/>
        <w:tblLayout w:type="fixed"/>
        <w:tblLook w:firstColumn="1" w:firstRow="1" w:lastColumn="0" w:lastRow="0" w:noHBand="0" w:noVBand="1" w:val="04A0"/>
        <w:tblBorders>
          <w:top w:val="single" w:sz="10" w:space="0" w:color="C75C5C"/>
          <w:left w:val="single" w:sz="10" w:space="0" w:color="C75C5C"/>
          <w:bottom w:val="single" w:sz="10" w:space="0" w:color="C75C5C"/>
          <w:right w:val="single" w:sz="10" w:space="0" w:color="C75C5C"/>
          <w:insideH w:val="single" w:sz="10" w:space="0" w:color="C75C5C"/>
          <w:insideV w:val="single" w:sz="10" w:space="0" w:color="C75C5C"/>
        </w:tblBorders>
      </w:tblPr>
      <w:tblGrid>
        <w:gridCol w:w="9820"/>
      </w:tblGrid>
      <w:tr>
        <w:trPr>
          <w:cantSplit/>
        </w:trPr>
        <w:tc>
          <w:tcPr>
            <w:tcW w:type="dxa" w:w="9820"/>
            <w:shd w:fill="FDEEEE"/>
            <w:tcMar>
              <w:top w:w="140" w:type="dxa"/>
              <w:start w:w="170" w:type="dxa"/>
              <w:bottom w:w="140" w:type="dxa"/>
              <w:end w:w="170" w:type="dxa"/>
            </w:tcMar>
          </w:tcPr>
          <w:p>
            <w:pPr>
              <w:spacing w:after="80"/>
            </w:pPr>
            <w:r>
              <w:rPr>
                <w:rFonts w:ascii="Arial" w:hAnsi="Arial"/>
                <w:b/>
                <w:color w:val="C75C5C"/>
                <w:sz w:val="20"/>
              </w:rPr>
              <w:t>Missing-evidence rule</w:t>
            </w:r>
          </w:p>
          <w:p>
            <w:pPr>
              <w:spacing w:after="0"/>
            </w:pPr>
            <w:r>
              <w:rPr>
                <w:rFonts w:ascii="Arial" w:hAnsi="Arial"/>
                <w:color w:val="1B1B1C"/>
                <w:sz w:val="20"/>
              </w:rPr>
              <w:t>Absence is recorded as absence. It is not converted into a neutral answer. Conflicting evidence lowers confidence, triggers adjudication and remains linked to the score until resolved.</w:t>
            </w:r>
          </w:p>
        </w:tc>
      </w:tr>
    </w:tbl>
    <w:p>
      <w:pPr>
        <w:spacing w:after="0"/>
      </w:pPr>
    </w:p>
    <w:p>
      <w:pPr>
        <w:pStyle w:val="Heading2"/>
      </w:pPr>
      <w:r>
        <w:t>Scoring sensitivity test</w:t>
      </w:r>
    </w:p>
    <w:p>
      <w:r>
        <w:t>Sensitivity testing asks whether a reasonable change in weights or evidence confidence changes the roadmap. If a priority disappears only because one weight changed, the recommendation is unstable and must be challenged before funding.</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1964"/>
        <w:gridCol w:w="1964"/>
        <w:gridCol w:w="1964"/>
        <w:gridCol w:w="1964"/>
        <w:gridCol w:w="1964"/>
      </w:tblGrid>
      <w:tr>
        <w:trPr>
          <w:tblHeader w:val="true"/>
          <w:cantSplit/>
        </w:trPr>
        <w:tc>
          <w:tcPr>
            <w:tcW w:type="dxa" w:w="1700"/>
            <w:tcMar>
              <w:top w:w="75" w:type="dxa"/>
              <w:start w:w="90" w:type="dxa"/>
              <w:bottom w:w="75" w:type="dxa"/>
              <w:end w:w="90" w:type="dxa"/>
            </w:tcMar>
            <w:shd w:fill="1B1B1C"/>
          </w:tcPr>
          <w:p>
            <w:pPr>
              <w:spacing w:after="0"/>
            </w:pPr>
            <w:r>
              <w:rPr>
                <w:rFonts w:ascii="Arial" w:hAnsi="Arial"/>
                <w:b/>
                <w:color w:val="FFFFFF"/>
                <w:sz w:val="15"/>
              </w:rPr>
              <w:t>Scenario</w:t>
            </w:r>
          </w:p>
        </w:tc>
        <w:tc>
          <w:tcPr>
            <w:tcW w:type="dxa" w:w="1500"/>
            <w:tcMar>
              <w:top w:w="75" w:type="dxa"/>
              <w:start w:w="90" w:type="dxa"/>
              <w:bottom w:w="75" w:type="dxa"/>
              <w:end w:w="90" w:type="dxa"/>
            </w:tcMar>
            <w:shd w:fill="1B1B1C"/>
          </w:tcPr>
          <w:p>
            <w:pPr>
              <w:spacing w:after="0"/>
            </w:pPr>
            <w:r>
              <w:rPr>
                <w:rFonts w:ascii="Arial" w:hAnsi="Arial"/>
                <w:b/>
                <w:color w:val="FFFFFF"/>
                <w:sz w:val="15"/>
              </w:rPr>
              <w:t>Maturity weight</w:t>
            </w:r>
          </w:p>
        </w:tc>
        <w:tc>
          <w:tcPr>
            <w:tcW w:type="dxa" w:w="1500"/>
            <w:tcMar>
              <w:top w:w="75" w:type="dxa"/>
              <w:start w:w="90" w:type="dxa"/>
              <w:bottom w:w="75" w:type="dxa"/>
              <w:end w:w="90" w:type="dxa"/>
            </w:tcMar>
            <w:shd w:fill="1B1B1C"/>
          </w:tcPr>
          <w:p>
            <w:pPr>
              <w:spacing w:after="0"/>
            </w:pPr>
            <w:r>
              <w:rPr>
                <w:rFonts w:ascii="Arial" w:hAnsi="Arial"/>
                <w:b/>
                <w:color w:val="FFFFFF"/>
                <w:sz w:val="15"/>
              </w:rPr>
              <w:t>Evidence weight</w:t>
            </w:r>
          </w:p>
        </w:tc>
        <w:tc>
          <w:tcPr>
            <w:tcW w:type="dxa" w:w="2200"/>
            <w:tcMar>
              <w:top w:w="75" w:type="dxa"/>
              <w:start w:w="90" w:type="dxa"/>
              <w:bottom w:w="75" w:type="dxa"/>
              <w:end w:w="90" w:type="dxa"/>
            </w:tcMar>
            <w:shd w:fill="1B1B1C"/>
          </w:tcPr>
          <w:p>
            <w:pPr>
              <w:spacing w:after="0"/>
            </w:pPr>
            <w:r>
              <w:rPr>
                <w:rFonts w:ascii="Arial" w:hAnsi="Arial"/>
                <w:b/>
                <w:color w:val="FFFFFF"/>
                <w:sz w:val="15"/>
              </w:rPr>
              <w:t>Result</w:t>
            </w:r>
          </w:p>
        </w:tc>
        <w:tc>
          <w:tcPr>
            <w:tcW w:type="dxa" w:w="2600"/>
            <w:tcMar>
              <w:top w:w="75" w:type="dxa"/>
              <w:start w:w="90" w:type="dxa"/>
              <w:bottom w:w="75" w:type="dxa"/>
              <w:end w:w="90" w:type="dxa"/>
            </w:tcMar>
            <w:shd w:fill="1B1B1C"/>
          </w:tcPr>
          <w:p>
            <w:pPr>
              <w:spacing w:after="0"/>
            </w:pPr>
            <w:r>
              <w:rPr>
                <w:rFonts w:ascii="Arial" w:hAnsi="Arial"/>
                <w:b/>
                <w:color w:val="FFFFFF"/>
                <w:sz w:val="15"/>
              </w:rPr>
              <w:t>Management interpretation</w:t>
            </w:r>
          </w:p>
        </w:tc>
      </w:tr>
      <w:tr>
        <w:trPr>
          <w:cantSplit/>
        </w:trPr>
        <w:tc>
          <w:tcPr>
            <w:tcW w:type="dxa" w:w="1700"/>
            <w:tcMar>
              <w:top w:w="70" w:type="dxa"/>
              <w:start w:w="90" w:type="dxa"/>
              <w:bottom w:w="70" w:type="dxa"/>
              <w:end w:w="90" w:type="dxa"/>
            </w:tcMar>
            <w:vAlign w:val="center"/>
          </w:tcPr>
          <w:p>
            <w:pPr>
              <w:spacing w:after="0"/>
            </w:pPr>
            <w:r>
              <w:rPr>
                <w:rFonts w:ascii="Arial" w:hAnsi="Arial"/>
                <w:b/>
                <w:color w:val="0E2530"/>
                <w:sz w:val="15"/>
              </w:rPr>
              <w:t>Baseline</w:t>
            </w:r>
          </w:p>
        </w:tc>
        <w:tc>
          <w:tcPr>
            <w:tcW w:type="dxa" w:w="1500"/>
            <w:tcMar>
              <w:top w:w="70" w:type="dxa"/>
              <w:start w:w="90" w:type="dxa"/>
              <w:bottom w:w="70" w:type="dxa"/>
              <w:end w:w="90" w:type="dxa"/>
            </w:tcMar>
            <w:vAlign w:val="center"/>
          </w:tcPr>
          <w:p>
            <w:pPr>
              <w:spacing w:after="0"/>
            </w:pPr>
            <w:r>
              <w:rPr>
                <w:rFonts w:ascii="Arial" w:hAnsi="Arial"/>
                <w:color w:val="1B1B1C"/>
                <w:sz w:val="15"/>
              </w:rPr>
              <w:t>50%</w:t>
            </w:r>
          </w:p>
        </w:tc>
        <w:tc>
          <w:tcPr>
            <w:tcW w:type="dxa" w:w="1500"/>
            <w:tcMar>
              <w:top w:w="70" w:type="dxa"/>
              <w:start w:w="90" w:type="dxa"/>
              <w:bottom w:w="70" w:type="dxa"/>
              <w:end w:w="90" w:type="dxa"/>
            </w:tcMar>
            <w:vAlign w:val="center"/>
          </w:tcPr>
          <w:p>
            <w:pPr>
              <w:spacing w:after="0"/>
            </w:pPr>
            <w:r>
              <w:rPr>
                <w:rFonts w:ascii="Arial" w:hAnsi="Arial"/>
                <w:color w:val="1B1B1C"/>
                <w:sz w:val="15"/>
              </w:rPr>
              <w:t>50%</w:t>
            </w:r>
          </w:p>
        </w:tc>
        <w:tc>
          <w:tcPr>
            <w:tcW w:type="dxa" w:w="2200"/>
            <w:tcMar>
              <w:top w:w="70" w:type="dxa"/>
              <w:start w:w="90" w:type="dxa"/>
              <w:bottom w:w="70" w:type="dxa"/>
              <w:end w:w="90" w:type="dxa"/>
            </w:tcMar>
            <w:vAlign w:val="center"/>
          </w:tcPr>
          <w:p>
            <w:pPr>
              <w:spacing w:after="0"/>
            </w:pPr>
            <w:r>
              <w:rPr>
                <w:rFonts w:ascii="Arial" w:hAnsi="Arial"/>
                <w:color w:val="1B1B1C"/>
                <w:sz w:val="15"/>
              </w:rPr>
              <w:t>Overflow evidence chain is Priority 1.</w:t>
            </w:r>
          </w:p>
        </w:tc>
        <w:tc>
          <w:tcPr>
            <w:tcW w:type="dxa" w:w="2600"/>
            <w:tcMar>
              <w:top w:w="70" w:type="dxa"/>
              <w:start w:w="90" w:type="dxa"/>
              <w:bottom w:w="70" w:type="dxa"/>
              <w:end w:w="90" w:type="dxa"/>
            </w:tcMar>
            <w:vAlign w:val="center"/>
          </w:tcPr>
          <w:p>
            <w:pPr>
              <w:spacing w:after="0"/>
            </w:pPr>
            <w:r>
              <w:rPr>
                <w:rFonts w:ascii="Arial" w:hAnsi="Arial"/>
                <w:color w:val="1B1B1C"/>
                <w:sz w:val="15"/>
              </w:rPr>
              <w:t>Act now.</w:t>
            </w:r>
          </w:p>
        </w:tc>
      </w:tr>
      <w:tr>
        <w:trPr>
          <w:cantSplit/>
        </w:trPr>
        <w:tc>
          <w:tcPr>
            <w:tcW w:type="dxa" w:w="1700"/>
            <w:tcMar>
              <w:top w:w="70" w:type="dxa"/>
              <w:start w:w="90" w:type="dxa"/>
              <w:bottom w:w="70" w:type="dxa"/>
              <w:end w:w="90" w:type="dxa"/>
            </w:tcMar>
            <w:shd w:fill="F1EFE5"/>
            <w:vAlign w:val="center"/>
          </w:tcPr>
          <w:p>
            <w:pPr>
              <w:spacing w:after="0"/>
            </w:pPr>
            <w:r>
              <w:rPr>
                <w:rFonts w:ascii="Arial" w:hAnsi="Arial"/>
                <w:b/>
                <w:color w:val="0E2530"/>
                <w:sz w:val="15"/>
              </w:rPr>
              <w:t>Practice-heavy</w:t>
            </w:r>
          </w:p>
        </w:tc>
        <w:tc>
          <w:tcPr>
            <w:tcW w:type="dxa" w:w="1500"/>
            <w:tcMar>
              <w:top w:w="70" w:type="dxa"/>
              <w:start w:w="90" w:type="dxa"/>
              <w:bottom w:w="70" w:type="dxa"/>
              <w:end w:w="90" w:type="dxa"/>
            </w:tcMar>
            <w:shd w:fill="F1EFE5"/>
            <w:vAlign w:val="center"/>
          </w:tcPr>
          <w:p>
            <w:pPr>
              <w:spacing w:after="0"/>
            </w:pPr>
            <w:r>
              <w:rPr>
                <w:rFonts w:ascii="Arial" w:hAnsi="Arial"/>
                <w:color w:val="1B1B1C"/>
                <w:sz w:val="15"/>
              </w:rPr>
              <w:t>70%</w:t>
            </w:r>
          </w:p>
        </w:tc>
        <w:tc>
          <w:tcPr>
            <w:tcW w:type="dxa" w:w="1500"/>
            <w:tcMar>
              <w:top w:w="70" w:type="dxa"/>
              <w:start w:w="90" w:type="dxa"/>
              <w:bottom w:w="70" w:type="dxa"/>
              <w:end w:w="90" w:type="dxa"/>
            </w:tcMar>
            <w:shd w:fill="F1EFE5"/>
            <w:vAlign w:val="center"/>
          </w:tcPr>
          <w:p>
            <w:pPr>
              <w:spacing w:after="0"/>
            </w:pPr>
            <w:r>
              <w:rPr>
                <w:rFonts w:ascii="Arial" w:hAnsi="Arial"/>
                <w:color w:val="1B1B1C"/>
                <w:sz w:val="15"/>
              </w:rPr>
              <w:t>30%</w:t>
            </w:r>
          </w:p>
        </w:tc>
        <w:tc>
          <w:tcPr>
            <w:tcW w:type="dxa" w:w="2200"/>
            <w:tcMar>
              <w:top w:w="70" w:type="dxa"/>
              <w:start w:w="90" w:type="dxa"/>
              <w:bottom w:w="70" w:type="dxa"/>
              <w:end w:w="90" w:type="dxa"/>
            </w:tcMar>
            <w:shd w:fill="F1EFE5"/>
            <w:vAlign w:val="center"/>
          </w:tcPr>
          <w:p>
            <w:pPr>
              <w:spacing w:after="0"/>
            </w:pPr>
            <w:r>
              <w:rPr>
                <w:rFonts w:ascii="Arial" w:hAnsi="Arial"/>
                <w:color w:val="1B1B1C"/>
                <w:sz w:val="15"/>
              </w:rPr>
              <w:t>Overflow evidence chain remains Priority 1.</w:t>
            </w:r>
          </w:p>
        </w:tc>
        <w:tc>
          <w:tcPr>
            <w:tcW w:type="dxa" w:w="2600"/>
            <w:tcMar>
              <w:top w:w="70" w:type="dxa"/>
              <w:start w:w="90" w:type="dxa"/>
              <w:bottom w:w="70" w:type="dxa"/>
              <w:end w:w="90" w:type="dxa"/>
            </w:tcMar>
            <w:shd w:fill="F1EFE5"/>
            <w:vAlign w:val="center"/>
          </w:tcPr>
          <w:p>
            <w:pPr>
              <w:spacing w:after="0"/>
            </w:pPr>
            <w:r>
              <w:rPr>
                <w:rFonts w:ascii="Arial" w:hAnsi="Arial"/>
                <w:color w:val="1B1B1C"/>
                <w:sz w:val="15"/>
              </w:rPr>
              <w:t>Priority is stable.</w:t>
            </w:r>
          </w:p>
        </w:tc>
      </w:tr>
      <w:tr>
        <w:trPr>
          <w:cantSplit/>
        </w:trPr>
        <w:tc>
          <w:tcPr>
            <w:tcW w:type="dxa" w:w="1700"/>
            <w:tcMar>
              <w:top w:w="70" w:type="dxa"/>
              <w:start w:w="90" w:type="dxa"/>
              <w:bottom w:w="70" w:type="dxa"/>
              <w:end w:w="90" w:type="dxa"/>
            </w:tcMar>
            <w:vAlign w:val="center"/>
          </w:tcPr>
          <w:p>
            <w:pPr>
              <w:spacing w:after="0"/>
            </w:pPr>
            <w:r>
              <w:rPr>
                <w:rFonts w:ascii="Arial" w:hAnsi="Arial"/>
                <w:b/>
                <w:color w:val="0E2530"/>
                <w:sz w:val="15"/>
              </w:rPr>
              <w:t>Evidence-heavy</w:t>
            </w:r>
          </w:p>
        </w:tc>
        <w:tc>
          <w:tcPr>
            <w:tcW w:type="dxa" w:w="1500"/>
            <w:tcMar>
              <w:top w:w="70" w:type="dxa"/>
              <w:start w:w="90" w:type="dxa"/>
              <w:bottom w:w="70" w:type="dxa"/>
              <w:end w:w="90" w:type="dxa"/>
            </w:tcMar>
            <w:vAlign w:val="center"/>
          </w:tcPr>
          <w:p>
            <w:pPr>
              <w:spacing w:after="0"/>
            </w:pPr>
            <w:r>
              <w:rPr>
                <w:rFonts w:ascii="Arial" w:hAnsi="Arial"/>
                <w:color w:val="1B1B1C"/>
                <w:sz w:val="15"/>
              </w:rPr>
              <w:t>30%</w:t>
            </w:r>
          </w:p>
        </w:tc>
        <w:tc>
          <w:tcPr>
            <w:tcW w:type="dxa" w:w="1500"/>
            <w:tcMar>
              <w:top w:w="70" w:type="dxa"/>
              <w:start w:w="90" w:type="dxa"/>
              <w:bottom w:w="70" w:type="dxa"/>
              <w:end w:w="90" w:type="dxa"/>
            </w:tcMar>
            <w:vAlign w:val="center"/>
          </w:tcPr>
          <w:p>
            <w:pPr>
              <w:spacing w:after="0"/>
            </w:pPr>
            <w:r>
              <w:rPr>
                <w:rFonts w:ascii="Arial" w:hAnsi="Arial"/>
                <w:color w:val="1B1B1C"/>
                <w:sz w:val="15"/>
              </w:rPr>
              <w:t>70%</w:t>
            </w:r>
          </w:p>
        </w:tc>
        <w:tc>
          <w:tcPr>
            <w:tcW w:type="dxa" w:w="2200"/>
            <w:tcMar>
              <w:top w:w="70" w:type="dxa"/>
              <w:start w:w="90" w:type="dxa"/>
              <w:bottom w:w="70" w:type="dxa"/>
              <w:end w:w="90" w:type="dxa"/>
            </w:tcMar>
            <w:vAlign w:val="center"/>
          </w:tcPr>
          <w:p>
            <w:pPr>
              <w:spacing w:after="0"/>
            </w:pPr>
            <w:r>
              <w:rPr>
                <w:rFonts w:ascii="Arial" w:hAnsi="Arial"/>
                <w:color w:val="1B1B1C"/>
                <w:sz w:val="15"/>
              </w:rPr>
              <w:t>Overflow evidence chain remains Priority 1 with a larger gap.</w:t>
            </w:r>
          </w:p>
        </w:tc>
        <w:tc>
          <w:tcPr>
            <w:tcW w:type="dxa" w:w="2600"/>
            <w:tcMar>
              <w:top w:w="70" w:type="dxa"/>
              <w:start w:w="90" w:type="dxa"/>
              <w:bottom w:w="70" w:type="dxa"/>
              <w:end w:w="90" w:type="dxa"/>
            </w:tcMar>
            <w:vAlign w:val="center"/>
          </w:tcPr>
          <w:p>
            <w:pPr>
              <w:spacing w:after="0"/>
            </w:pPr>
            <w:r>
              <w:rPr>
                <w:rFonts w:ascii="Arial" w:hAnsi="Arial"/>
                <w:color w:val="1B1B1C"/>
                <w:sz w:val="15"/>
              </w:rPr>
              <w:t>Weak proof increases urgency.</w:t>
            </w:r>
          </w:p>
        </w:tc>
      </w:tr>
      <w:tr>
        <w:trPr>
          <w:cantSplit/>
        </w:trPr>
        <w:tc>
          <w:tcPr>
            <w:tcW w:type="dxa" w:w="1700"/>
            <w:tcMar>
              <w:top w:w="70" w:type="dxa"/>
              <w:start w:w="90" w:type="dxa"/>
              <w:bottom w:w="70" w:type="dxa"/>
              <w:end w:w="90" w:type="dxa"/>
            </w:tcMar>
            <w:shd w:fill="F1EFE5"/>
            <w:vAlign w:val="center"/>
          </w:tcPr>
          <w:p>
            <w:pPr>
              <w:spacing w:after="0"/>
            </w:pPr>
            <w:r>
              <w:rPr>
                <w:rFonts w:ascii="Arial" w:hAnsi="Arial"/>
                <w:b/>
                <w:color w:val="0E2530"/>
                <w:sz w:val="15"/>
              </w:rPr>
              <w:t>Critical-failure protection</w:t>
            </w:r>
          </w:p>
        </w:tc>
        <w:tc>
          <w:tcPr>
            <w:tcW w:type="dxa" w:w="1500"/>
            <w:tcMar>
              <w:top w:w="70" w:type="dxa"/>
              <w:start w:w="90" w:type="dxa"/>
              <w:bottom w:w="70" w:type="dxa"/>
              <w:end w:w="90" w:type="dxa"/>
            </w:tcMar>
            <w:shd w:fill="F1EFE5"/>
            <w:vAlign w:val="center"/>
          </w:tcPr>
          <w:p>
            <w:pPr>
              <w:spacing w:after="0"/>
            </w:pPr>
            <w:r>
              <w:rPr>
                <w:rFonts w:ascii="Arial" w:hAnsi="Arial"/>
                <w:color w:val="1B1B1C"/>
                <w:sz w:val="15"/>
              </w:rPr>
              <w:t>Not averaged</w:t>
            </w:r>
          </w:p>
        </w:tc>
        <w:tc>
          <w:tcPr>
            <w:tcW w:type="dxa" w:w="1500"/>
            <w:tcMar>
              <w:top w:w="70" w:type="dxa"/>
              <w:start w:w="90" w:type="dxa"/>
              <w:bottom w:w="70" w:type="dxa"/>
              <w:end w:w="90" w:type="dxa"/>
            </w:tcMar>
            <w:shd w:fill="F1EFE5"/>
            <w:vAlign w:val="center"/>
          </w:tcPr>
          <w:p>
            <w:pPr>
              <w:spacing w:after="0"/>
            </w:pPr>
            <w:r>
              <w:rPr>
                <w:rFonts w:ascii="Arial" w:hAnsi="Arial"/>
                <w:color w:val="1B1B1C"/>
                <w:sz w:val="15"/>
              </w:rPr>
              <w:t>Not averaged</w:t>
            </w:r>
          </w:p>
        </w:tc>
        <w:tc>
          <w:tcPr>
            <w:tcW w:type="dxa" w:w="2200"/>
            <w:tcMar>
              <w:top w:w="70" w:type="dxa"/>
              <w:start w:w="90" w:type="dxa"/>
              <w:bottom w:w="70" w:type="dxa"/>
              <w:end w:w="90" w:type="dxa"/>
            </w:tcMar>
            <w:shd w:fill="F1EFE5"/>
            <w:vAlign w:val="center"/>
          </w:tcPr>
          <w:p>
            <w:pPr>
              <w:spacing w:after="0"/>
            </w:pPr>
            <w:r>
              <w:rPr>
                <w:rFonts w:ascii="Arial" w:hAnsi="Arial"/>
                <w:color w:val="1B1B1C"/>
                <w:sz w:val="15"/>
              </w:rPr>
              <w:t>Missing operator approval forces escalation.</w:t>
            </w:r>
          </w:p>
        </w:tc>
        <w:tc>
          <w:tcPr>
            <w:tcW w:type="dxa" w:w="2600"/>
            <w:tcMar>
              <w:top w:w="70" w:type="dxa"/>
              <w:start w:w="90" w:type="dxa"/>
              <w:bottom w:w="70" w:type="dxa"/>
              <w:end w:w="90" w:type="dxa"/>
            </w:tcMar>
            <w:shd w:fill="F1EFE5"/>
            <w:vAlign w:val="center"/>
          </w:tcPr>
          <w:p>
            <w:pPr>
              <w:spacing w:after="0"/>
            </w:pPr>
            <w:r>
              <w:rPr>
                <w:rFonts w:ascii="Arial" w:hAnsi="Arial"/>
                <w:color w:val="1B1B1C"/>
                <w:sz w:val="15"/>
              </w:rPr>
              <w:t>A critical failure cannot be hidden by strong scores elsewhere.</w:t>
            </w:r>
          </w:p>
        </w:tc>
      </w:tr>
    </w:tbl>
    <w:p>
      <w:pPr>
        <w:spacing w:after="0"/>
      </w:pPr>
    </w:p>
    <w:p>
      <w:pPr>
        <w:pStyle w:val="Heading2"/>
      </w:pPr>
      <w:r>
        <w:t>Minimum data contract and provenance event</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3273"/>
        <w:gridCol w:w="3273"/>
        <w:gridCol w:w="3273"/>
      </w:tblGrid>
      <w:tr>
        <w:trPr>
          <w:tblHeader w:val="true"/>
          <w:cantSplit/>
        </w:trPr>
        <w:tc>
          <w:tcPr>
            <w:tcW w:type="dxa" w:w="1800"/>
            <w:tcMar>
              <w:top w:w="75" w:type="dxa"/>
              <w:start w:w="90" w:type="dxa"/>
              <w:bottom w:w="75" w:type="dxa"/>
              <w:end w:w="90" w:type="dxa"/>
            </w:tcMar>
            <w:shd w:fill="1B1B1C"/>
          </w:tcPr>
          <w:p>
            <w:pPr>
              <w:spacing w:after="0"/>
            </w:pPr>
            <w:r>
              <w:rPr>
                <w:rFonts w:ascii="Arial" w:hAnsi="Arial"/>
                <w:b/>
                <w:color w:val="FFFFFF"/>
                <w:sz w:val="15"/>
              </w:rPr>
              <w:t>Record</w:t>
            </w:r>
          </w:p>
        </w:tc>
        <w:tc>
          <w:tcPr>
            <w:tcW w:type="dxa" w:w="5000"/>
            <w:tcMar>
              <w:top w:w="75" w:type="dxa"/>
              <w:start w:w="90" w:type="dxa"/>
              <w:bottom w:w="75" w:type="dxa"/>
              <w:end w:w="90" w:type="dxa"/>
            </w:tcMar>
            <w:shd w:fill="1B1B1C"/>
          </w:tcPr>
          <w:p>
            <w:pPr>
              <w:spacing w:after="0"/>
            </w:pPr>
            <w:r>
              <w:rPr>
                <w:rFonts w:ascii="Arial" w:hAnsi="Arial"/>
                <w:b/>
                <w:color w:val="FFFFFF"/>
                <w:sz w:val="15"/>
              </w:rPr>
              <w:t>Required fields</w:t>
            </w:r>
          </w:p>
        </w:tc>
        <w:tc>
          <w:tcPr>
            <w:tcW w:type="dxa" w:w="2700"/>
            <w:tcMar>
              <w:top w:w="75" w:type="dxa"/>
              <w:start w:w="90" w:type="dxa"/>
              <w:bottom w:w="75" w:type="dxa"/>
              <w:end w:w="90" w:type="dxa"/>
            </w:tcMar>
            <w:shd w:fill="1B1B1C"/>
          </w:tcPr>
          <w:p>
            <w:pPr>
              <w:spacing w:after="0"/>
            </w:pPr>
            <w:r>
              <w:rPr>
                <w:rFonts w:ascii="Arial" w:hAnsi="Arial"/>
                <w:b/>
                <w:color w:val="FFFFFF"/>
                <w:sz w:val="15"/>
              </w:rPr>
              <w:t>Control purpose</w:t>
            </w:r>
          </w:p>
        </w:tc>
      </w:tr>
      <w:tr>
        <w:trPr>
          <w:cantSplit/>
        </w:trPr>
        <w:tc>
          <w:tcPr>
            <w:tcW w:type="dxa" w:w="1800"/>
            <w:tcMar>
              <w:top w:w="70" w:type="dxa"/>
              <w:start w:w="90" w:type="dxa"/>
              <w:bottom w:w="70" w:type="dxa"/>
              <w:end w:w="90" w:type="dxa"/>
            </w:tcMar>
            <w:vAlign w:val="center"/>
          </w:tcPr>
          <w:p>
            <w:pPr>
              <w:spacing w:after="0"/>
            </w:pPr>
            <w:r>
              <w:rPr>
                <w:rFonts w:ascii="Arial" w:hAnsi="Arial"/>
                <w:b/>
                <w:color w:val="0E2530"/>
                <w:sz w:val="15"/>
              </w:rPr>
              <w:t>Data product contract</w:t>
            </w:r>
          </w:p>
        </w:tc>
        <w:tc>
          <w:tcPr>
            <w:tcW w:type="dxa" w:w="5000"/>
            <w:tcMar>
              <w:top w:w="70" w:type="dxa"/>
              <w:start w:w="90" w:type="dxa"/>
              <w:bottom w:w="70" w:type="dxa"/>
              <w:end w:w="90" w:type="dxa"/>
            </w:tcMar>
            <w:vAlign w:val="center"/>
          </w:tcPr>
          <w:p>
            <w:pPr>
              <w:spacing w:after="0"/>
            </w:pPr>
            <w:r>
              <w:rPr>
                <w:rFonts w:ascii="Arial" w:hAnsi="Arial"/>
                <w:color w:val="1B1B1C"/>
                <w:sz w:val="15"/>
              </w:rPr>
              <w:t>Product ID, purpose, owner, consumers, schema, units, source, quality rules, access, rights, lineage, service level, retention and version.</w:t>
            </w:r>
          </w:p>
        </w:tc>
        <w:tc>
          <w:tcPr>
            <w:tcW w:type="dxa" w:w="2700"/>
            <w:tcMar>
              <w:top w:w="70" w:type="dxa"/>
              <w:start w:w="90" w:type="dxa"/>
              <w:bottom w:w="70" w:type="dxa"/>
              <w:end w:w="90" w:type="dxa"/>
            </w:tcMar>
            <w:vAlign w:val="center"/>
          </w:tcPr>
          <w:p>
            <w:pPr>
              <w:spacing w:after="0"/>
            </w:pPr>
            <w:r>
              <w:rPr>
                <w:rFonts w:ascii="Arial" w:hAnsi="Arial"/>
                <w:color w:val="1B1B1C"/>
                <w:sz w:val="15"/>
              </w:rPr>
              <w:t>Makes the approved use and service promise explicit.</w:t>
            </w:r>
          </w:p>
        </w:tc>
      </w:tr>
      <w:tr>
        <w:trPr>
          <w:cantSplit/>
        </w:trPr>
        <w:tc>
          <w:tcPr>
            <w:tcW w:type="dxa" w:w="1800"/>
            <w:tcMar>
              <w:top w:w="70" w:type="dxa"/>
              <w:start w:w="90" w:type="dxa"/>
              <w:bottom w:w="70" w:type="dxa"/>
              <w:end w:w="90" w:type="dxa"/>
            </w:tcMar>
            <w:shd w:fill="F1EFE5"/>
            <w:vAlign w:val="center"/>
          </w:tcPr>
          <w:p>
            <w:pPr>
              <w:spacing w:after="0"/>
            </w:pPr>
            <w:r>
              <w:rPr>
                <w:rFonts w:ascii="Arial" w:hAnsi="Arial"/>
                <w:b/>
                <w:color w:val="0E2530"/>
                <w:sz w:val="15"/>
              </w:rPr>
              <w:t>Provenance event</w:t>
            </w:r>
          </w:p>
        </w:tc>
        <w:tc>
          <w:tcPr>
            <w:tcW w:type="dxa" w:w="5000"/>
            <w:tcMar>
              <w:top w:w="70" w:type="dxa"/>
              <w:start w:w="90" w:type="dxa"/>
              <w:bottom w:w="70" w:type="dxa"/>
              <w:end w:w="90" w:type="dxa"/>
            </w:tcMar>
            <w:shd w:fill="F1EFE5"/>
            <w:vAlign w:val="center"/>
          </w:tcPr>
          <w:p>
            <w:pPr>
              <w:spacing w:after="0"/>
            </w:pPr>
            <w:r>
              <w:rPr>
                <w:rFonts w:ascii="Arial" w:hAnsi="Arial"/>
                <w:color w:val="1B1B1C"/>
                <w:sz w:val="15"/>
              </w:rPr>
              <w:t>Event ID, input IDs, output ID, activity, responsible agent, time, code or configuration version, purpose, quality result, approval and integrity evidence.</w:t>
            </w:r>
          </w:p>
        </w:tc>
        <w:tc>
          <w:tcPr>
            <w:tcW w:type="dxa" w:w="2700"/>
            <w:tcMar>
              <w:top w:w="70" w:type="dxa"/>
              <w:start w:w="90" w:type="dxa"/>
              <w:bottom w:w="70" w:type="dxa"/>
              <w:end w:w="90" w:type="dxa"/>
            </w:tcMar>
            <w:shd w:fill="F1EFE5"/>
            <w:vAlign w:val="center"/>
          </w:tcPr>
          <w:p>
            <w:pPr>
              <w:spacing w:after="0"/>
            </w:pPr>
            <w:r>
              <w:rPr>
                <w:rFonts w:ascii="Arial" w:hAnsi="Arial"/>
                <w:color w:val="1B1B1C"/>
                <w:sz w:val="15"/>
              </w:rPr>
              <w:t>Reconstructs what happened, when, why and by whom.</w:t>
            </w:r>
          </w:p>
        </w:tc>
      </w:tr>
      <w:tr>
        <w:trPr>
          <w:cantSplit/>
        </w:trPr>
        <w:tc>
          <w:tcPr>
            <w:tcW w:type="dxa" w:w="1800"/>
            <w:tcMar>
              <w:top w:w="70" w:type="dxa"/>
              <w:start w:w="90" w:type="dxa"/>
              <w:bottom w:w="70" w:type="dxa"/>
              <w:end w:w="90" w:type="dxa"/>
            </w:tcMar>
            <w:vAlign w:val="center"/>
          </w:tcPr>
          <w:p>
            <w:pPr>
              <w:spacing w:after="0"/>
            </w:pPr>
            <w:r>
              <w:rPr>
                <w:rFonts w:ascii="Arial" w:hAnsi="Arial"/>
                <w:b/>
                <w:color w:val="0E2530"/>
                <w:sz w:val="15"/>
              </w:rPr>
              <w:t>Control result</w:t>
            </w:r>
          </w:p>
        </w:tc>
        <w:tc>
          <w:tcPr>
            <w:tcW w:type="dxa" w:w="5000"/>
            <w:tcMar>
              <w:top w:w="70" w:type="dxa"/>
              <w:start w:w="90" w:type="dxa"/>
              <w:bottom w:w="70" w:type="dxa"/>
              <w:end w:w="90" w:type="dxa"/>
            </w:tcMar>
            <w:vAlign w:val="center"/>
          </w:tcPr>
          <w:p>
            <w:pPr>
              <w:spacing w:after="0"/>
            </w:pPr>
            <w:r>
              <w:rPr>
                <w:rFonts w:ascii="Arial" w:hAnsi="Arial"/>
                <w:color w:val="1B1B1C"/>
                <w:sz w:val="15"/>
              </w:rPr>
              <w:t>Control ID, design owner, test time, sample, expected result, actual result, exception, reviewer and retained evidence location.</w:t>
            </w:r>
          </w:p>
        </w:tc>
        <w:tc>
          <w:tcPr>
            <w:tcW w:type="dxa" w:w="2700"/>
            <w:tcMar>
              <w:top w:w="70" w:type="dxa"/>
              <w:start w:w="90" w:type="dxa"/>
              <w:bottom w:w="70" w:type="dxa"/>
              <w:end w:w="90" w:type="dxa"/>
            </w:tcMar>
            <w:vAlign w:val="center"/>
          </w:tcPr>
          <w:p>
            <w:pPr>
              <w:spacing w:after="0"/>
            </w:pPr>
            <w:r>
              <w:rPr>
                <w:rFonts w:ascii="Arial" w:hAnsi="Arial"/>
                <w:color w:val="1B1B1C"/>
                <w:sz w:val="15"/>
              </w:rPr>
              <w:t>Shows whether the control operated and what failed.</w:t>
            </w:r>
          </w:p>
        </w:tc>
      </w:tr>
      <w:tr>
        <w:trPr>
          <w:cantSplit/>
        </w:trPr>
        <w:tc>
          <w:tcPr>
            <w:tcW w:type="dxa" w:w="1800"/>
            <w:tcMar>
              <w:top w:w="70" w:type="dxa"/>
              <w:start w:w="90" w:type="dxa"/>
              <w:bottom w:w="70" w:type="dxa"/>
              <w:end w:w="90" w:type="dxa"/>
            </w:tcMar>
            <w:shd w:fill="F1EFE5"/>
            <w:vAlign w:val="center"/>
          </w:tcPr>
          <w:p>
            <w:pPr>
              <w:spacing w:after="0"/>
            </w:pPr>
            <w:r>
              <w:rPr>
                <w:rFonts w:ascii="Arial" w:hAnsi="Arial"/>
                <w:b/>
                <w:color w:val="0E2530"/>
                <w:sz w:val="15"/>
              </w:rPr>
              <w:t>Assessment finding</w:t>
            </w:r>
          </w:p>
        </w:tc>
        <w:tc>
          <w:tcPr>
            <w:tcW w:type="dxa" w:w="5000"/>
            <w:tcMar>
              <w:top w:w="70" w:type="dxa"/>
              <w:start w:w="90" w:type="dxa"/>
              <w:bottom w:w="70" w:type="dxa"/>
              <w:end w:w="90" w:type="dxa"/>
            </w:tcMar>
            <w:shd w:fill="F1EFE5"/>
            <w:vAlign w:val="center"/>
          </w:tcPr>
          <w:p>
            <w:pPr>
              <w:spacing w:after="0"/>
            </w:pPr>
            <w:r>
              <w:rPr>
                <w:rFonts w:ascii="Arial" w:hAnsi="Arial"/>
                <w:color w:val="1B1B1C"/>
                <w:sz w:val="15"/>
              </w:rPr>
              <w:t>Finding ID, criterion, sampled decision, evidence state, cause, consequence, owner, action, due date, closure proof and retest result.</w:t>
            </w:r>
          </w:p>
        </w:tc>
        <w:tc>
          <w:tcPr>
            <w:tcW w:type="dxa" w:w="2700"/>
            <w:tcMar>
              <w:top w:w="70" w:type="dxa"/>
              <w:start w:w="90" w:type="dxa"/>
              <w:bottom w:w="70" w:type="dxa"/>
              <w:end w:w="90" w:type="dxa"/>
            </w:tcMar>
            <w:shd w:fill="F1EFE5"/>
            <w:vAlign w:val="center"/>
          </w:tcPr>
          <w:p>
            <w:pPr>
              <w:spacing w:after="0"/>
            </w:pPr>
            <w:r>
              <w:rPr>
                <w:rFonts w:ascii="Arial" w:hAnsi="Arial"/>
                <w:color w:val="1B1B1C"/>
                <w:sz w:val="15"/>
              </w:rPr>
              <w:t>Keeps the score connected to accountable improvement.</w:t>
            </w:r>
          </w:p>
        </w:tc>
      </w:tr>
    </w:tbl>
    <w:p>
      <w:pPr>
        <w:spacing w:after="0"/>
      </w:pPr>
    </w:p>
    <w:p>
      <w:pPr>
        <w:pStyle w:val="Heading2"/>
      </w:pPr>
      <w:r>
        <w:t>Calibration and assessor-reliability protocol</w:t>
      </w:r>
    </w:p>
    <w:p>
      <w:pPr>
        <w:pStyle w:val="ListNumber"/>
        <w:numPr>
          <w:ilvl w:val="0"/>
          <w:numId w:val="14"/>
        </w:numPr>
      </w:pPr>
      <w:r>
        <w:t>Select at least three utilities that differ in size, ownership, service type and regulatory setting.</w:t>
      </w:r>
    </w:p>
    <w:p>
      <w:pPr>
        <w:pStyle w:val="ListNumber"/>
        <w:numPr>
          <w:ilvl w:val="0"/>
          <w:numId w:val="14"/>
        </w:numPr>
      </w:pPr>
      <w:r>
        <w:t>Choose the same minimum decision samples and record where an overlay changes the evidence requirement.</w:t>
      </w:r>
    </w:p>
    <w:p>
      <w:pPr>
        <w:pStyle w:val="ListNumber"/>
        <w:numPr>
          <w:ilvl w:val="0"/>
          <w:numId w:val="14"/>
        </w:numPr>
      </w:pPr>
      <w:r>
        <w:t>Have at least two qualified assessors score the same evidence independently before discussion.</w:t>
      </w:r>
    </w:p>
    <w:p>
      <w:pPr>
        <w:pStyle w:val="ListNumber"/>
        <w:numPr>
          <w:ilvl w:val="0"/>
          <w:numId w:val="14"/>
        </w:numPr>
      </w:pPr>
      <w:r>
        <w:t>Compare criterion agreement, domain agreement, evidence-confidence agreement and finding severity.</w:t>
      </w:r>
    </w:p>
    <w:p>
      <w:pPr>
        <w:pStyle w:val="ListNumber"/>
        <w:numPr>
          <w:ilvl w:val="0"/>
          <w:numId w:val="14"/>
        </w:numPr>
      </w:pPr>
      <w:r>
        <w:t>Adjudicate disagreements using the retained evidence and scoring rules, then update examples without hiding the original result.</w:t>
      </w:r>
    </w:p>
    <w:p>
      <w:pPr>
        <w:pStyle w:val="ListNumber"/>
        <w:numPr>
          <w:ilvl w:val="0"/>
          <w:numId w:val="14"/>
        </w:numPr>
      </w:pPr>
      <w:r>
        <w:t>Run weight and missing-evidence sensitivity tests and publish any change to priority or roadmap sequence.</w:t>
      </w:r>
    </w:p>
    <w:p>
      <w:pPr>
        <w:pStyle w:val="ListNumber"/>
        <w:numPr>
          <w:ilvl w:val="0"/>
          <w:numId w:val="14"/>
        </w:numPr>
      </w:pPr>
      <w:r>
        <w:t>Approve a benchmark only after the sample, method, limitations and uncertainty are visible and repeatable.</w:t>
      </w:r>
    </w:p>
    <w:p>
      <w:pPr>
        <w:pStyle w:val="Heading2"/>
      </w:pPr>
      <w:r>
        <w:t>Conflict, correction and portability rules</w:t>
      </w:r>
    </w:p>
    <w:p>
      <w:pPr>
        <w:pStyle w:val="ListBullet"/>
      </w:pPr>
      <w:r>
        <w:t>Disclose when the assessor may sell implementation work arising from the assessment.</w:t>
      </w:r>
    </w:p>
    <w:p>
      <w:pPr>
        <w:pStyle w:val="ListBullet"/>
      </w:pPr>
      <w:r>
        <w:t>Allow the utility to challenge a score and retain the evidence, reasoning, decision and resolution.</w:t>
      </w:r>
    </w:p>
    <w:p>
      <w:pPr>
        <w:pStyle w:val="ListBullet"/>
      </w:pPr>
      <w:r>
        <w:t>Keep client evidence portable through exportable records and stable identifiers.</w:t>
      </w:r>
    </w:p>
    <w:p>
      <w:pPr>
        <w:pStyle w:val="ListBullet"/>
      </w:pPr>
      <w:r>
        <w:t>Publish material corrections, affected criteria, reason, approver and effective date.</w:t>
      </w:r>
    </w:p>
    <w:p>
      <w:pPr>
        <w:pStyle w:val="ListBullet"/>
      </w:pPr>
      <w:r>
        <w:t>Retain prior versions so a result can be reconstructed under the method used at the time.</w:t>
      </w:r>
    </w:p>
    <w:p>
      <w:pPr>
        <w:pStyle w:val="Heading2"/>
      </w:pPr>
      <w:r>
        <w:t>Version 2.3 release record</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3273"/>
        <w:gridCol w:w="3273"/>
        <w:gridCol w:w="3273"/>
      </w:tblGrid>
      <w:tr>
        <w:trPr>
          <w:tblHeader w:val="true"/>
          <w:cantSplit/>
        </w:trPr>
        <w:tc>
          <w:tcPr>
            <w:tcW w:type="dxa" w:w="3000"/>
            <w:tcMar>
              <w:top w:w="75" w:type="dxa"/>
              <w:start w:w="90" w:type="dxa"/>
              <w:bottom w:w="75" w:type="dxa"/>
              <w:end w:w="90" w:type="dxa"/>
            </w:tcMar>
            <w:shd w:fill="1B1B1C"/>
          </w:tcPr>
          <w:p>
            <w:pPr>
              <w:spacing w:after="0"/>
            </w:pPr>
            <w:r>
              <w:rPr>
                <w:rFonts w:ascii="Arial" w:hAnsi="Arial"/>
                <w:b/>
                <w:color w:val="FFFFFF"/>
                <w:sz w:val="15"/>
              </w:rPr>
              <w:t>Change</w:t>
            </w:r>
          </w:p>
        </w:tc>
        <w:tc>
          <w:tcPr>
            <w:tcW w:type="dxa" w:w="3200"/>
            <w:tcMar>
              <w:top w:w="75" w:type="dxa"/>
              <w:start w:w="90" w:type="dxa"/>
              <w:bottom w:w="75" w:type="dxa"/>
              <w:end w:w="90" w:type="dxa"/>
            </w:tcMar>
            <w:shd w:fill="1B1B1C"/>
          </w:tcPr>
          <w:p>
            <w:pPr>
              <w:spacing w:after="0"/>
            </w:pPr>
            <w:r>
              <w:rPr>
                <w:rFonts w:ascii="Arial" w:hAnsi="Arial"/>
                <w:b/>
                <w:color w:val="FFFFFF"/>
                <w:sz w:val="15"/>
              </w:rPr>
              <w:t>Reason</w:t>
            </w:r>
          </w:p>
        </w:tc>
        <w:tc>
          <w:tcPr>
            <w:tcW w:type="dxa" w:w="3100"/>
            <w:tcMar>
              <w:top w:w="75" w:type="dxa"/>
              <w:start w:w="90" w:type="dxa"/>
              <w:bottom w:w="75" w:type="dxa"/>
              <w:end w:w="90" w:type="dxa"/>
            </w:tcMar>
            <w:shd w:fill="1B1B1C"/>
          </w:tcPr>
          <w:p>
            <w:pPr>
              <w:spacing w:after="0"/>
            </w:pPr>
            <w:r>
              <w:rPr>
                <w:rFonts w:ascii="Arial" w:hAnsi="Arial"/>
                <w:b/>
                <w:color w:val="FFFFFF"/>
                <w:sz w:val="15"/>
              </w:rPr>
              <w:t>Release effect</w:t>
            </w:r>
          </w:p>
        </w:tc>
      </w:tr>
      <w:tr>
        <w:trPr>
          <w:cantSplit/>
        </w:trPr>
        <w:tc>
          <w:tcPr>
            <w:tcW w:type="dxa" w:w="3000"/>
            <w:tcMar>
              <w:top w:w="70" w:type="dxa"/>
              <w:start w:w="90" w:type="dxa"/>
              <w:bottom w:w="70" w:type="dxa"/>
              <w:end w:w="90" w:type="dxa"/>
            </w:tcMar>
            <w:vAlign w:val="center"/>
          </w:tcPr>
          <w:p>
            <w:pPr>
              <w:spacing w:after="0"/>
            </w:pPr>
            <w:r>
              <w:rPr>
                <w:rFonts w:ascii="Arial" w:hAnsi="Arial"/>
                <w:b/>
                <w:color w:val="0E2530"/>
                <w:sz w:val="15"/>
              </w:rPr>
              <w:t>Established Version 2.2 as the canonical baseline and retired the separate Version 1.1 workstream.</w:t>
            </w:r>
          </w:p>
        </w:tc>
        <w:tc>
          <w:tcPr>
            <w:tcW w:type="dxa" w:w="3200"/>
            <w:tcMar>
              <w:top w:w="70" w:type="dxa"/>
              <w:start w:w="90" w:type="dxa"/>
              <w:bottom w:w="70" w:type="dxa"/>
              <w:end w:w="90" w:type="dxa"/>
            </w:tcMar>
            <w:vAlign w:val="center"/>
          </w:tcPr>
          <w:p>
            <w:pPr>
              <w:spacing w:after="0"/>
            </w:pPr>
            <w:r>
              <w:rPr>
                <w:rFonts w:ascii="Arial" w:hAnsi="Arial"/>
                <w:color w:val="1B1B1C"/>
                <w:sz w:val="15"/>
              </w:rPr>
              <w:t>Prevent parallel publications and conflicting claims.</w:t>
            </w:r>
          </w:p>
        </w:tc>
        <w:tc>
          <w:tcPr>
            <w:tcW w:type="dxa" w:w="3100"/>
            <w:tcMar>
              <w:top w:w="70" w:type="dxa"/>
              <w:start w:w="90" w:type="dxa"/>
              <w:bottom w:w="70" w:type="dxa"/>
              <w:end w:w="90" w:type="dxa"/>
            </w:tcMar>
            <w:vAlign w:val="center"/>
          </w:tcPr>
          <w:p>
            <w:pPr>
              <w:spacing w:after="0"/>
            </w:pPr>
            <w:r>
              <w:rPr>
                <w:rFonts w:ascii="Arial" w:hAnsi="Arial"/>
                <w:color w:val="1B1B1C"/>
                <w:sz w:val="15"/>
              </w:rPr>
              <w:t>One publication, one method version and one QA/QC record.</w:t>
            </w:r>
          </w:p>
        </w:tc>
      </w:tr>
      <w:tr>
        <w:trPr>
          <w:cantSplit/>
        </w:trPr>
        <w:tc>
          <w:tcPr>
            <w:tcW w:type="dxa" w:w="3000"/>
            <w:tcMar>
              <w:top w:w="70" w:type="dxa"/>
              <w:start w:w="90" w:type="dxa"/>
              <w:bottom w:w="70" w:type="dxa"/>
              <w:end w:w="90" w:type="dxa"/>
            </w:tcMar>
            <w:shd w:fill="F1EFE5"/>
            <w:vAlign w:val="center"/>
          </w:tcPr>
          <w:p>
            <w:pPr>
              <w:spacing w:after="0"/>
            </w:pPr>
            <w:r>
              <w:rPr>
                <w:rFonts w:ascii="Arial" w:hAnsi="Arial"/>
                <w:b/>
                <w:color w:val="0E2530"/>
                <w:sz w:val="15"/>
              </w:rPr>
              <w:t>Added four independent release gates.</w:t>
            </w:r>
          </w:p>
        </w:tc>
        <w:tc>
          <w:tcPr>
            <w:tcW w:type="dxa" w:w="3200"/>
            <w:tcMar>
              <w:top w:w="70" w:type="dxa"/>
              <w:start w:w="90" w:type="dxa"/>
              <w:bottom w:w="70" w:type="dxa"/>
              <w:end w:w="90" w:type="dxa"/>
            </w:tcMar>
            <w:shd w:fill="F1EFE5"/>
            <w:vAlign w:val="center"/>
          </w:tcPr>
          <w:p>
            <w:pPr>
              <w:spacing w:after="0"/>
            </w:pPr>
            <w:r>
              <w:rPr>
                <w:rFonts w:ascii="Arial" w:hAnsi="Arial"/>
                <w:color w:val="1B1B1C"/>
                <w:sz w:val="15"/>
              </w:rPr>
              <w:t>Separate publication quality from method, application and assurance readiness.</w:t>
            </w:r>
          </w:p>
        </w:tc>
        <w:tc>
          <w:tcPr>
            <w:tcW w:type="dxa" w:w="3100"/>
            <w:tcMar>
              <w:top w:w="70" w:type="dxa"/>
              <w:start w:w="90" w:type="dxa"/>
              <w:bottom w:w="70" w:type="dxa"/>
              <w:end w:w="90" w:type="dxa"/>
            </w:tcMar>
            <w:shd w:fill="F1EFE5"/>
            <w:vAlign w:val="center"/>
          </w:tcPr>
          <w:p>
            <w:pPr>
              <w:spacing w:after="0"/>
            </w:pPr>
            <w:r>
              <w:rPr>
                <w:rFonts w:ascii="Arial" w:hAnsi="Arial"/>
                <w:color w:val="1B1B1C"/>
                <w:sz w:val="15"/>
              </w:rPr>
              <w:t>Publication may pass while external validation gates remain open.</w:t>
            </w:r>
          </w:p>
        </w:tc>
      </w:tr>
      <w:tr>
        <w:trPr>
          <w:cantSplit/>
        </w:trPr>
        <w:tc>
          <w:tcPr>
            <w:tcW w:type="dxa" w:w="3000"/>
            <w:tcMar>
              <w:top w:w="70" w:type="dxa"/>
              <w:start w:w="90" w:type="dxa"/>
              <w:bottom w:w="70" w:type="dxa"/>
              <w:end w:w="90" w:type="dxa"/>
            </w:tcMar>
            <w:vAlign w:val="center"/>
          </w:tcPr>
          <w:p>
            <w:pPr>
              <w:spacing w:after="0"/>
            </w:pPr>
            <w:r>
              <w:rPr>
                <w:rFonts w:ascii="Arial" w:hAnsi="Arial"/>
                <w:b/>
                <w:color w:val="0E2530"/>
                <w:sz w:val="15"/>
              </w:rPr>
              <w:t>Added utility overlays, a worked assessment and scoring sensitivity test.</w:t>
            </w:r>
          </w:p>
        </w:tc>
        <w:tc>
          <w:tcPr>
            <w:tcW w:type="dxa" w:w="3200"/>
            <w:tcMar>
              <w:top w:w="70" w:type="dxa"/>
              <w:start w:w="90" w:type="dxa"/>
              <w:bottom w:w="70" w:type="dxa"/>
              <w:end w:w="90" w:type="dxa"/>
            </w:tcMar>
            <w:vAlign w:val="center"/>
          </w:tcPr>
          <w:p>
            <w:pPr>
              <w:spacing w:after="0"/>
            </w:pPr>
            <w:r>
              <w:rPr>
                <w:rFonts w:ascii="Arial" w:hAnsi="Arial"/>
                <w:color w:val="1B1B1C"/>
                <w:sz w:val="15"/>
              </w:rPr>
              <w:t>Resolve missing method examples and make uncertainty visible.</w:t>
            </w:r>
          </w:p>
        </w:tc>
        <w:tc>
          <w:tcPr>
            <w:tcW w:type="dxa" w:w="3100"/>
            <w:tcMar>
              <w:top w:w="70" w:type="dxa"/>
              <w:start w:w="90" w:type="dxa"/>
              <w:bottom w:w="70" w:type="dxa"/>
              <w:end w:w="90" w:type="dxa"/>
            </w:tcMar>
            <w:vAlign w:val="center"/>
          </w:tcPr>
          <w:p>
            <w:pPr>
              <w:spacing w:after="0"/>
            </w:pPr>
            <w:r>
              <w:rPr>
                <w:rFonts w:ascii="Arial" w:hAnsi="Arial"/>
                <w:color w:val="1B1B1C"/>
                <w:sz w:val="15"/>
              </w:rPr>
              <w:t>Supports controlled pilots without claiming benchmark validation.</w:t>
            </w:r>
          </w:p>
        </w:tc>
      </w:tr>
      <w:tr>
        <w:trPr>
          <w:cantSplit/>
        </w:trPr>
        <w:tc>
          <w:tcPr>
            <w:tcW w:type="dxa" w:w="3000"/>
            <w:tcMar>
              <w:top w:w="70" w:type="dxa"/>
              <w:start w:w="90" w:type="dxa"/>
              <w:bottom w:w="70" w:type="dxa"/>
              <w:end w:w="90" w:type="dxa"/>
            </w:tcMar>
            <w:shd w:fill="F1EFE5"/>
            <w:vAlign w:val="center"/>
          </w:tcPr>
          <w:p>
            <w:pPr>
              <w:spacing w:after="0"/>
            </w:pPr>
            <w:r>
              <w:rPr>
                <w:rFonts w:ascii="Arial" w:hAnsi="Arial"/>
                <w:b/>
                <w:color w:val="0E2530"/>
                <w:sz w:val="15"/>
              </w:rPr>
              <w:t>Added minimum machine-readable records and a calibration protocol.</w:t>
            </w:r>
          </w:p>
        </w:tc>
        <w:tc>
          <w:tcPr>
            <w:tcW w:type="dxa" w:w="3200"/>
            <w:tcMar>
              <w:top w:w="70" w:type="dxa"/>
              <w:start w:w="90" w:type="dxa"/>
              <w:bottom w:w="70" w:type="dxa"/>
              <w:end w:w="90" w:type="dxa"/>
            </w:tcMar>
            <w:shd w:fill="F1EFE5"/>
            <w:vAlign w:val="center"/>
          </w:tcPr>
          <w:p>
            <w:pPr>
              <w:spacing w:after="0"/>
            </w:pPr>
            <w:r>
              <w:rPr>
                <w:rFonts w:ascii="Arial" w:hAnsi="Arial"/>
                <w:color w:val="1B1B1C"/>
                <w:sz w:val="15"/>
              </w:rPr>
              <w:t>Turn the publication into a product and pilot specification.</w:t>
            </w:r>
          </w:p>
        </w:tc>
        <w:tc>
          <w:tcPr>
            <w:tcW w:type="dxa" w:w="3100"/>
            <w:tcMar>
              <w:top w:w="70" w:type="dxa"/>
              <w:start w:w="90" w:type="dxa"/>
              <w:bottom w:w="70" w:type="dxa"/>
              <w:end w:w="90" w:type="dxa"/>
            </w:tcMar>
            <w:shd w:fill="F1EFE5"/>
            <w:vAlign w:val="center"/>
          </w:tcPr>
          <w:p>
            <w:pPr>
              <w:spacing w:after="0"/>
            </w:pPr>
            <w:r>
              <w:rPr>
                <w:rFonts w:ascii="Arial" w:hAnsi="Arial"/>
                <w:color w:val="1B1B1C"/>
                <w:sz w:val="15"/>
              </w:rPr>
              <w:t>Creates implementation-ready companion registries.</w:t>
            </w:r>
          </w:p>
        </w:tc>
      </w:tr>
      <w:tr>
        <w:trPr>
          <w:cantSplit/>
        </w:trPr>
        <w:tc>
          <w:tcPr>
            <w:tcW w:type="dxa" w:w="3000"/>
            <w:tcMar>
              <w:top w:w="70" w:type="dxa"/>
              <w:start w:w="90" w:type="dxa"/>
              <w:bottom w:w="70" w:type="dxa"/>
              <w:end w:w="90" w:type="dxa"/>
            </w:tcMar>
            <w:vAlign w:val="center"/>
          </w:tcPr>
          <w:p>
            <w:pPr>
              <w:spacing w:after="0"/>
            </w:pPr>
            <w:r>
              <w:rPr>
                <w:rFonts w:ascii="Arial" w:hAnsi="Arial"/>
                <w:b/>
                <w:color w:val="0E2530"/>
                <w:sz w:val="15"/>
              </w:rPr>
              <w:t>Expanded the ten-lens QA/QC finding register.</w:t>
            </w:r>
          </w:p>
        </w:tc>
        <w:tc>
          <w:tcPr>
            <w:tcW w:type="dxa" w:w="3200"/>
            <w:tcMar>
              <w:top w:w="70" w:type="dxa"/>
              <w:start w:w="90" w:type="dxa"/>
              <w:bottom w:w="70" w:type="dxa"/>
              <w:end w:w="90" w:type="dxa"/>
            </w:tcMar>
            <w:vAlign w:val="center"/>
          </w:tcPr>
          <w:p>
            <w:pPr>
              <w:spacing w:after="0"/>
            </w:pPr>
            <w:r>
              <w:rPr>
                <w:rFonts w:ascii="Arial" w:hAnsi="Arial"/>
                <w:color w:val="1B1B1C"/>
                <w:sz w:val="15"/>
              </w:rPr>
              <w:t>Preserve the strongest adversarial review from the retired workstream.</w:t>
            </w:r>
          </w:p>
        </w:tc>
        <w:tc>
          <w:tcPr>
            <w:tcW w:type="dxa" w:w="3100"/>
            <w:tcMar>
              <w:top w:w="70" w:type="dxa"/>
              <w:start w:w="90" w:type="dxa"/>
              <w:bottom w:w="70" w:type="dxa"/>
              <w:end w:w="90" w:type="dxa"/>
            </w:tcMar>
            <w:vAlign w:val="center"/>
          </w:tcPr>
          <w:p>
            <w:pPr>
              <w:spacing w:after="0"/>
            </w:pPr>
            <w:r>
              <w:rPr>
                <w:rFonts w:ascii="Arial" w:hAnsi="Arial"/>
                <w:color w:val="1B1B1C"/>
                <w:sz w:val="15"/>
              </w:rPr>
              <w:t>Thirty stable findings now control future release decisions.</w:t>
            </w:r>
          </w:p>
        </w:tc>
      </w:tr>
    </w:tbl>
    <w:p>
      <w:pPr>
        <w:spacing w:after="0"/>
      </w:pPr>
    </w:p>
    <w:p>
      <w:pPr>
        <w:pStyle w:val="Heading2"/>
      </w:pPr>
      <w:r>
        <w:t>Living-document control</w:t>
      </w:r>
    </w:p>
    <w:tbl>
      <w:tblPr>
        <w:tblW w:type="auto" w:w="0"/>
        <w:jc w:val="center"/>
        <w:tblLayout w:type="fixed"/>
        <w:tblLook w:firstColumn="1" w:firstRow="1" w:lastColumn="0" w:lastRow="0" w:noHBand="0" w:noVBand="1" w:val="04A0"/>
        <w:tblBorders>
          <w:top w:val="single" w:sz="4" w:space="0" w:color="D8D2C3"/>
          <w:left w:val="single" w:sz="4" w:space="0" w:color="D8D2C3"/>
          <w:bottom w:val="single" w:sz="4" w:space="0" w:color="D8D2C3"/>
          <w:right w:val="single" w:sz="4" w:space="0" w:color="D8D2C3"/>
          <w:insideH w:val="single" w:sz="4" w:space="0" w:color="D8D2C3"/>
          <w:insideV w:val="single" w:sz="4" w:space="0" w:color="D8D2C3"/>
        </w:tblBorders>
      </w:tblPr>
      <w:tblGrid>
        <w:gridCol w:w="4910"/>
        <w:gridCol w:w="4910"/>
      </w:tblGrid>
      <w:tr>
        <w:trPr>
          <w:tblHeader w:val="true"/>
          <w:cantSplit/>
        </w:trPr>
        <w:tc>
          <w:tcPr>
            <w:tcW w:type="dxa" w:w="3000"/>
            <w:tcMar>
              <w:top w:w="75" w:type="dxa"/>
              <w:start w:w="90" w:type="dxa"/>
              <w:bottom w:w="75" w:type="dxa"/>
              <w:end w:w="90" w:type="dxa"/>
            </w:tcMar>
            <w:shd w:fill="1B1B1C"/>
          </w:tcPr>
          <w:p>
            <w:pPr>
              <w:spacing w:after="0"/>
            </w:pPr>
            <w:r>
              <w:rPr>
                <w:rFonts w:ascii="Arial" w:hAnsi="Arial"/>
                <w:b/>
                <w:color w:val="FFFFFF"/>
                <w:sz w:val="16"/>
              </w:rPr>
              <w:t>Trigger</w:t>
            </w:r>
          </w:p>
        </w:tc>
        <w:tc>
          <w:tcPr>
            <w:tcW w:type="dxa" w:w="6300"/>
            <w:tcMar>
              <w:top w:w="75" w:type="dxa"/>
              <w:start w:w="90" w:type="dxa"/>
              <w:bottom w:w="75" w:type="dxa"/>
              <w:end w:w="90" w:type="dxa"/>
            </w:tcMar>
            <w:shd w:fill="1B1B1C"/>
          </w:tcPr>
          <w:p>
            <w:pPr>
              <w:spacing w:after="0"/>
            </w:pPr>
            <w:r>
              <w:rPr>
                <w:rFonts w:ascii="Arial" w:hAnsi="Arial"/>
                <w:b/>
                <w:color w:val="FFFFFF"/>
                <w:sz w:val="16"/>
              </w:rPr>
              <w:t>Required update</w:t>
            </w:r>
          </w:p>
        </w:tc>
      </w:tr>
      <w:tr>
        <w:trPr>
          <w:cantSplit/>
        </w:trPr>
        <w:tc>
          <w:tcPr>
            <w:tcW w:type="dxa" w:w="3000"/>
            <w:tcMar>
              <w:top w:w="70" w:type="dxa"/>
              <w:start w:w="90" w:type="dxa"/>
              <w:bottom w:w="70" w:type="dxa"/>
              <w:end w:w="90" w:type="dxa"/>
            </w:tcMar>
            <w:vAlign w:val="center"/>
          </w:tcPr>
          <w:p>
            <w:pPr>
              <w:spacing w:after="0"/>
            </w:pPr>
            <w:r>
              <w:rPr>
                <w:rFonts w:ascii="Arial" w:hAnsi="Arial"/>
                <w:b/>
                <w:color w:val="0E2530"/>
                <w:sz w:val="16"/>
              </w:rPr>
              <w:t>New or revised standard</w:t>
            </w:r>
          </w:p>
        </w:tc>
        <w:tc>
          <w:tcPr>
            <w:tcW w:type="dxa" w:w="6300"/>
            <w:tcMar>
              <w:top w:w="70" w:type="dxa"/>
              <w:start w:w="90" w:type="dxa"/>
              <w:bottom w:w="70" w:type="dxa"/>
              <w:end w:w="90" w:type="dxa"/>
            </w:tcMar>
            <w:vAlign w:val="center"/>
          </w:tcPr>
          <w:p>
            <w:pPr>
              <w:spacing w:after="0"/>
            </w:pPr>
            <w:r>
              <w:rPr>
                <w:rFonts w:ascii="Arial" w:hAnsi="Arial"/>
                <w:color w:val="1B1B1C"/>
                <w:sz w:val="16"/>
              </w:rPr>
              <w:t>Record edition, status, affected criteria, implementation decision and next review.</w:t>
            </w:r>
          </w:p>
        </w:tc>
      </w:tr>
      <w:tr>
        <w:trPr>
          <w:cantSplit/>
        </w:trPr>
        <w:tc>
          <w:tcPr>
            <w:tcW w:type="dxa" w:w="3000"/>
            <w:tcMar>
              <w:top w:w="70" w:type="dxa"/>
              <w:start w:w="90" w:type="dxa"/>
              <w:bottom w:w="70" w:type="dxa"/>
              <w:end w:w="90" w:type="dxa"/>
            </w:tcMar>
            <w:shd w:fill="F1EFE5"/>
            <w:vAlign w:val="center"/>
          </w:tcPr>
          <w:p>
            <w:pPr>
              <w:spacing w:after="0"/>
            </w:pPr>
            <w:r>
              <w:rPr>
                <w:rFonts w:ascii="Arial" w:hAnsi="Arial"/>
                <w:b/>
                <w:color w:val="0E2530"/>
                <w:sz w:val="16"/>
              </w:rPr>
              <w:t>New law, rule or regulator action</w:t>
            </w:r>
          </w:p>
        </w:tc>
        <w:tc>
          <w:tcPr>
            <w:tcW w:type="dxa" w:w="6300"/>
            <w:tcMar>
              <w:top w:w="70" w:type="dxa"/>
              <w:start w:w="90" w:type="dxa"/>
              <w:bottom w:w="70" w:type="dxa"/>
              <w:end w:w="90" w:type="dxa"/>
            </w:tcMar>
            <w:shd w:fill="F1EFE5"/>
            <w:vAlign w:val="center"/>
          </w:tcPr>
          <w:p>
            <w:pPr>
              <w:spacing w:after="0"/>
            </w:pPr>
            <w:r>
              <w:rPr>
                <w:rFonts w:ascii="Arial" w:hAnsi="Arial"/>
                <w:color w:val="1B1B1C"/>
                <w:sz w:val="16"/>
              </w:rPr>
              <w:t>Confirm applicability, effective date, owner, evidence and legal review.</w:t>
            </w:r>
          </w:p>
        </w:tc>
      </w:tr>
      <w:tr>
        <w:trPr>
          <w:cantSplit/>
        </w:trPr>
        <w:tc>
          <w:tcPr>
            <w:tcW w:type="dxa" w:w="3000"/>
            <w:tcMar>
              <w:top w:w="70" w:type="dxa"/>
              <w:start w:w="90" w:type="dxa"/>
              <w:bottom w:w="70" w:type="dxa"/>
              <w:end w:w="90" w:type="dxa"/>
            </w:tcMar>
            <w:vAlign w:val="center"/>
          </w:tcPr>
          <w:p>
            <w:pPr>
              <w:spacing w:after="0"/>
            </w:pPr>
            <w:r>
              <w:rPr>
                <w:rFonts w:ascii="Arial" w:hAnsi="Arial"/>
                <w:b/>
                <w:color w:val="0E2530"/>
                <w:sz w:val="16"/>
              </w:rPr>
              <w:t>Material incident or audit finding</w:t>
            </w:r>
          </w:p>
        </w:tc>
        <w:tc>
          <w:tcPr>
            <w:tcW w:type="dxa" w:w="6300"/>
            <w:tcMar>
              <w:top w:w="70" w:type="dxa"/>
              <w:start w:w="90" w:type="dxa"/>
              <w:bottom w:w="70" w:type="dxa"/>
              <w:end w:w="90" w:type="dxa"/>
            </w:tcMar>
            <w:vAlign w:val="center"/>
          </w:tcPr>
          <w:p>
            <w:pPr>
              <w:spacing w:after="0"/>
            </w:pPr>
            <w:r>
              <w:rPr>
                <w:rFonts w:ascii="Arial" w:hAnsi="Arial"/>
                <w:color w:val="1B1B1C"/>
                <w:sz w:val="16"/>
              </w:rPr>
              <w:t>Record the evidence failure, cause, corrective action, retest and lesson.</w:t>
            </w:r>
          </w:p>
        </w:tc>
      </w:tr>
      <w:tr>
        <w:trPr>
          <w:cantSplit/>
        </w:trPr>
        <w:tc>
          <w:tcPr>
            <w:tcW w:type="dxa" w:w="3000"/>
            <w:tcMar>
              <w:top w:w="70" w:type="dxa"/>
              <w:start w:w="90" w:type="dxa"/>
              <w:bottom w:w="70" w:type="dxa"/>
              <w:end w:w="90" w:type="dxa"/>
            </w:tcMar>
            <w:shd w:fill="F1EFE5"/>
            <w:vAlign w:val="center"/>
          </w:tcPr>
          <w:p>
            <w:pPr>
              <w:spacing w:after="0"/>
            </w:pPr>
            <w:r>
              <w:rPr>
                <w:rFonts w:ascii="Arial" w:hAnsi="Arial"/>
                <w:b/>
                <w:color w:val="0E2530"/>
                <w:sz w:val="16"/>
              </w:rPr>
              <w:t>New system, supplier or AI use</w:t>
            </w:r>
          </w:p>
        </w:tc>
        <w:tc>
          <w:tcPr>
            <w:tcW w:type="dxa" w:w="6300"/>
            <w:tcMar>
              <w:top w:w="70" w:type="dxa"/>
              <w:start w:w="90" w:type="dxa"/>
              <w:bottom w:w="70" w:type="dxa"/>
              <w:end w:w="90" w:type="dxa"/>
            </w:tcMar>
            <w:shd w:fill="F1EFE5"/>
            <w:vAlign w:val="center"/>
          </w:tcPr>
          <w:p>
            <w:pPr>
              <w:spacing w:after="0"/>
            </w:pPr>
            <w:r>
              <w:rPr>
                <w:rFonts w:ascii="Arial" w:hAnsi="Arial"/>
                <w:color w:val="1B1B1C"/>
                <w:sz w:val="16"/>
              </w:rPr>
              <w:t>Update inventory, data flow, rights, risk, controls, lineage and exit plan.</w:t>
            </w:r>
          </w:p>
        </w:tc>
      </w:tr>
      <w:tr>
        <w:trPr>
          <w:cantSplit/>
        </w:trPr>
        <w:tc>
          <w:tcPr>
            <w:tcW w:type="dxa" w:w="3000"/>
            <w:tcMar>
              <w:top w:w="70" w:type="dxa"/>
              <w:start w:w="90" w:type="dxa"/>
              <w:bottom w:w="70" w:type="dxa"/>
              <w:end w:w="90" w:type="dxa"/>
            </w:tcMar>
            <w:vAlign w:val="center"/>
          </w:tcPr>
          <w:p>
            <w:pPr>
              <w:spacing w:after="0"/>
            </w:pPr>
            <w:r>
              <w:rPr>
                <w:rFonts w:ascii="Arial" w:hAnsi="Arial"/>
                <w:b/>
                <w:color w:val="0E2530"/>
                <w:sz w:val="16"/>
              </w:rPr>
              <w:t>Quarterly review</w:t>
            </w:r>
          </w:p>
        </w:tc>
        <w:tc>
          <w:tcPr>
            <w:tcW w:type="dxa" w:w="6300"/>
            <w:tcMar>
              <w:top w:w="70" w:type="dxa"/>
              <w:start w:w="90" w:type="dxa"/>
              <w:bottom w:w="70" w:type="dxa"/>
              <w:end w:w="90" w:type="dxa"/>
            </w:tcMar>
            <w:vAlign w:val="center"/>
          </w:tcPr>
          <w:p>
            <w:pPr>
              <w:spacing w:after="0"/>
            </w:pPr>
            <w:r>
              <w:rPr>
                <w:rFonts w:ascii="Arial" w:hAnsi="Arial"/>
                <w:color w:val="1B1B1C"/>
                <w:sz w:val="16"/>
              </w:rPr>
              <w:t>Recertify priority sources, links, open findings, scores, ownership and roadmap status.</w:t>
            </w:r>
          </w:p>
        </w:tc>
      </w:tr>
    </w:tbl>
    <w:p>
      <w:pPr>
        <w:spacing w:after="0"/>
      </w:pPr>
    </w:p>
    <w:p>
      <w:pPr>
        <w:pStyle w:val="Heading2"/>
      </w:pPr>
      <w:r>
        <w:t>Publication note</w:t>
      </w:r>
    </w:p>
    <w:p>
      <w:r>
        <w:t>This application paper is a living professional work. It is designed to support education, assessment, consulting and product development. It does not replace licensed standards, legal advice, regulator direction, certification rules or an independent assurance opinion.</w:t>
      </w:r>
    </w:p>
    <w:p>
      <w:r>
        <w:t>Research verified through 18 July 2026. Next scheduled review: October 2026.</w:t>
      </w:r>
    </w:p>
    <w:p>
      <w:r>
        <w:t>Partnership inquiries: hello@apas.ai | Technical and author contact: hardeep@apas.ai | Access support: access@apas.ai | apas.ai</w:t>
      </w:r>
    </w:p>
    <w:p>
      <w:pPr>
        <w:sectPr>
          <w:headerReference w:type="default" r:id="rId19"/>
          <w:headerReference w:type="even" r:id="rId20"/>
          <w:footerReference w:type="default" r:id="rId21"/>
          <w:footerReference w:type="even" r:id="rId22"/>
          <w:pgSz w:w="12240" w:h="15840"/>
          <w:pgMar w:top="1123" w:right="1210" w:bottom="1008" w:left="1210" w:header="432" w:footer="432" w:gutter="0"/>
          <w:cols w:space="720"/>
          <w:docGrid w:linePitch="360"/>
        </w:sectPr>
      </w:pPr>
    </w:p>
    <w:p>
      <w:pPr>
        <w:spacing w:before="0" w:after="0" w:line="240" w:lineRule="auto"/>
        <w:jc w:val="center"/>
      </w:pPr>
      <w:r>
        <w:drawing>
          <wp:inline xmlns:a="http://schemas.openxmlformats.org/drawingml/2006/main" xmlns:pic="http://schemas.openxmlformats.org/drawingml/2006/picture">
            <wp:extent cx="7754112" cy="9985248"/>
            <wp:docPr id="26" name="Picture 26" title="APAS AI publication back cover" descr="Dark APAS back cover with publication control, copyright, trademark, citation, partnership contact, research date and professional-use notice."/>
            <wp:cNvGraphicFramePr>
              <a:graphicFrameLocks noChangeAspect="1"/>
            </wp:cNvGraphicFramePr>
            <a:graphic>
              <a:graphicData uri="http://schemas.openxmlformats.org/drawingml/2006/picture">
                <pic:pic>
                  <pic:nvPicPr>
                    <pic:cNvPr id="0" name="back-cover.png"/>
                    <pic:cNvPicPr/>
                  </pic:nvPicPr>
                  <pic:blipFill>
                    <a:blip r:embed="rId270"/>
                    <a:stretch>
                      <a:fillRect/>
                    </a:stretch>
                  </pic:blipFill>
                  <pic:spPr>
                    <a:xfrm>
                      <a:off x="0" y="0"/>
                      <a:ext cx="7754112" cy="9985248"/>
                    </a:xfrm>
                    <a:prstGeom prst="rect"/>
                  </pic:spPr>
                </pic:pic>
              </a:graphicData>
            </a:graphic>
          </wp:inline>
        </w:drawing>
      </w:r>
    </w:p>
    <w:sectPr w:rsidR="00FC693F" w:rsidRPr="0006063C" w:rsidSect="00034616">
      <w:headerReference w:type="default" r:id="rId266"/>
      <w:headerReference w:type="even" r:id="rId267"/>
      <w:footerReference w:type="default" r:id="rId268"/>
      <w:footerReference w:type="even" r:id="rId269"/>
      <w:pgSz w:w="12240" w:h="15840"/>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496" w:val="left"/>
      </w:tabs>
      <w:spacing w:before="0"/>
    </w:pPr>
    <w:r>
      <w:rPr>
        <w:rFonts w:ascii="Arial" w:hAnsi="Arial"/>
        <w:color w:val="7D766A"/>
        <w:sz w:val="13"/>
      </w:rPr>
      <w:t>APAS AI  |  apas.ai  |  hello@apas.ai  |  © 2026 All rights reserved.</w:t>
    </w:r>
    <w:r>
      <w:rPr>
        <w:rFonts w:ascii="Arial" w:hAnsi="Arial"/>
        <w:color w:val="7D766A"/>
        <w:sz w:val="13"/>
      </w:rPr>
      <w:tab/>
    </w:r>
    <w:r>
      <w:fldChar w:fldCharType="begin"/>
    </w:r>
    <w:r>
      <w:instrText xml:space="preserve"> PAGE </w:instrText>
    </w:r>
    <w:r>
      <w:fldChar w:fldCharType="separate"/>
    </w:r>
    <w: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496" w:val="left"/>
      </w:tabs>
      <w:spacing w:before="0"/>
    </w:pPr>
    <w:r>
      <w:rPr>
        <w:rFonts w:ascii="Arial" w:hAnsi="Arial"/>
        <w:color w:val="7D766A"/>
        <w:sz w:val="13"/>
      </w:rPr>
      <w:t>APAS AI  |  apas.ai  |  hello@apas.ai  |  © 2026 All rights reserved.</w:t>
    </w:r>
    <w:r>
      <w:rPr>
        <w:rFonts w:ascii="Arial" w:hAnsi="Arial"/>
        <w:color w:val="7D766A"/>
        <w:sz w:val="13"/>
      </w:rPr>
      <w:tab/>
    </w:r>
    <w:r>
      <w:fldChar w:fldCharType="begin"/>
    </w:r>
    <w:r>
      <w:instrText xml:space="preserve"> PAGE </w:instrText>
    </w:r>
    <w:r>
      <w:fldChar w:fldCharType="separate"/>
    </w:r>
    <w: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4" w:val="left"/>
      </w:tabs>
      <w:spacing w:after="0"/>
    </w:pPr>
    <w:r>
      <w:rPr>
        <w:rFonts w:ascii="Arial" w:hAnsi="Arial"/>
        <w:b/>
        <w:color w:val="2F7F9E"/>
        <w:sz w:val="15"/>
      </w:rPr>
      <w:t>APAS AI  |  18 JULY 2026</w:t>
    </w:r>
    <w:r>
      <w:rPr>
        <w:rFonts w:ascii="Arial" w:hAnsi="Arial"/>
        <w:b/>
        <w:color w:val="7D766A"/>
        <w:sz w:val="15"/>
      </w:rPr>
      <w:tab/>
      <w:t>DATA READY BEFORE AI READY</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4" w:val="left"/>
      </w:tabs>
      <w:spacing w:after="0"/>
    </w:pPr>
    <w:r>
      <w:rPr>
        <w:rFonts w:ascii="Arial" w:hAnsi="Arial"/>
        <w:b/>
        <w:color w:val="2F7F9E"/>
        <w:sz w:val="15"/>
      </w:rPr>
      <w:t>APAS AI  |  18 JULY 2026</w:t>
    </w:r>
    <w:r>
      <w:rPr>
        <w:rFonts w:ascii="Arial" w:hAnsi="Arial"/>
        <w:b/>
        <w:color w:val="7D766A"/>
        <w:sz w:val="15"/>
      </w:rPr>
      <w:tab/>
      <w:t>DATA READY BEFORE AI READY</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5" w:lineRule="auto"/>
    </w:pPr>
    <w:rPr>
      <w:rFonts w:ascii="Arial" w:hAnsi="Arial"/>
      <w:color w:val="1B1B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40"/>
      <w:outlineLvl w:val="0"/>
    </w:pPr>
    <w:rPr>
      <w:rFonts w:asciiTheme="majorHAnsi" w:eastAsiaTheme="majorEastAsia" w:hAnsiTheme="majorHAnsi" w:cstheme="majorBidi" w:ascii="Arial" w:hAnsi="Arial"/>
      <w:b/>
      <w:bCs/>
      <w:color w:val="1B1B1C"/>
      <w:sz w:val="48"/>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ascii="Arial" w:hAnsi="Arial"/>
      <w:b/>
      <w:bCs/>
      <w:color w:val="1B1B1C"/>
      <w:sz w:val="30"/>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2F7F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B1B1C"/>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Arial" w:hAnsi="Arial"/>
      <w:b w:val="0"/>
      <w:i/>
      <w:iCs/>
      <w:color w:val="3C3B36"/>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403" w:hanging="202"/>
      <w:contextualSpacing/>
    </w:pPr>
    <w:rPr>
      <w:rFonts w:ascii="Arial" w:hAnsi="Arial"/>
      <w:color w:val="1B1B1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403" w:hanging="202"/>
      <w:contextualSpacing/>
    </w:pPr>
    <w:rPr>
      <w:rFonts w:ascii="Arial" w:hAnsi="Arial"/>
      <w:color w:val="1B1B1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60"/>
    </w:pPr>
    <w:rPr>
      <w:rFonts w:ascii="Arial" w:hAnsi="Arial"/>
      <w:b/>
      <w:bCs/>
      <w:color w:val="1B1B1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image" Target="media/image2.png"/><Relationship Id="rId19" Type="http://schemas.openxmlformats.org/officeDocument/2006/relationships/header" Target="header5.xml"/><Relationship Id="rId20" Type="http://schemas.openxmlformats.org/officeDocument/2006/relationships/header" Target="header6.xml"/><Relationship Id="rId21" Type="http://schemas.openxmlformats.org/officeDocument/2006/relationships/footer" Target="footer5.xml"/><Relationship Id="rId22" Type="http://schemas.openxmlformats.org/officeDocument/2006/relationships/footer" Target="footer6.xml"/><Relationship Id="rId23" Type="http://schemas.openxmlformats.org/officeDocument/2006/relationships/image" Target="media/image3.png"/><Relationship Id="rId24" Type="http://schemas.openxmlformats.org/officeDocument/2006/relationships/hyperlink" Target="mailto:hardeep@apas.ai" TargetMode="External"/><Relationship Id="rId25" Type="http://schemas.openxmlformats.org/officeDocument/2006/relationships/hyperlink" Target="https://apas.ai" TargetMode="External"/><Relationship Id="rId26" Type="http://schemas.openxmlformats.org/officeDocument/2006/relationships/hyperlink" Target="https://www.linkedin.com/in/hardeepanand" TargetMode="External"/><Relationship Id="rId27" Type="http://schemas.openxmlformats.org/officeDocument/2006/relationships/image" Target="media/image4.png"/><Relationship Id="rId28" Type="http://schemas.openxmlformats.org/officeDocument/2006/relationships/image" Target="media/image5.png"/><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image" Target="media/image24.png"/><Relationship Id="rId48" Type="http://schemas.openxmlformats.org/officeDocument/2006/relationships/hyperlink" Target="https://www.iso.org/standard/56639.html" TargetMode="External"/><Relationship Id="rId49" Type="http://schemas.openxmlformats.org/officeDocument/2006/relationships/hyperlink" Target="https://www.iso.org/standard/70911.html" TargetMode="External"/><Relationship Id="rId50" Type="http://schemas.openxmlformats.org/officeDocument/2006/relationships/hyperlink" Target="https://www.iso.org/standard/56643.html" TargetMode="External"/><Relationship Id="rId51" Type="http://schemas.openxmlformats.org/officeDocument/2006/relationships/hyperlink" Target="https://www.iso.org/standard/81088.html" TargetMode="External"/><Relationship Id="rId52" Type="http://schemas.openxmlformats.org/officeDocument/2006/relationships/hyperlink" Target="https://www.iso.org/standard/81860.html" TargetMode="External"/><Relationship Id="rId53" Type="http://schemas.openxmlformats.org/officeDocument/2006/relationships/hyperlink" Target="https://www.iso.org/standard/81092.html" TargetMode="External"/><Relationship Id="rId54" Type="http://schemas.openxmlformats.org/officeDocument/2006/relationships/hyperlink" Target="https://www.iso.org/standard/81093.html" TargetMode="External"/><Relationship Id="rId55" Type="http://schemas.openxmlformats.org/officeDocument/2006/relationships/hyperlink" Target="https://www.iso.org/standard/84150.html" TargetMode="External"/><Relationship Id="rId56" Type="http://schemas.openxmlformats.org/officeDocument/2006/relationships/hyperlink" Target="https://www.iso.org/standard/86532.html" TargetMode="External"/><Relationship Id="rId57" Type="http://schemas.openxmlformats.org/officeDocument/2006/relationships/hyperlink" Target="https://www.iso.org/standard/35736.html" TargetMode="External"/><Relationship Id="rId58" Type="http://schemas.openxmlformats.org/officeDocument/2006/relationships/hyperlink" Target="https://www.iso.org/standard/81745.html" TargetMode="External"/><Relationship Id="rId59" Type="http://schemas.openxmlformats.org/officeDocument/2006/relationships/hyperlink" Target="https://www.iso.org/standard/63086.html" TargetMode="External"/><Relationship Id="rId60" Type="http://schemas.openxmlformats.org/officeDocument/2006/relationships/hyperlink" Target="https://www.iso.org/standard/80752.html" TargetMode="External"/><Relationship Id="rId61" Type="http://schemas.openxmlformats.org/officeDocument/2006/relationships/hyperlink" Target="https://www.iso.org/standard/78914.html" TargetMode="External"/><Relationship Id="rId62" Type="http://schemas.openxmlformats.org/officeDocument/2006/relationships/hyperlink" Target="https://www.iso.org/standard/81743.html" TargetMode="External"/><Relationship Id="rId63" Type="http://schemas.openxmlformats.org/officeDocument/2006/relationships/hyperlink" Target="https://www.iso.org/standard/81725.html" TargetMode="External"/><Relationship Id="rId64" Type="http://schemas.openxmlformats.org/officeDocument/2006/relationships/hyperlink" Target="https://www.iso.org/standard/42001" TargetMode="External"/><Relationship Id="rId65" Type="http://schemas.openxmlformats.org/officeDocument/2006/relationships/hyperlink" Target="https://www.iso.org/standard/77304.html" TargetMode="External"/><Relationship Id="rId66" Type="http://schemas.openxmlformats.org/officeDocument/2006/relationships/hyperlink" Target="https://www.iso.org/standard/81118.html" TargetMode="External"/><Relationship Id="rId67" Type="http://schemas.openxmlformats.org/officeDocument/2006/relationships/hyperlink" Target="https://www.iso.org/standard/27001" TargetMode="External"/><Relationship Id="rId68" Type="http://schemas.openxmlformats.org/officeDocument/2006/relationships/hyperlink" Target="https://www.iso.org/standard/27701" TargetMode="External"/><Relationship Id="rId69" Type="http://schemas.openxmlformats.org/officeDocument/2006/relationships/hyperlink" Target="https://www.iso.org/standard/62542.html" TargetMode="External"/><Relationship Id="rId70" Type="http://schemas.openxmlformats.org/officeDocument/2006/relationships/hyperlink" Target="https://www.iso.org/standard/83054.html" TargetMode="External"/><Relationship Id="rId71" Type="http://schemas.openxmlformats.org/officeDocument/2006/relationships/hyperlink" Target="https://www.iso.org/standard/87404.html" TargetMode="External"/><Relationship Id="rId72" Type="http://schemas.openxmlformats.org/officeDocument/2006/relationships/hyperlink" Target="https://www.iso.org/standard/64667.html" TargetMode="External"/><Relationship Id="rId73" Type="http://schemas.openxmlformats.org/officeDocument/2006/relationships/hyperlink" Target="https://www.iso.org/standard/64668.html" TargetMode="External"/><Relationship Id="rId74" Type="http://schemas.openxmlformats.org/officeDocument/2006/relationships/hyperlink" Target="https://www.w3.org/TR/prov-o/" TargetMode="External"/><Relationship Id="rId75" Type="http://schemas.openxmlformats.org/officeDocument/2006/relationships/hyperlink" Target="https://www.w3.org/TR/prov-overview/" TargetMode="External"/><Relationship Id="rId76" Type="http://schemas.openxmlformats.org/officeDocument/2006/relationships/hyperlink" Target="https://www.w3.org/TR/vocab-dcat-3/" TargetMode="External"/><Relationship Id="rId77" Type="http://schemas.openxmlformats.org/officeDocument/2006/relationships/hyperlink" Target="https://www.w3.org/TR/vocab-dqv/" TargetMode="External"/><Relationship Id="rId78" Type="http://schemas.openxmlformats.org/officeDocument/2006/relationships/hyperlink" Target="https://www.w3.org/TR/dwbp/" TargetMode="External"/><Relationship Id="rId79" Type="http://schemas.openxmlformats.org/officeDocument/2006/relationships/hyperlink" Target="https://www.w3.org/TR/shacl/" TargetMode="External"/><Relationship Id="rId80" Type="http://schemas.openxmlformats.org/officeDocument/2006/relationships/hyperlink" Target="https://www.w3.org/TR/odrl-model/" TargetMode="External"/><Relationship Id="rId81" Type="http://schemas.openxmlformats.org/officeDocument/2006/relationships/hyperlink" Target="https://www.w3.org/TR/vc-data-model-2.0/" TargetMode="External"/><Relationship Id="rId82" Type="http://schemas.openxmlformats.org/officeDocument/2006/relationships/hyperlink" Target="https://www.w3.org/TR/vc-data-integrity/" TargetMode="External"/><Relationship Id="rId83" Type="http://schemas.openxmlformats.org/officeDocument/2006/relationships/hyperlink" Target="https://www.w3.org/TR/rdf11-concepts/" TargetMode="External"/><Relationship Id="rId84" Type="http://schemas.openxmlformats.org/officeDocument/2006/relationships/hyperlink" Target="https://www.w3.org/TR/skos-reference/" TargetMode="External"/><Relationship Id="rId85" Type="http://schemas.openxmlformats.org/officeDocument/2006/relationships/hyperlink" Target="https://www.w3.org/TR/json-ld11/" TargetMode="External"/><Relationship Id="rId86" Type="http://schemas.openxmlformats.org/officeDocument/2006/relationships/hyperlink" Target="https://www.nist.gov/itl/ai-risk-management-framework" TargetMode="External"/><Relationship Id="rId87" Type="http://schemas.openxmlformats.org/officeDocument/2006/relationships/hyperlink" Target="https://nvlpubs.nist.gov/nistpubs/SpecialPublications/1500-18/NIST.SP.1500-18r2.html" TargetMode="External"/><Relationship Id="rId88" Type="http://schemas.openxmlformats.org/officeDocument/2006/relationships/hyperlink" Target="https://csrc.nist.gov/glossary/term/provenance" TargetMode="External"/><Relationship Id="rId89" Type="http://schemas.openxmlformats.org/officeDocument/2006/relationships/hyperlink" Target="https://csrc.nist.gov/pubs/sp/800/53/r5/upd1/final" TargetMode="External"/><Relationship Id="rId90" Type="http://schemas.openxmlformats.org/officeDocument/2006/relationships/hyperlink" Target="https://csrc.nist.gov/pubs/sp/800/53/a/r5/final" TargetMode="External"/><Relationship Id="rId91" Type="http://schemas.openxmlformats.org/officeDocument/2006/relationships/hyperlink" Target="https://www.nist.gov/cyberframework" TargetMode="External"/><Relationship Id="rId92" Type="http://schemas.openxmlformats.org/officeDocument/2006/relationships/hyperlink" Target="https://www.nist.gov/privacy-framework" TargetMode="External"/><Relationship Id="rId93" Type="http://schemas.openxmlformats.org/officeDocument/2006/relationships/hyperlink" Target="https://www.nist.gov/privacy-framework/new-projects/data-governance-and-management-profile" TargetMode="External"/><Relationship Id="rId94" Type="http://schemas.openxmlformats.org/officeDocument/2006/relationships/hyperlink" Target="https://csrc.nist.gov/pubs/sp/800/161/r1/final" TargetMode="External"/><Relationship Id="rId95" Type="http://schemas.openxmlformats.org/officeDocument/2006/relationships/hyperlink" Target="https://pages.nist.gov/OSCAL/" TargetMode="External"/><Relationship Id="rId96" Type="http://schemas.openxmlformats.org/officeDocument/2006/relationships/hyperlink" Target="https://webstore.iec.ch/en/publication/6199" TargetMode="External"/><Relationship Id="rId97" Type="http://schemas.openxmlformats.org/officeDocument/2006/relationships/hyperlink" Target="https://cimug.ucaiug.org/" TargetMode="External"/><Relationship Id="rId98" Type="http://schemas.openxmlformats.org/officeDocument/2006/relationships/hyperlink" Target="https://iec61850.dvl.iec.ch/" TargetMode="External"/><Relationship Id="rId99" Type="http://schemas.openxmlformats.org/officeDocument/2006/relationships/hyperlink" Target="https://webstore.iec.ch/en/publication/62883" TargetMode="External"/><Relationship Id="rId100" Type="http://schemas.openxmlformats.org/officeDocument/2006/relationships/hyperlink" Target="https://standards.ieee.org/initiatives/autonomous-intelligence-systems/standards/" TargetMode="External"/><Relationship Id="rId101" Type="http://schemas.openxmlformats.org/officeDocument/2006/relationships/hyperlink" Target="https://openlineage.io/docs/" TargetMode="External"/><Relationship Id="rId102" Type="http://schemas.openxmlformats.org/officeDocument/2006/relationships/hyperlink" Target="https://datatracker.ietf.org/doc/html/rfc8785" TargetMode="External"/><Relationship Id="rId103" Type="http://schemas.openxmlformats.org/officeDocument/2006/relationships/hyperlink" Target="https://www.epa.gov/ground-water-and-drinking-water/americas-water-infrastructure-act-2018-awia" TargetMode="External"/><Relationship Id="rId104" Type="http://schemas.openxmlformats.org/officeDocument/2006/relationships/hyperlink" Target="https://www.epa.gov/cyberwater/cybersecurity-assessments" TargetMode="External"/><Relationship Id="rId105" Type="http://schemas.openxmlformats.org/officeDocument/2006/relationships/hyperlink" Target="https://www.cisa.gov/news-events/alerts/2024/02/21/cisa-epa-and-fbi-release-top-cyber-actions-securing-water-systems" TargetMode="External"/><Relationship Id="rId106" Type="http://schemas.openxmlformats.org/officeDocument/2006/relationships/hyperlink" Target="https://www.ofgem.gov.uk/guidance/data-best-practice-guidance" TargetMode="External"/><Relationship Id="rId107" Type="http://schemas.openxmlformats.org/officeDocument/2006/relationships/hyperlink" Target="https://www.ofgem.gov.uk/consultation/securing-open-data-energy-triage-data-best-practice-guidance" TargetMode="External"/><Relationship Id="rId108" Type="http://schemas.openxmlformats.org/officeDocument/2006/relationships/hyperlink" Target="https://www.ofwat.gov.uk/regulated-companies/open-data-in-the-water-industry/" TargetMode="External"/><Relationship Id="rId109" Type="http://schemas.openxmlformats.org/officeDocument/2006/relationships/hyperlink" Target="https://www.awwa.org/standards" TargetMode="External"/><Relationship Id="rId110" Type="http://schemas.openxmlformats.org/officeDocument/2006/relationships/hyperlink" Target="https://dama.org/learning-resources/dama-data-management-body-of-knowledge-dmbok/" TargetMode="External"/><Relationship Id="rId111" Type="http://schemas.openxmlformats.org/officeDocument/2006/relationships/hyperlink" Target="https://edmcouncil.org/announcement/announcing-dcam-v3-meet-the-new-standard-for-your-data/" TargetMode="External"/><Relationship Id="rId112" Type="http://schemas.openxmlformats.org/officeDocument/2006/relationships/hyperlink" Target="https://edmcouncil.org/frameworks/cdmc/" TargetMode="External"/><Relationship Id="rId113" Type="http://schemas.openxmlformats.org/officeDocument/2006/relationships/hyperlink" Target="https://www.isaca.org/resources/cobit" TargetMode="External"/><Relationship Id="rId114" Type="http://schemas.openxmlformats.org/officeDocument/2006/relationships/hyperlink" Target="https://www.go-fair.org/fair-principles/" TargetMode="External"/><Relationship Id="rId115" Type="http://schemas.openxmlformats.org/officeDocument/2006/relationships/hyperlink" Target="https://oecd.ai/en/ai-principles" TargetMode="External"/><Relationship Id="rId116" Type="http://schemas.openxmlformats.org/officeDocument/2006/relationships/hyperlink" Target="https://www.unesco.org/en/legal-affairs/recommendation-ethics-artificial-intelligence" TargetMode="External"/><Relationship Id="rId117" Type="http://schemas.openxmlformats.org/officeDocument/2006/relationships/hyperlink" Target="https://www.whitehouse.gov/srv/htdocs/wp-content/uploads/2025/07/Americas-AI-Action-Plan.pdf" TargetMode="External"/><Relationship Id="rId118" Type="http://schemas.openxmlformats.org/officeDocument/2006/relationships/hyperlink" Target="https://www.whitehouse.gov/fact-sheets/2025/01/fact-sheet-president-donald-j-trump-takes-action-to-enhance-americas-ai-leadership/" TargetMode="External"/><Relationship Id="rId119" Type="http://schemas.openxmlformats.org/officeDocument/2006/relationships/hyperlink" Target="https://www.whitehouse.gov/wp-content/uploads/2025/02/M-25-21-Accelerating-Federal-Use-of-AI-through-Innovation-Governance-and-Public-Trust.pdf" TargetMode="External"/><Relationship Id="rId120" Type="http://schemas.openxmlformats.org/officeDocument/2006/relationships/hyperlink" Target="https://www.whitehouse.gov/wp-content/uploads/2025/02/M-25-22-Driving-Efficient-Acquisition-of-Artificial-Intelligence-in-Government.pdf" TargetMode="External"/><Relationship Id="rId121" Type="http://schemas.openxmlformats.org/officeDocument/2006/relationships/hyperlink" Target="https://www.whitehouse.gov/wp-content/uploads/2025/01/M-25-05-Phase-2-Implementation-of-the-Foundations-for-Evidence-Based-Policymaking-Act-of-2018-Open-Government-Data-Access-and-Management-Guidance.pdf" TargetMode="External"/><Relationship Id="rId122" Type="http://schemas.openxmlformats.org/officeDocument/2006/relationships/hyperlink" Target="https://strategy.data.gov/principles/" TargetMode="External"/><Relationship Id="rId123" Type="http://schemas.openxmlformats.org/officeDocument/2006/relationships/hyperlink" Target="https://strategy.data.gov/practices/" TargetMode="External"/><Relationship Id="rId124" Type="http://schemas.openxmlformats.org/officeDocument/2006/relationships/hyperlink" Target="https://www.congress.gov/bill/115th-congress/senate-bill/2046/text" TargetMode="External"/><Relationship Id="rId125" Type="http://schemas.openxmlformats.org/officeDocument/2006/relationships/hyperlink" Target="https://www.whitehouse.gov/wp-content/uploads/legacy_drupal_files/omb/circulars/A130/a130revised.pdf" TargetMode="External"/><Relationship Id="rId126" Type="http://schemas.openxmlformats.org/officeDocument/2006/relationships/hyperlink" Target="https://www.whitehouse.gov/omb/information-resources/budget/the-presidents-fy-2026-discretionary-budget-request/" TargetMode="External"/><Relationship Id="rId127" Type="http://schemas.openxmlformats.org/officeDocument/2006/relationships/hyperlink" Target="https://www.whitehouse.gov/wp-content/uploads/2026/03/M-26-10-Reinforcing-Transparency-Accountability-and-Oversight-of-Federal-Technology.pdf" TargetMode="External"/><Relationship Id="rId128" Type="http://schemas.openxmlformats.org/officeDocument/2006/relationships/hyperlink" Target="https://leg.colorado.gov/bills/sb24-205" TargetMode="External"/><Relationship Id="rId129" Type="http://schemas.openxmlformats.org/officeDocument/2006/relationships/hyperlink" Target="https://capitol.texas.gov/billlookup/BillSummary.aspx?Bill=HB149&amp;LegSess=89R" TargetMode="External"/><Relationship Id="rId130" Type="http://schemas.openxmlformats.org/officeDocument/2006/relationships/hyperlink" Target="https://le.utah.gov/xcode/Title13/Chapter72/13-72.html" TargetMode="External"/><Relationship Id="rId131" Type="http://schemas.openxmlformats.org/officeDocument/2006/relationships/hyperlink" Target="https://leginfo.legislature.ca.gov/faces/billNavClient.xhtml?bill_id=202320240AB2013" TargetMode="External"/><Relationship Id="rId132" Type="http://schemas.openxmlformats.org/officeDocument/2006/relationships/hyperlink" Target="https://leginfo.legislature.ca.gov/faces/billTextClient.xhtml?bill_id=202320240SB942" TargetMode="External"/><Relationship Id="rId133" Type="http://schemas.openxmlformats.org/officeDocument/2006/relationships/hyperlink" Target="https://www.nyc.gov/site/dca/about/automated-employment-decision-tools.page" TargetMode="External"/><Relationship Id="rId134" Type="http://schemas.openxmlformats.org/officeDocument/2006/relationships/hyperlink" Target="https://eur-lex.europa.eu/eli/reg/2024/1689/oj" TargetMode="External"/><Relationship Id="rId135" Type="http://schemas.openxmlformats.org/officeDocument/2006/relationships/hyperlink" Target="https://eur-lex.europa.eu/eli/reg/2022/868/oj" TargetMode="External"/><Relationship Id="rId136" Type="http://schemas.openxmlformats.org/officeDocument/2006/relationships/hyperlink" Target="https://eur-lex.europa.eu/eli/reg/2023/2854/oj" TargetMode="External"/><Relationship Id="rId137" Type="http://schemas.openxmlformats.org/officeDocument/2006/relationships/hyperlink" Target="https://eur-lex.europa.eu/eli/reg/2016/679/oj" TargetMode="External"/><Relationship Id="rId138" Type="http://schemas.openxmlformats.org/officeDocument/2006/relationships/hyperlink" Target="https://eur-lex.europa.eu/eli/dir/2022/2555/oj" TargetMode="External"/><Relationship Id="rId139" Type="http://schemas.openxmlformats.org/officeDocument/2006/relationships/hyperlink" Target="https://eur-lex.europa.eu/eli/dir/2019/1024/oj" TargetMode="External"/><Relationship Id="rId140" Type="http://schemas.openxmlformats.org/officeDocument/2006/relationships/hyperlink" Target="https://digital-strategy.ec.europa.eu/en/library/ai-continent-action-plan" TargetMode="External"/><Relationship Id="rId141" Type="http://schemas.openxmlformats.org/officeDocument/2006/relationships/hyperlink" Target="https://digital-strategy.ec.europa.eu/en/library/commission-communication-apply-ai-strategy" TargetMode="External"/><Relationship Id="rId142" Type="http://schemas.openxmlformats.org/officeDocument/2006/relationships/hyperlink" Target="https://digital-strategy.ec.europa.eu/en/library/data-union-strategy-unlocking-data-ai" TargetMode="External"/><Relationship Id="rId143" Type="http://schemas.openxmlformats.org/officeDocument/2006/relationships/hyperlink" Target="https://www.gov.uk/government/collections/data-use-and-access-act-2025" TargetMode="External"/><Relationship Id="rId144" Type="http://schemas.openxmlformats.org/officeDocument/2006/relationships/hyperlink" Target="https://www.canada.ca/en/government/system/digital-government/digital-government-innovations/responsible-use-ai/algorithmic-impact-assessment.html" TargetMode="External"/><Relationship Id="rId145" Type="http://schemas.openxmlformats.org/officeDocument/2006/relationships/hyperlink" Target="https://www.canada.ca/en/treasury-board-secretariat/corporate/reports/2023-2026-data-strategy.html" TargetMode="External"/><Relationship Id="rId146" Type="http://schemas.openxmlformats.org/officeDocument/2006/relationships/hyperlink" Target="https://www.digital.gov.au/ai/ai-in-government-policy" TargetMode="External"/><Relationship Id="rId147" Type="http://schemas.openxmlformats.org/officeDocument/2006/relationships/hyperlink" Target="https://www.finance.gov.au/government/public-data/public-data-policy/data-governance-framework" TargetMode="External"/><Relationship Id="rId148" Type="http://schemas.openxmlformats.org/officeDocument/2006/relationships/hyperlink" Target="https://www.meti.go.jp/english/press/2024/0419_002.html" TargetMode="External"/><Relationship Id="rId149" Type="http://schemas.openxmlformats.org/officeDocument/2006/relationships/hyperlink" Target="https://www.msit.go.kr/eng/bbs/view.do?bbsSeqNo=42&amp;mId=4&amp;mPid=2&amp;nttSeqNo=1071" TargetMode="External"/><Relationship Id="rId150" Type="http://schemas.openxmlformats.org/officeDocument/2006/relationships/hyperlink" Target="https://sso.agc.gov.sg/Act/PSGA2018" TargetMode="External"/><Relationship Id="rId151" Type="http://schemas.openxmlformats.org/officeDocument/2006/relationships/hyperlink" Target="https://www.imda.gov.sg/how-we-can-help/ai-verify" TargetMode="External"/><Relationship Id="rId152" Type="http://schemas.openxmlformats.org/officeDocument/2006/relationships/hyperlink" Target="https://www.meity.gov.in/documents/act-and-policies/digital-personal-data-protection-rules-2025-gDOxUjMtQWa" TargetMode="External"/><Relationship Id="rId153" Type="http://schemas.openxmlformats.org/officeDocument/2006/relationships/hyperlink" Target="https://www.cac.gov.cn/2021-08/20/c_1631050028355286.htm" TargetMode="External"/><Relationship Id="rId154" Type="http://schemas.openxmlformats.org/officeDocument/2006/relationships/hyperlink" Target="https://u.ae/en/about-the-uae/digital-uae/data/data-protection-laws" TargetMode="External"/><Relationship Id="rId155" Type="http://schemas.openxmlformats.org/officeDocument/2006/relationships/hyperlink" Target="https://www.gov.br/anpd/pt-br/centrais-de-conteudo/outros-documentos-e-publicacoes-institucionais/lgpd-en-lei-no-13-709-capa.pdf" TargetMode="External"/><Relationship Id="rId156" Type="http://schemas.openxmlformats.org/officeDocument/2006/relationships/hyperlink" Target="https://sdaia.gov.sa/ndmo/Files/PoliciesEn001.pdf" TargetMode="External"/><Relationship Id="rId157" Type="http://schemas.openxmlformats.org/officeDocument/2006/relationships/hyperlink" Target="https://sdaia.gov.sa/en/SDAIA/about/Documents/Personal%20Data%20English%20V2-23April2023-%20Reviewed-.pdf" TargetMode="External"/><Relationship Id="rId158" Type="http://schemas.openxmlformats.org/officeDocument/2006/relationships/hyperlink" Target="https://www.anglianwater.co.uk/corporate/about-us/legal/data-sharing/open-data" TargetMode="External"/><Relationship Id="rId159" Type="http://schemas.openxmlformats.org/officeDocument/2006/relationships/hyperlink" Target="https://www.anglianwatergroup.co.uk/case-studies/credo-joining-forces-to-deliver-resilient-infrastructure" TargetMode="External"/><Relationship Id="rId160" Type="http://schemas.openxmlformats.org/officeDocument/2006/relationships/hyperlink" Target="https://digitaltwinhub.co.uk/anglian-waters-strategic-pipeline-alliance-spa-the-use-of-gis-in-the-common-data-environment-for-the-digital-twin/" TargetMode="External"/><Relationship Id="rId161" Type="http://schemas.openxmlformats.org/officeDocument/2006/relationships/hyperlink" Target="https://www.anglianwater.co.uk/news/1.5-million-smart-meters" TargetMode="External"/><Relationship Id="rId162" Type="http://schemas.openxmlformats.org/officeDocument/2006/relationships/hyperlink" Target="https://www.pub.gov.sg/Public/KeyInitiatives/Smart-Water-Meter" TargetMode="External"/><Relationship Id="rId163" Type="http://schemas.openxmlformats.org/officeDocument/2006/relationships/hyperlink" Target="https://www.pub.gov.sg/Resources/News-Room/PressReleases/2021/04/PUB-appoints-SP-Services-to-install-Singapore" TargetMode="External"/><Relationship Id="rId164" Type="http://schemas.openxmlformats.org/officeDocument/2006/relationships/hyperlink" Target="https://www.neom.com/en-us/our-business/sectors/technology-and-digital" TargetMode="External"/><Relationship Id="rId165" Type="http://schemas.openxmlformats.org/officeDocument/2006/relationships/hyperlink" Target="https://www.neom.com/en-us/newsroom/tonomus-communication-facility" TargetMode="External"/><Relationship Id="rId166" Type="http://schemas.openxmlformats.org/officeDocument/2006/relationships/hyperlink" Target="https://www.neom.com/en-us/privacy-policy" TargetMode="External"/><Relationship Id="rId167" Type="http://schemas.openxmlformats.org/officeDocument/2006/relationships/hyperlink" Target="https://www.iso.org/standard/83002.html" TargetMode="External"/><Relationship Id="rId168" Type="http://schemas.openxmlformats.org/officeDocument/2006/relationships/hyperlink" Target="https://www.iso.org/standard/82805.html" TargetMode="External"/><Relationship Id="rId169" Type="http://schemas.openxmlformats.org/officeDocument/2006/relationships/hyperlink" Target="https://www.iso.org/standard/78915.html" TargetMode="External"/><Relationship Id="rId170" Type="http://schemas.openxmlformats.org/officeDocument/2006/relationships/hyperlink" Target="https://www.iso.org/standard/89914.html" TargetMode="External"/><Relationship Id="rId171" Type="http://schemas.openxmlformats.org/officeDocument/2006/relationships/hyperlink" Target="https://www.iso.org/standard/81230.html" TargetMode="External"/><Relationship Id="rId172" Type="http://schemas.openxmlformats.org/officeDocument/2006/relationships/hyperlink" Target="https://www.iso.org/standard/85819.html" TargetMode="External"/><Relationship Id="rId173" Type="http://schemas.openxmlformats.org/officeDocument/2006/relationships/hyperlink" Target="https://www.iso.org/standard/73172.html" TargetMode="External"/><Relationship Id="rId174" Type="http://schemas.openxmlformats.org/officeDocument/2006/relationships/hyperlink" Target="https://www.iso.org/standard/82489.html" TargetMode="External"/><Relationship Id="rId175" Type="http://schemas.openxmlformats.org/officeDocument/2006/relationships/hyperlink" Target="https://www.iso.org/standard/64115.html" TargetMode="External"/><Relationship Id="rId176" Type="http://schemas.openxmlformats.org/officeDocument/2006/relationships/hyperlink" Target="https://www.w3.org/TR/prov-dm/" TargetMode="External"/><Relationship Id="rId177" Type="http://schemas.openxmlformats.org/officeDocument/2006/relationships/hyperlink" Target="https://www.w3.org/TR/prov-constraints/" TargetMode="External"/><Relationship Id="rId178" Type="http://schemas.openxmlformats.org/officeDocument/2006/relationships/hyperlink" Target="https://www.w3.org/TR/prov-aq/" TargetMode="External"/><Relationship Id="rId179" Type="http://schemas.openxmlformats.org/officeDocument/2006/relationships/hyperlink" Target="https://www.w3.org/TR/vocab-ssn/" TargetMode="External"/><Relationship Id="rId180" Type="http://schemas.openxmlformats.org/officeDocument/2006/relationships/hyperlink" Target="https://www.ogc.org/standards/sensorthings/" TargetMode="External"/><Relationship Id="rId181" Type="http://schemas.openxmlformats.org/officeDocument/2006/relationships/hyperlink" Target="https://www.ogc.org/standards/waterml/" TargetMode="External"/><Relationship Id="rId182" Type="http://schemas.openxmlformats.org/officeDocument/2006/relationships/hyperlink" Target="https://www.ogc.org/standards/geosparql/" TargetMode="External"/><Relationship Id="rId183" Type="http://schemas.openxmlformats.org/officeDocument/2006/relationships/hyperlink" Target="https://www.nist.gov/publications/nist-cybersecurity-framework-csf-20" TargetMode="External"/><Relationship Id="rId184" Type="http://schemas.openxmlformats.org/officeDocument/2006/relationships/hyperlink" Target="https://airc.nist.gov/docs/AI_RMF_Playbook.pdf" TargetMode="External"/><Relationship Id="rId185" Type="http://schemas.openxmlformats.org/officeDocument/2006/relationships/hyperlink" Target="https://nvlpubs.nist.gov/nistpubs/ai/NIST.AI.600-1.pdf" TargetMode="External"/><Relationship Id="rId186" Type="http://schemas.openxmlformats.org/officeDocument/2006/relationships/hyperlink" Target="https://nvlpubs.nist.gov/nistpubs/ai/NIST.AI.100-4.pdf" TargetMode="External"/><Relationship Id="rId187" Type="http://schemas.openxmlformats.org/officeDocument/2006/relationships/hyperlink" Target="https://www.nist.gov/system/files/documents/2024/06/18/DGM%20Profile%20Concept%20Paper%20%2806.18.24%29.pdf" TargetMode="External"/><Relationship Id="rId188" Type="http://schemas.openxmlformats.org/officeDocument/2006/relationships/hyperlink" Target="https://www.nist.gov/publications/nist-research-data-framework-rdaf-version-20" TargetMode="External"/><Relationship Id="rId189" Type="http://schemas.openxmlformats.org/officeDocument/2006/relationships/hyperlink" Target="https://csrc.nist.gov/glossary/term/data_integrity" TargetMode="External"/><Relationship Id="rId190" Type="http://schemas.openxmlformats.org/officeDocument/2006/relationships/hyperlink" Target="https://csrc.nist.gov/pubs/sp/1800/25/final" TargetMode="External"/><Relationship Id="rId191" Type="http://schemas.openxmlformats.org/officeDocument/2006/relationships/hyperlink" Target="https://csrc.nist.gov/pubs/sp/1800/26/final" TargetMode="External"/><Relationship Id="rId192" Type="http://schemas.openxmlformats.org/officeDocument/2006/relationships/hyperlink" Target="https://csrc.nist.gov/pubs/sp/800/218/final" TargetMode="External"/><Relationship Id="rId193" Type="http://schemas.openxmlformats.org/officeDocument/2006/relationships/hyperlink" Target="https://csrc.nist.gov/pubs/ir/7628/r1/final" TargetMode="External"/><Relationship Id="rId194" Type="http://schemas.openxmlformats.org/officeDocument/2006/relationships/hyperlink" Target="https://csrc.nist.gov/pubs/tn/2051/final" TargetMode="External"/><Relationship Id="rId195" Type="http://schemas.openxmlformats.org/officeDocument/2006/relationships/hyperlink" Target="https://webstore.iec.ch/en/publication/75041" TargetMode="External"/><Relationship Id="rId196" Type="http://schemas.openxmlformats.org/officeDocument/2006/relationships/hyperlink" Target="https://webstore.iec.ch/en/publication/6912" TargetMode="External"/><Relationship Id="rId197" Type="http://schemas.openxmlformats.org/officeDocument/2006/relationships/hyperlink" Target="https://webstore.iec.ch/en/publication/76108" TargetMode="External"/><Relationship Id="rId198" Type="http://schemas.openxmlformats.org/officeDocument/2006/relationships/hyperlink" Target="https://webstore.iec.ch/en/publication/34421" TargetMode="External"/><Relationship Id="rId199" Type="http://schemas.openxmlformats.org/officeDocument/2006/relationships/hyperlink" Target="https://www.nerc.com/pa/Stand/Pages/CIPStandards.aspx" TargetMode="External"/><Relationship Id="rId200" Type="http://schemas.openxmlformats.org/officeDocument/2006/relationships/hyperlink" Target="https://prod.nerc.com/standards/reliability-standards/cip/cip-010-4" TargetMode="External"/><Relationship Id="rId201" Type="http://schemas.openxmlformats.org/officeDocument/2006/relationships/hyperlink" Target="https://www.nerc.com/globalassets/standards/reliability-standards/cip/cip-011-4.1.pdf" TargetMode="External"/><Relationship Id="rId202" Type="http://schemas.openxmlformats.org/officeDocument/2006/relationships/hyperlink" Target="https://www.cisa.gov/sites/default/files/2024-09/epa-guidance-on-improving-cybersecurity-at-drinking-water-and-wastewater-systems-1.pdf" TargetMode="External"/><Relationship Id="rId203" Type="http://schemas.openxmlformats.org/officeDocument/2006/relationships/hyperlink" Target="https://www.cisa.gov/cybersecurity-performance-goals" TargetMode="External"/><Relationship Id="rId204" Type="http://schemas.openxmlformats.org/officeDocument/2006/relationships/hyperlink" Target="https://edmcouncil.org/frameworks/dcam/" TargetMode="External"/><Relationship Id="rId205" Type="http://schemas.openxmlformats.org/officeDocument/2006/relationships/hyperlink" Target="https://edmcouncil.org/wp-content/uploads/2023/06/CDMC_Framework_V1.1.1.pdf" TargetMode="External"/><Relationship Id="rId206" Type="http://schemas.openxmlformats.org/officeDocument/2006/relationships/hyperlink" Target="https://spec.c2pa.org/specifications/specifications/2.2/index.html" TargetMode="External"/><Relationship Id="rId207" Type="http://schemas.openxmlformats.org/officeDocument/2006/relationships/hyperlink" Target="https://theodi.org/insights/tools/data-ethics-canvas/" TargetMode="External"/><Relationship Id="rId208" Type="http://schemas.openxmlformats.org/officeDocument/2006/relationships/hyperlink" Target="https://legalinstruments.oecd.org/en/instruments/OECD-LEGAL-0449" TargetMode="External"/><Relationship Id="rId209" Type="http://schemas.openxmlformats.org/officeDocument/2006/relationships/hyperlink" Target="https://www.unesco.org/en/artificial-intelligence/recommendation-ethics" TargetMode="External"/><Relationship Id="rId210" Type="http://schemas.openxmlformats.org/officeDocument/2006/relationships/hyperlink" Target="https://standards.ieee.org/industry-connections/ec/autonomous-systems.html" TargetMode="External"/><Relationship Id="rId211" Type="http://schemas.openxmlformats.org/officeDocument/2006/relationships/hyperlink" Target="https://www.congress.gov/bill/115th-congress/house-bill/4174" TargetMode="External"/><Relationship Id="rId212" Type="http://schemas.openxmlformats.org/officeDocument/2006/relationships/hyperlink" Target="https://uscode.house.gov/view.xhtml?edition=prelim&amp;num=0&amp;req=granuleid%3AUSC-prelim-title44-section3520" TargetMode="External"/><Relationship Id="rId213" Type="http://schemas.openxmlformats.org/officeDocument/2006/relationships/hyperlink" Target="https://www.whitehouse.gov/wp-content/uploads/2019/06/M-19-18.pdf" TargetMode="External"/><Relationship Id="rId214" Type="http://schemas.openxmlformats.org/officeDocument/2006/relationships/hyperlink" Target="https://strategy.data.gov/" TargetMode="External"/><Relationship Id="rId215" Type="http://schemas.openxmlformats.org/officeDocument/2006/relationships/hyperlink" Target="https://www.whitehouse.gov/releases/2025/07/white-house-unveils-americas-ai-action-plan/" TargetMode="External"/><Relationship Id="rId216" Type="http://schemas.openxmlformats.org/officeDocument/2006/relationships/hyperlink" Target="https://www.whitehouse.gov/wp-content/uploads/2025/04/M-25-22-Driving-Efficient-Acquisition-of-Artificial-Intelligence-in-Government.pdf" TargetMode="External"/><Relationship Id="rId217" Type="http://schemas.openxmlformats.org/officeDocument/2006/relationships/hyperlink" Target="https://www.whitehouse.gov/wp-content/uploads/2025/12/M-26-04-Increasing-Public-Trust-in-Artificial-Intelligence-Through-Unbiased-AI-Principles-1.pdf" TargetMode="External"/><Relationship Id="rId218" Type="http://schemas.openxmlformats.org/officeDocument/2006/relationships/hyperlink" Target="https://www.whitehouse.gov/wp-content/uploads/2026/01/M-26-05-Adopting-a-Risk-based-Approach-to-Software-and-Hardware-Security.pdf" TargetMode="External"/><Relationship Id="rId219" Type="http://schemas.openxmlformats.org/officeDocument/2006/relationships/hyperlink" Target="https://www.whitehouse.gov/wp-content/uploads/2026/05/M-26-14-Ensuring-Effective-and-Efficient-Agency-Logging-and-Network-Visibility-to-Defend-Against-Evolving-Cyber-Threats.pdf" TargetMode="External"/><Relationship Id="rId220" Type="http://schemas.openxmlformats.org/officeDocument/2006/relationships/hyperlink" Target="https://www.whitehouse.gov/presidential-actions/2026/06/national-security-presidential-memorandum-nspm-11/" TargetMode="External"/><Relationship Id="rId221" Type="http://schemas.openxmlformats.org/officeDocument/2006/relationships/hyperlink" Target="https://www.whitehouse.gov/omb/information-resources/budget/" TargetMode="External"/><Relationship Id="rId222" Type="http://schemas.openxmlformats.org/officeDocument/2006/relationships/hyperlink" Target="https://www.whitehouse.gov/omb/budget/analytical-perspectives/" TargetMode="External"/><Relationship Id="rId223" Type="http://schemas.openxmlformats.org/officeDocument/2006/relationships/hyperlink" Target="https://leginfo.legislature.ca.gov/faces/billTextClient.xhtml?bill_id=202320240AB2013" TargetMode="External"/><Relationship Id="rId224" Type="http://schemas.openxmlformats.org/officeDocument/2006/relationships/hyperlink" Target="https://coag.gov/ai/" TargetMode="External"/><Relationship Id="rId225" Type="http://schemas.openxmlformats.org/officeDocument/2006/relationships/hyperlink" Target="https://le.utah.gov/~2024/bills/static/SB0149.html" TargetMode="External"/><Relationship Id="rId226" Type="http://schemas.openxmlformats.org/officeDocument/2006/relationships/hyperlink" Target="https://www.ncsl.org/financial-services/artificial-intelligence-legislation-database" TargetMode="External"/><Relationship Id="rId227" Type="http://schemas.openxmlformats.org/officeDocument/2006/relationships/hyperlink" Target="https://digital-strategy.ec.europa.eu/en/policies/data-governance-act" TargetMode="External"/><Relationship Id="rId228" Type="http://schemas.openxmlformats.org/officeDocument/2006/relationships/hyperlink" Target="https://digital-strategy.ec.europa.eu/en/factpages/data-act-explained" TargetMode="External"/><Relationship Id="rId229" Type="http://schemas.openxmlformats.org/officeDocument/2006/relationships/hyperlink" Target="https://eur-lex.europa.eu/eli/reg/2024/1689/oj?locale=en" TargetMode="External"/><Relationship Id="rId230" Type="http://schemas.openxmlformats.org/officeDocument/2006/relationships/hyperlink" Target="https://eur-lex.europa.eu/eli/dir/2022/2557/oj" TargetMode="External"/><Relationship Id="rId231" Type="http://schemas.openxmlformats.org/officeDocument/2006/relationships/hyperlink" Target="https://eur-lex.europa.eu/eli/reg/2024/903/oj" TargetMode="External"/><Relationship Id="rId232" Type="http://schemas.openxmlformats.org/officeDocument/2006/relationships/hyperlink" Target="https://commission.europa.eu/topics/competitiveness/ai-continent_en" TargetMode="External"/><Relationship Id="rId233" Type="http://schemas.openxmlformats.org/officeDocument/2006/relationships/hyperlink" Target="https://digital-strategy.ec.europa.eu/en/policies/data-union" TargetMode="External"/><Relationship Id="rId234" Type="http://schemas.openxmlformats.org/officeDocument/2006/relationships/hyperlink" Target="https://digital-strategy.ec.europa.eu/en/policies/data-spaces" TargetMode="External"/><Relationship Id="rId235" Type="http://schemas.openxmlformats.org/officeDocument/2006/relationships/hyperlink" Target="https://digital-strategy.ec.europa.eu/en/policies/eu-policy-digitalisation-energy" TargetMode="External"/><Relationship Id="rId236" Type="http://schemas.openxmlformats.org/officeDocument/2006/relationships/hyperlink" Target="https://digital-strategy.ec.europa.eu/en/consultations/targeted-consultation-safeguarding-eus-data-sovereignty" TargetMode="External"/><Relationship Id="rId237" Type="http://schemas.openxmlformats.org/officeDocument/2006/relationships/hyperlink" Target="https://www.gov.uk/government/publications/data-ethics-framework/data-and-ai-ethics-framework" TargetMode="External"/><Relationship Id="rId238" Type="http://schemas.openxmlformats.org/officeDocument/2006/relationships/hyperlink" Target="https://www.gov.uk/government/collections/metadata-standards-for-sharing-and-publishing-data" TargetMode="External"/><Relationship Id="rId239" Type="http://schemas.openxmlformats.org/officeDocument/2006/relationships/hyperlink" Target="https://www.gov.uk/government/publications/making-government-datasets-ready-for-ai" TargetMode="External"/><Relationship Id="rId240" Type="http://schemas.openxmlformats.org/officeDocument/2006/relationships/hyperlink" Target="https://sdaia.gov.sa/en/Research/Documents/National-Data-Index_v1.0_EN.PDF" TargetMode="External"/><Relationship Id="rId241" Type="http://schemas.openxmlformats.org/officeDocument/2006/relationships/hyperlink" Target="https://sso.agc.gov.sg/Act/PDPA2012" TargetMode="External"/><Relationship Id="rId242" Type="http://schemas.openxmlformats.org/officeDocument/2006/relationships/hyperlink" Target="https://www.pdpc.gov.sg/help-and-resources/2020/01/model-ai-governance-framework" TargetMode="External"/><Relationship Id="rId243" Type="http://schemas.openxmlformats.org/officeDocument/2006/relationships/hyperlink" Target="https://www.smartnation.gov.sg/initiatives/national-ai-strategy/" TargetMode="External"/><Relationship Id="rId244" Type="http://schemas.openxmlformats.org/officeDocument/2006/relationships/hyperlink" Target="https://www.tbs-sct.canada.ca/pol/doc-eng.aspx?id=32592" TargetMode="External"/><Relationship Id="rId245" Type="http://schemas.openxmlformats.org/officeDocument/2006/relationships/hyperlink" Target="https://www.industry.gov.au/publications/guidance-ai-adoption" TargetMode="External"/><Relationship Id="rId246" Type="http://schemas.openxmlformats.org/officeDocument/2006/relationships/hyperlink" Target="https://www.legislation.gov.au/C2004A03712/latest/text" TargetMode="External"/><Relationship Id="rId247" Type="http://schemas.openxmlformats.org/officeDocument/2006/relationships/hyperlink" Target="https://www.meti.go.jp/shingikai/mono_info_service/ai_shakai_jisso/" TargetMode="External"/><Relationship Id="rId248" Type="http://schemas.openxmlformats.org/officeDocument/2006/relationships/hyperlink" Target="https://www.ppc.go.jp/en/legal/" TargetMode="External"/><Relationship Id="rId249" Type="http://schemas.openxmlformats.org/officeDocument/2006/relationships/hyperlink" Target="https://www.msit.go.kr/eng/bbs/view.do%3Bjsessionid%3DR15sRn4EJvYb4ya9k4Roiy9k6Ci-tgMefxkNeVIs.AP_msit_1?bbsSeqNo=42&amp;mId=4&amp;mPid=2&amp;nttSeqNo=1214&amp;sCode=eng" TargetMode="External"/><Relationship Id="rId250" Type="http://schemas.openxmlformats.org/officeDocument/2006/relationships/hyperlink" Target="https://en.npc.gov.cn.cdurl.cn/2021-12/29/c_694559.htm" TargetMode="External"/><Relationship Id="rId251" Type="http://schemas.openxmlformats.org/officeDocument/2006/relationships/hyperlink" Target="https://en.npc.gov.cn.cdurl.cn/2021-06/10/c_689311.htm" TargetMode="External"/><Relationship Id="rId252" Type="http://schemas.openxmlformats.org/officeDocument/2006/relationships/hyperlink" Target="https://www.cac.gov.cn/2024-09/30/c_1729384452307680.htm" TargetMode="External"/><Relationship Id="rId253" Type="http://schemas.openxmlformats.org/officeDocument/2006/relationships/hyperlink" Target="https://www.gov.br/anpd/pt-br/assuntos/legislacao/lgpd" TargetMode="External"/><Relationship Id="rId254" Type="http://schemas.openxmlformats.org/officeDocument/2006/relationships/hyperlink" Target="https://www.gov.br/mcti/pt-br/acompanhe-o-mcti/transformacaodigital/ai-for-the-good-of-all-2025.pdf" TargetMode="External"/><Relationship Id="rId255" Type="http://schemas.openxmlformats.org/officeDocument/2006/relationships/hyperlink" Target="https://u.ae/en/about-the-uae/strategies-initiatives-and-awards/policies/artificial-intelligence/the-uae-charter-for-the-development-and-use-of-artificial-intelligence" TargetMode="External"/><Relationship Id="rId256" Type="http://schemas.openxmlformats.org/officeDocument/2006/relationships/hyperlink" Target="https://u.ae/en/about-the-uae/strategies-initiatives-and-awards/strategies-plans-and-visions/government-services-and-digital-transformation/dubai-universal-blueprint-for-ai" TargetMode="External"/><Relationship Id="rId257" Type="http://schemas.openxmlformats.org/officeDocument/2006/relationships/hyperlink" Target="https://au.int/en/documents/20220728/au-data-policy-framework" TargetMode="External"/><Relationship Id="rId258" Type="http://schemas.openxmlformats.org/officeDocument/2006/relationships/hyperlink" Target="https://au.int/en/documents/20240809/continental-artificial-intelligence-strategy" TargetMode="External"/><Relationship Id="rId259" Type="http://schemas.openxmlformats.org/officeDocument/2006/relationships/hyperlink" Target="https://www.anglianwater.co.uk/corporate/about-us/about-anglian-water/governance" TargetMode="External"/><Relationship Id="rId260" Type="http://schemas.openxmlformats.org/officeDocument/2006/relationships/hyperlink" Target="https://www.ofwat.gov.uk/publication/h2open-open-data-in-the-water-industry-a-case-for-change-case-study-appendix/" TargetMode="External"/><Relationship Id="rId261" Type="http://schemas.openxmlformats.org/officeDocument/2006/relationships/hyperlink" Target="https://www.pub.gov.sg/-/media/Images/Feature/Content-Pages/Resources/R-and-D/Digitalising-Water-Sharing-Singapores-Experience.pdf" TargetMode="External"/><Relationship Id="rId262" Type="http://schemas.openxmlformats.org/officeDocument/2006/relationships/hyperlink" Target="https://www.neom.com/en-us/about/our-values/code-of-conduct/our-technology/data-privacy" TargetMode="External"/><Relationship Id="rId263" Type="http://schemas.openxmlformats.org/officeDocument/2006/relationships/hyperlink" Target="https://ntrs.nasa.gov/api/citations/20220003102/downloads/MLtool_220525.pdf?attachment=true" TargetMode="External"/><Relationship Id="rId264" Type="http://schemas.openxmlformats.org/officeDocument/2006/relationships/hyperlink" Target="https://digital-strategy.ec.europa.eu/en/news/experts-say-privately-held-data-available-european-union-should-be-used-better-and-more" TargetMode="External"/><Relationship Id="rId265" Type="http://schemas.openxmlformats.org/officeDocument/2006/relationships/image" Target="media/image25.png"/><Relationship Id="rId266" Type="http://schemas.openxmlformats.org/officeDocument/2006/relationships/header" Target="header7.xml"/><Relationship Id="rId267" Type="http://schemas.openxmlformats.org/officeDocument/2006/relationships/header" Target="header8.xml"/><Relationship Id="rId268" Type="http://schemas.openxmlformats.org/officeDocument/2006/relationships/footer" Target="footer7.xml"/><Relationship Id="rId269" Type="http://schemas.openxmlformats.org/officeDocument/2006/relationships/footer" Target="footer8.xml"/><Relationship Id="rId27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Ready Before AI Ready | A Utility Application Paper on Governance, Lineage, Provenance and Data Integrity</dc:title>
  <dc:subject>Utility data governance, lineage, provenance, integrity and AI readiness</dc:subject>
  <dc:creator>Hardeep Anand, P.E.</dc:creator>
  <cp:keywords>utility, data governance, provenance, lineage, integrity, AI, ISO, W3C, NIST, APAS AI, One Water OS</cp:keywords>
  <dc:description>APAS AI utility data governance operational e-book, Version 2.3</dc:description>
  <cp:lastModifiedBy/>
  <cp:revision>1</cp:revision>
  <dcterms:created xsi:type="dcterms:W3CDTF">2013-12-23T23:15:00Z</dcterms:created>
  <dcterms:modified xsi:type="dcterms:W3CDTF">2013-12-23T23:15:00Z</dcterms:modified>
  <cp:category/>
</cp:coreProperties>
</file>