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randRF"/>
      </w:pPr>
      <w:r>
        <w:t xml:space="preserve">Ride Fleet</w:t>
      </w:r>
    </w:p>
    <w:p>
      <w:pPr>
        <w:pStyle w:val="HeroRF"/>
      </w:pPr>
      <w:r>
        <w:t xml:space="preserve">Founding Client Service Proposal</w:t>
      </w:r>
    </w:p>
    <w:p>
      <w:pPr>
        <w:pStyle w:val="SubHeroRF"/>
      </w:pPr>
      <w:r>
        <w:t xml:space="preserve">Loaner Program + Optional Customer Service + Puerto Rico Tolls</w:t>
      </w:r>
    </w:p>
    <w:p>
      <w:pPr>
        <w:spacing w:after="120"/>
      </w:pPr>
    </w:p>
    <w:p>
      <w:pPr>
        <w:spacing w:after="120"/>
      </w:pPr>
    </w:p>
    <w:p>
      <w:pPr>
        <w:pStyle w:val="Heading1RF"/>
      </w:pPr>
      <w:r>
        <w:t xml:space="preserve">Founding Client Pricing Proposal</w:t>
      </w:r>
    </w:p>
    <w:p>
      <w:pPr>
        <w:spacing w:after="120"/>
      </w:pPr>
    </w:p>
    <w:p>
      <w:pPr>
        <w:pStyle w:val="BodyRF"/>
      </w:pPr>
      <w:r>
        <w:t xml:space="preserve">Fecha: 2026-03-26</w:t>
      </w:r>
    </w:p>
    <w:p>
      <w:pPr>
        <w:spacing w:after="120"/>
      </w:pPr>
    </w:p>
    <w:p>
      <w:pPr>
        <w:pStyle w:val="BodyRF"/>
      </w:pPr>
      <w:r>
        <w:t xml:space="preserve">Cliente: Dealership Loaner Program Prospect</w:t>
      </w:r>
    </w:p>
    <w:p>
      <w:pPr>
        <w:spacing w:after="120"/>
      </w:pPr>
    </w:p>
    <w:p>
      <w:pPr>
        <w:pStyle w:val="Heading1RF"/>
      </w:pPr>
      <w:r>
        <w:t xml:space="preserve">Executive Summary</w:t>
      </w:r>
    </w:p>
    <w:p>
      <w:pPr>
        <w:spacing w:after="120"/>
      </w:pPr>
    </w:p>
    <w:p>
      <w:pPr>
        <w:pStyle w:val="BodyRF"/>
      </w:pPr>
      <w:r>
        <w:t xml:space="preserve">Ride Fleet proposes a founding client agreement for a dealership operation that</w:t>
      </w:r>
    </w:p>
    <w:p>
      <w:pPr>
        <w:pStyle w:val="BodyRF"/>
      </w:pPr>
      <w:r>
        <w:t xml:space="preserve">plans to manage up to 200 loaner vehicles inside the platform.</w:t>
      </w:r>
    </w:p>
    <w:p>
      <w:pPr>
        <w:spacing w:after="120"/>
      </w:pPr>
    </w:p>
    <w:p>
      <w:pPr>
        <w:pStyle w:val="BodyRF"/>
      </w:pPr>
      <w:r>
        <w:t xml:space="preserve">This proposal is designed to:</w:t>
      </w:r>
    </w:p>
    <w:p>
      <w:pPr>
        <w:spacing w:after="120"/>
      </w:pPr>
    </w:p>
    <w:p>
      <w:pPr>
        <w:pStyle w:val="BulletRF"/>
      </w:pPr>
      <w:r>
        <w:t xml:space="preserve">• give the client preferential early pricing</w:t>
      </w:r>
    </w:p>
    <w:p>
      <w:pPr>
        <w:pStyle w:val="BulletRF"/>
      </w:pPr>
      <w:r>
        <w:t xml:space="preserve">• keep the platform competitive against legacy low-cost tools</w:t>
      </w:r>
    </w:p>
    <w:p>
      <w:pPr>
        <w:pStyle w:val="BulletRF"/>
      </w:pPr>
      <w:r>
        <w:t xml:space="preserve">• remain meaningfully below premium enterprise alternatives</w:t>
      </w:r>
    </w:p>
    <w:p>
      <w:pPr>
        <w:pStyle w:val="BulletRF"/>
      </w:pPr>
      <w:r>
        <w:t xml:space="preserve">• preserve enough value for onboarding, support, and product growth</w:t>
      </w:r>
    </w:p>
    <w:p>
      <w:pPr>
        <w:spacing w:after="120"/>
      </w:pPr>
    </w:p>
    <w:p>
      <w:pPr>
        <w:pStyle w:val="BodyRF"/>
      </w:pPr>
      <w:r>
        <w:t xml:space="preserve">The proposal includes:</w:t>
      </w:r>
    </w:p>
    <w:p>
      <w:pPr>
        <w:spacing w:after="120"/>
      </w:pPr>
    </w:p>
    <w:p>
      <w:pPr>
        <w:pStyle w:val="BulletRF"/>
      </w:pPr>
      <w:r>
        <w:t xml:space="preserve">• one-time onboarding and setup</w:t>
      </w:r>
    </w:p>
    <w:p>
      <w:pPr>
        <w:pStyle w:val="BulletRF"/>
      </w:pPr>
      <w:r>
        <w:t xml:space="preserve">• Ride Fleet core platform access</w:t>
      </w:r>
    </w:p>
    <w:p>
      <w:pPr>
        <w:pStyle w:val="BulletRF"/>
      </w:pPr>
      <w:r>
        <w:t xml:space="preserve">• Loaner Program module</w:t>
      </w:r>
    </w:p>
    <w:p>
      <w:pPr>
        <w:pStyle w:val="BulletRF"/>
      </w:pPr>
      <w:r>
        <w:t xml:space="preserve">• optional add-ons for:</w:t>
      </w:r>
    </w:p>
    <w:p>
      <w:pPr>
        <w:pStyle w:val="BulletRF"/>
      </w:pPr>
      <w:r>
        <w:t xml:space="preserve">• Customer Service</w:t>
      </w:r>
    </w:p>
    <w:p>
      <w:pPr>
        <w:pStyle w:val="BulletRF"/>
      </w:pPr>
      <w:r>
        <w:t xml:space="preserve">• Puerto Rico Tolls</w:t>
      </w:r>
    </w:p>
    <w:p>
      <w:pPr>
        <w:spacing w:after="120"/>
      </w:pPr>
    </w:p>
    <w:p>
      <w:pPr>
        <w:pStyle w:val="Heading1RF"/>
      </w:pPr>
      <w:r>
        <w:t xml:space="preserve">Proposed Commercial Structure</w:t>
      </w:r>
    </w:p>
    <w:p>
      <w:pPr>
        <w:spacing w:after="120"/>
      </w:pPr>
    </w:p>
    <w:p>
      <w:pPr>
        <w:pStyle w:val="Heading2RF"/>
      </w:pPr>
      <w:r>
        <w:t xml:space="preserve">One-Time Setup Fee</w:t>
      </w:r>
    </w:p>
    <w:p>
      <w:pPr>
        <w:spacing w:after="120"/>
      </w:pPr>
    </w:p>
    <w:p>
      <w:pPr>
        <w:pStyle w:val="BodyRF"/>
      </w:pPr>
      <w:r>
        <w:t xml:space="preserve">$1,500</w:t>
      </w:r>
    </w:p>
    <w:p>
      <w:pPr>
        <w:spacing w:after="120"/>
      </w:pPr>
    </w:p>
    <w:p>
      <w:pPr>
        <w:pStyle w:val="BodyRF"/>
      </w:pPr>
      <w:r>
        <w:t xml:space="preserve">Includes:</w:t>
      </w:r>
    </w:p>
    <w:p>
      <w:pPr>
        <w:spacing w:after="120"/>
      </w:pPr>
    </w:p>
    <w:p>
      <w:pPr>
        <w:pStyle w:val="BulletRF"/>
      </w:pPr>
      <w:r>
        <w:t xml:space="preserve">• tenant creation and configuration</w:t>
      </w:r>
    </w:p>
    <w:p>
      <w:pPr>
        <w:pStyle w:val="BulletRF"/>
      </w:pPr>
      <w:r>
        <w:t xml:space="preserve">• location and basic settings setup</w:t>
      </w:r>
    </w:p>
    <w:p>
      <w:pPr>
        <w:pStyle w:val="BulletRF"/>
      </w:pPr>
      <w:r>
        <w:t xml:space="preserve">• user and role setup</w:t>
      </w:r>
    </w:p>
    <w:p>
      <w:pPr>
        <w:pStyle w:val="BulletRF"/>
      </w:pPr>
      <w:r>
        <w:t xml:space="preserve">• module activation</w:t>
      </w:r>
    </w:p>
    <w:p>
      <w:pPr>
        <w:pStyle w:val="BulletRF"/>
      </w:pPr>
      <w:r>
        <w:t xml:space="preserve">• agreement and operational form configuration</w:t>
      </w:r>
    </w:p>
    <w:p>
      <w:pPr>
        <w:pStyle w:val="BulletRF"/>
      </w:pPr>
      <w:r>
        <w:t xml:space="preserve">• fleet import templates</w:t>
      </w:r>
    </w:p>
    <w:p>
      <w:pPr>
        <w:pStyle w:val="BulletRF"/>
      </w:pPr>
      <w:r>
        <w:t xml:space="preserve">• go-live configuration support</w:t>
      </w:r>
    </w:p>
    <w:p>
      <w:pPr>
        <w:pStyle w:val="BulletRF"/>
      </w:pPr>
      <w:r>
        <w:t xml:space="preserve">• admin and ops onboarding</w:t>
      </w:r>
    </w:p>
    <w:p>
      <w:pPr>
        <w:spacing w:after="120"/>
      </w:pPr>
    </w:p>
    <w:p>
      <w:pPr>
        <w:pStyle w:val="Heading1RF"/>
      </w:pPr>
      <w:r>
        <w:t xml:space="preserve">Monthly Subscription</w:t>
      </w:r>
    </w:p>
    <w:p>
      <w:pPr>
        <w:spacing w:after="120"/>
      </w:pPr>
    </w:p>
    <w:p>
      <w:pPr>
        <w:pStyle w:val="Heading2RF"/>
      </w:pPr>
      <w:r>
        <w:t xml:space="preserve">Ride Fleet Core + Loaner Program</w:t>
      </w:r>
    </w:p>
    <w:p>
      <w:pPr>
        <w:spacing w:after="120"/>
      </w:pPr>
    </w:p>
    <w:p>
      <w:pPr>
        <w:pStyle w:val="BodyRF"/>
      </w:pPr>
      <w:r>
        <w:t xml:space="preserve">$1,250 / month</w:t>
      </w:r>
    </w:p>
    <w:p>
      <w:pPr>
        <w:spacing w:after="120"/>
      </w:pPr>
    </w:p>
    <w:p>
      <w:pPr>
        <w:pStyle w:val="BodyRF"/>
      </w:pPr>
      <w:r>
        <w:t xml:space="preserve">Includes:</w:t>
      </w:r>
    </w:p>
    <w:p>
      <w:pPr>
        <w:spacing w:after="120"/>
      </w:pPr>
    </w:p>
    <w:p>
      <w:pPr>
        <w:pStyle w:val="BulletRF"/>
      </w:pPr>
      <w:r>
        <w:t xml:space="preserve">• Ride Fleet core platform</w:t>
      </w:r>
    </w:p>
    <w:p>
      <w:pPr>
        <w:pStyle w:val="BulletRF"/>
      </w:pPr>
      <w:r>
        <w:t xml:space="preserve">• Dealership Loaner Program</w:t>
      </w:r>
    </w:p>
    <w:p>
      <w:pPr>
        <w:pStyle w:val="BulletRF"/>
      </w:pPr>
      <w:r>
        <w:t xml:space="preserve">• up to 200 active loaner vehicles</w:t>
      </w:r>
    </w:p>
    <w:p>
      <w:pPr>
        <w:pStyle w:val="BulletRF"/>
      </w:pPr>
      <w:r>
        <w:t xml:space="preserve">• reservation workflow</w:t>
      </w:r>
    </w:p>
    <w:p>
      <w:pPr>
        <w:pStyle w:val="BulletRF"/>
      </w:pPr>
      <w:r>
        <w:t xml:space="preserve">• customer records</w:t>
      </w:r>
    </w:p>
    <w:p>
      <w:pPr>
        <w:pStyle w:val="BulletRF"/>
      </w:pPr>
      <w:r>
        <w:t xml:space="preserve">• employee operations workflow</w:t>
      </w:r>
    </w:p>
    <w:p>
      <w:pPr>
        <w:pStyle w:val="BulletRF"/>
      </w:pPr>
      <w:r>
        <w:t xml:space="preserve">• check-out and check-in</w:t>
      </w:r>
    </w:p>
    <w:p>
      <w:pPr>
        <w:pStyle w:val="BulletRF"/>
      </w:pPr>
      <w:r>
        <w:t xml:space="preserve">• inspection support</w:t>
      </w:r>
    </w:p>
    <w:p>
      <w:pPr>
        <w:pStyle w:val="BulletRF"/>
      </w:pPr>
      <w:r>
        <w:t xml:space="preserve">• payment workflow</w:t>
      </w:r>
    </w:p>
    <w:p>
      <w:pPr>
        <w:pStyle w:val="BulletRF"/>
      </w:pPr>
      <w:r>
        <w:t xml:space="preserve">• operational dashboards</w:t>
      </w:r>
    </w:p>
    <w:p>
      <w:pPr>
        <w:pStyle w:val="BulletRF"/>
      </w:pPr>
      <w:r>
        <w:t xml:space="preserve">• reporting</w:t>
      </w:r>
    </w:p>
    <w:p>
      <w:pPr>
        <w:pStyle w:val="BulletRF"/>
      </w:pPr>
      <w:r>
        <w:t xml:space="preserve">• standard support</w:t>
      </w:r>
    </w:p>
    <w:p>
      <w:pPr>
        <w:spacing w:after="120"/>
      </w:pPr>
    </w:p>
    <w:p>
      <w:pPr>
        <w:pStyle w:val="BodyRF"/>
      </w:pPr>
      <w:r>
        <w:t xml:space="preserve">This pricing is intentionally positioned as founding client pricing and should</w:t>
      </w:r>
    </w:p>
    <w:p>
      <w:pPr>
        <w:pStyle w:val="BodyRF"/>
      </w:pPr>
      <w:r>
        <w:t xml:space="preserve">be described as preferred early-adopter pricing.</w:t>
      </w:r>
    </w:p>
    <w:p>
      <w:pPr>
        <w:spacing w:after="120"/>
      </w:pPr>
    </w:p>
    <w:p>
      <w:pPr>
        <w:pStyle w:val="Heading1RF"/>
      </w:pPr>
      <w:r>
        <w:t xml:space="preserve">Optional Add-Ons</w:t>
      </w:r>
    </w:p>
    <w:p>
      <w:pPr>
        <w:spacing w:after="120"/>
      </w:pPr>
    </w:p>
    <w:p>
      <w:pPr>
        <w:pStyle w:val="Heading2RF"/>
      </w:pPr>
      <w:r>
        <w:t xml:space="preserve">Customer Service Module</w:t>
      </w:r>
    </w:p>
    <w:p>
      <w:pPr>
        <w:spacing w:after="120"/>
      </w:pPr>
    </w:p>
    <w:p>
      <w:pPr>
        <w:pStyle w:val="BodyRF"/>
      </w:pPr>
      <w:r>
        <w:t xml:space="preserve">$250 / month</w:t>
      </w:r>
    </w:p>
    <w:p>
      <w:pPr>
        <w:spacing w:after="120"/>
      </w:pPr>
    </w:p>
    <w:p>
      <w:pPr>
        <w:pStyle w:val="BodyRF"/>
      </w:pPr>
      <w:r>
        <w:t xml:space="preserve">Includes:</w:t>
      </w:r>
    </w:p>
    <w:p>
      <w:pPr>
        <w:spacing w:after="120"/>
      </w:pPr>
    </w:p>
    <w:p>
      <w:pPr>
        <w:pStyle w:val="BulletRF"/>
      </w:pPr>
      <w:r>
        <w:t xml:space="preserve">• Issue Center</w:t>
      </w:r>
    </w:p>
    <w:p>
      <w:pPr>
        <w:pStyle w:val="BulletRF"/>
      </w:pPr>
      <w:r>
        <w:t xml:space="preserve">• support case creation</w:t>
      </w:r>
    </w:p>
    <w:p>
      <w:pPr>
        <w:pStyle w:val="BulletRF"/>
      </w:pPr>
      <w:r>
        <w:t xml:space="preserve">• dispute handling</w:t>
      </w:r>
    </w:p>
    <w:p>
      <w:pPr>
        <w:pStyle w:val="BulletRF"/>
      </w:pPr>
      <w:r>
        <w:t xml:space="preserve">• case status workflow</w:t>
      </w:r>
    </w:p>
    <w:p>
      <w:pPr>
        <w:pStyle w:val="BulletRF"/>
      </w:pPr>
      <w:r>
        <w:t xml:space="preserve">• request-for-information workflow</w:t>
      </w:r>
    </w:p>
    <w:p>
      <w:pPr>
        <w:pStyle w:val="BulletRF"/>
      </w:pPr>
      <w:r>
        <w:t xml:space="preserve">• case history and internal follow-up</w:t>
      </w:r>
    </w:p>
    <w:p>
      <w:pPr>
        <w:spacing w:after="120"/>
      </w:pPr>
    </w:p>
    <w:p>
      <w:pPr>
        <w:pStyle w:val="Heading2RF"/>
      </w:pPr>
      <w:r>
        <w:t xml:space="preserve">Puerto Rico Tolls Module</w:t>
      </w:r>
    </w:p>
    <w:p>
      <w:pPr>
        <w:spacing w:after="120"/>
      </w:pPr>
    </w:p>
    <w:p>
      <w:pPr>
        <w:pStyle w:val="BodyRF"/>
      </w:pPr>
      <w:r>
        <w:t xml:space="preserve">$300 / month</w:t>
      </w:r>
    </w:p>
    <w:p>
      <w:pPr>
        <w:spacing w:after="120"/>
      </w:pPr>
    </w:p>
    <w:p>
      <w:pPr>
        <w:pStyle w:val="BodyRF"/>
      </w:pPr>
      <w:r>
        <w:t xml:space="preserve">Includes:</w:t>
      </w:r>
    </w:p>
    <w:p>
      <w:pPr>
        <w:spacing w:after="120"/>
      </w:pPr>
    </w:p>
    <w:p>
      <w:pPr>
        <w:pStyle w:val="BulletRF"/>
      </w:pPr>
      <w:r>
        <w:t xml:space="preserve">• AutoExpreso provider setup</w:t>
      </w:r>
    </w:p>
    <w:p>
      <w:pPr>
        <w:pStyle w:val="BulletRF"/>
      </w:pPr>
      <w:r>
        <w:t xml:space="preserve">• health check</w:t>
      </w:r>
    </w:p>
    <w:p>
      <w:pPr>
        <w:pStyle w:val="BulletRF"/>
      </w:pPr>
      <w:r>
        <w:t xml:space="preserve">• live sync</w:t>
      </w:r>
    </w:p>
    <w:p>
      <w:pPr>
        <w:pStyle w:val="BulletRF"/>
      </w:pPr>
      <w:r>
        <w:t xml:space="preserve">• manual and bulk import fallback</w:t>
      </w:r>
    </w:p>
    <w:p>
      <w:pPr>
        <w:pStyle w:val="BulletRF"/>
      </w:pPr>
      <w:r>
        <w:t xml:space="preserve">• automatic toll matching against:</w:t>
      </w:r>
    </w:p>
    <w:p>
      <w:pPr>
        <w:pStyle w:val="BulletRF"/>
      </w:pPr>
      <w:r>
        <w:t xml:space="preserve">• tenant fleet</w:t>
      </w:r>
    </w:p>
    <w:p>
      <w:pPr>
        <w:pStyle w:val="BulletRF"/>
      </w:pPr>
      <w:r>
        <w:t xml:space="preserve">• assigned vehicle</w:t>
      </w:r>
    </w:p>
    <w:p>
      <w:pPr>
        <w:pStyle w:val="BulletRF"/>
      </w:pPr>
      <w:r>
        <w:t xml:space="preserve">• reservation pickup and return time window</w:t>
      </w:r>
    </w:p>
    <w:p>
      <w:pPr>
        <w:pStyle w:val="BulletRF"/>
      </w:pPr>
      <w:r>
        <w:t xml:space="preserve">• toll review queue</w:t>
      </w:r>
    </w:p>
    <w:p>
      <w:pPr>
        <w:pStyle w:val="BulletRF"/>
      </w:pPr>
      <w:r>
        <w:t xml:space="preserve">• reservation toll posting</w:t>
      </w:r>
    </w:p>
    <w:p>
      <w:pPr>
        <w:pStyle w:val="BulletRF"/>
      </w:pPr>
      <w:r>
        <w:t xml:space="preserve">• toll dispute linkage into Issue Center</w:t>
      </w:r>
    </w:p>
    <w:p>
      <w:pPr>
        <w:spacing w:after="120"/>
      </w:pPr>
    </w:p>
    <w:p>
      <w:pPr>
        <w:pStyle w:val="Heading1RF"/>
      </w:pPr>
      <w:r>
        <w:t xml:space="preserve">Recommended Package Options</w:t>
      </w:r>
    </w:p>
    <w:p>
      <w:pPr>
        <w:spacing w:after="120"/>
      </w:pPr>
    </w:p>
    <w:p>
      <w:pPr>
        <w:pStyle w:val="Heading2RF"/>
      </w:pPr>
      <w:r>
        <w:t xml:space="preserve">Option A</w:t>
      </w:r>
    </w:p>
    <w:p>
      <w:pPr>
        <w:spacing w:after="120"/>
      </w:pPr>
    </w:p>
    <w:p>
      <w:pPr>
        <w:pStyle w:val="BodyRF"/>
      </w:pPr>
      <w:r>
        <w:t xml:space="preserve">Core + Loaner only</w:t>
      </w:r>
    </w:p>
    <w:p>
      <w:pPr>
        <w:spacing w:after="120"/>
      </w:pPr>
    </w:p>
    <w:p>
      <w:pPr>
        <w:pStyle w:val="BulletRF"/>
      </w:pPr>
      <w:r>
        <w:t xml:space="preserve">• Setup Fee: $1,500</w:t>
      </w:r>
    </w:p>
    <w:p>
      <w:pPr>
        <w:pStyle w:val="BulletRF"/>
      </w:pPr>
      <w:r>
        <w:t xml:space="preserve">• Monthly Subscription: $1,250</w:t>
      </w:r>
    </w:p>
    <w:p>
      <w:pPr>
        <w:spacing w:after="120"/>
      </w:pPr>
    </w:p>
    <w:p>
      <w:pPr>
        <w:pStyle w:val="Heading2RF"/>
      </w:pPr>
      <w:r>
        <w:t xml:space="preserve">Option B</w:t>
      </w:r>
    </w:p>
    <w:p>
      <w:pPr>
        <w:spacing w:after="120"/>
      </w:pPr>
    </w:p>
    <w:p>
      <w:pPr>
        <w:pStyle w:val="BodyRF"/>
      </w:pPr>
      <w:r>
        <w:t xml:space="preserve">Core + Loaner + Customer Service</w:t>
      </w:r>
    </w:p>
    <w:p>
      <w:pPr>
        <w:spacing w:after="120"/>
      </w:pPr>
    </w:p>
    <w:p>
      <w:pPr>
        <w:pStyle w:val="BulletRF"/>
      </w:pPr>
      <w:r>
        <w:t xml:space="preserve">• Setup Fee: $1,500</w:t>
      </w:r>
    </w:p>
    <w:p>
      <w:pPr>
        <w:pStyle w:val="BulletRF"/>
      </w:pPr>
      <w:r>
        <w:t xml:space="preserve">• Monthly Subscription: $1,500</w:t>
      </w:r>
    </w:p>
    <w:p>
      <w:pPr>
        <w:spacing w:after="120"/>
      </w:pPr>
    </w:p>
    <w:p>
      <w:pPr>
        <w:pStyle w:val="Heading2RF"/>
      </w:pPr>
      <w:r>
        <w:t xml:space="preserve">Option C</w:t>
      </w:r>
    </w:p>
    <w:p>
      <w:pPr>
        <w:spacing w:after="120"/>
      </w:pPr>
    </w:p>
    <w:p>
      <w:pPr>
        <w:pStyle w:val="BodyRF"/>
      </w:pPr>
      <w:r>
        <w:t xml:space="preserve">Core + Loaner + Customer Service + Tolls</w:t>
      </w:r>
    </w:p>
    <w:p>
      <w:pPr>
        <w:spacing w:after="120"/>
      </w:pPr>
    </w:p>
    <w:p>
      <w:pPr>
        <w:pStyle w:val="BulletRF"/>
      </w:pPr>
      <w:r>
        <w:t xml:space="preserve">• Setup Fee: $1,500</w:t>
      </w:r>
    </w:p>
    <w:p>
      <w:pPr>
        <w:pStyle w:val="BulletRF"/>
      </w:pPr>
      <w:r>
        <w:t xml:space="preserve">• Monthly Subscription: $1,800</w:t>
      </w:r>
    </w:p>
    <w:p>
      <w:pPr>
        <w:spacing w:after="120"/>
      </w:pPr>
    </w:p>
    <w:p>
      <w:pPr>
        <w:pStyle w:val="Heading1RF"/>
      </w:pPr>
      <w:r>
        <w:t xml:space="preserve">What The Client Receives</w:t>
      </w:r>
    </w:p>
    <w:p>
      <w:pPr>
        <w:spacing w:after="120"/>
      </w:pPr>
    </w:p>
    <w:p>
      <w:pPr>
        <w:pStyle w:val="Heading2RF"/>
      </w:pPr>
      <w:r>
        <w:t xml:space="preserve">1. Core Operational Control</w:t>
      </w:r>
    </w:p>
    <w:p>
      <w:pPr>
        <w:spacing w:after="120"/>
      </w:pPr>
    </w:p>
    <w:p>
      <w:pPr>
        <w:pStyle w:val="BodyRF"/>
      </w:pPr>
      <w:r>
        <w:t xml:space="preserve">The client receives one connected system for:</w:t>
      </w:r>
    </w:p>
    <w:p>
      <w:pPr>
        <w:spacing w:after="120"/>
      </w:pPr>
    </w:p>
    <w:p>
      <w:pPr>
        <w:pStyle w:val="BulletRF"/>
      </w:pPr>
      <w:r>
        <w:t xml:space="preserve">• reservations</w:t>
      </w:r>
    </w:p>
    <w:p>
      <w:pPr>
        <w:pStyle w:val="BulletRF"/>
      </w:pPr>
      <w:r>
        <w:t xml:space="preserve">• vehicle assignment</w:t>
      </w:r>
    </w:p>
    <w:p>
      <w:pPr>
        <w:pStyle w:val="BulletRF"/>
      </w:pPr>
      <w:r>
        <w:t xml:space="preserve">• customer records</w:t>
      </w:r>
    </w:p>
    <w:p>
      <w:pPr>
        <w:pStyle w:val="BulletRF"/>
      </w:pPr>
      <w:r>
        <w:t xml:space="preserve">• agreement flow</w:t>
      </w:r>
    </w:p>
    <w:p>
      <w:pPr>
        <w:pStyle w:val="BulletRF"/>
      </w:pPr>
      <w:r>
        <w:t xml:space="preserve">• inspections</w:t>
      </w:r>
    </w:p>
    <w:p>
      <w:pPr>
        <w:pStyle w:val="BulletRF"/>
      </w:pPr>
      <w:r>
        <w:t xml:space="preserve">• payment workflow</w:t>
      </w:r>
    </w:p>
    <w:p>
      <w:pPr>
        <w:pStyle w:val="BulletRF"/>
      </w:pPr>
      <w:r>
        <w:t xml:space="preserve">• reporting</w:t>
      </w:r>
    </w:p>
    <w:p>
      <w:pPr>
        <w:spacing w:after="120"/>
      </w:pPr>
    </w:p>
    <w:p>
      <w:pPr>
        <w:pStyle w:val="Heading2RF"/>
      </w:pPr>
      <w:r>
        <w:t xml:space="preserve">2. Loaner Program Control</w:t>
      </w:r>
    </w:p>
    <w:p>
      <w:pPr>
        <w:spacing w:after="120"/>
      </w:pPr>
    </w:p>
    <w:p>
      <w:pPr>
        <w:pStyle w:val="BodyRF"/>
      </w:pPr>
      <w:r>
        <w:t xml:space="preserve">The client receives the dealership loaner workflow with support for:</w:t>
      </w:r>
    </w:p>
    <w:p>
      <w:pPr>
        <w:spacing w:after="120"/>
      </w:pPr>
    </w:p>
    <w:p>
      <w:pPr>
        <w:pStyle w:val="BulletRF"/>
      </w:pPr>
      <w:r>
        <w:t xml:space="preserve">• intake and borrower flow</w:t>
      </w:r>
    </w:p>
    <w:p>
      <w:pPr>
        <w:pStyle w:val="BulletRF"/>
      </w:pPr>
      <w:r>
        <w:t xml:space="preserve">• delivery and return tracking</w:t>
      </w:r>
    </w:p>
    <w:p>
      <w:pPr>
        <w:pStyle w:val="BulletRF"/>
      </w:pPr>
      <w:r>
        <w:t xml:space="preserve">• lane visibility</w:t>
      </w:r>
    </w:p>
    <w:p>
      <w:pPr>
        <w:pStyle w:val="BulletRF"/>
      </w:pPr>
      <w:r>
        <w:t xml:space="preserve">• shift board visibility</w:t>
      </w:r>
    </w:p>
    <w:p>
      <w:pPr>
        <w:pStyle w:val="BulletRF"/>
      </w:pPr>
      <w:r>
        <w:t xml:space="preserve">• billing blockers</w:t>
      </w:r>
    </w:p>
    <w:p>
      <w:pPr>
        <w:pStyle w:val="BulletRF"/>
      </w:pPr>
      <w:r>
        <w:t xml:space="preserve">• closeout support</w:t>
      </w:r>
    </w:p>
    <w:p>
      <w:pPr>
        <w:pStyle w:val="BulletRF"/>
      </w:pPr>
      <w:r>
        <w:t xml:space="preserve">• reservation-based vehicle workflow</w:t>
      </w:r>
    </w:p>
    <w:p>
      <w:pPr>
        <w:spacing w:after="120"/>
      </w:pPr>
    </w:p>
    <w:p>
      <w:pPr>
        <w:pStyle w:val="Heading2RF"/>
      </w:pPr>
      <w:r>
        <w:t xml:space="preserve">3. Modern Admin Control</w:t>
      </w:r>
    </w:p>
    <w:p>
      <w:pPr>
        <w:spacing w:after="120"/>
      </w:pPr>
    </w:p>
    <w:p>
      <w:pPr>
        <w:pStyle w:val="BodyRF"/>
      </w:pPr>
      <w:r>
        <w:t xml:space="preserve">The client receives:</w:t>
      </w:r>
    </w:p>
    <w:p>
      <w:pPr>
        <w:spacing w:after="120"/>
      </w:pPr>
    </w:p>
    <w:p>
      <w:pPr>
        <w:pStyle w:val="BulletRF"/>
      </w:pPr>
      <w:r>
        <w:t xml:space="preserve">• user and role access</w:t>
      </w:r>
    </w:p>
    <w:p>
      <w:pPr>
        <w:pStyle w:val="BulletRF"/>
      </w:pPr>
      <w:r>
        <w:t xml:space="preserve">• tenant-based configuration</w:t>
      </w:r>
    </w:p>
    <w:p>
      <w:pPr>
        <w:pStyle w:val="BulletRF"/>
      </w:pPr>
      <w:r>
        <w:t xml:space="preserve">• payment gateway flexibility</w:t>
      </w:r>
    </w:p>
    <w:p>
      <w:pPr>
        <w:pStyle w:val="BulletRF"/>
      </w:pPr>
      <w:r>
        <w:t xml:space="preserve">• module access control</w:t>
      </w:r>
    </w:p>
    <w:p>
      <w:pPr>
        <w:pStyle w:val="BulletRF"/>
      </w:pPr>
      <w:r>
        <w:t xml:space="preserve">• workflow visibility across admin, ops, and service teams</w:t>
      </w:r>
    </w:p>
    <w:p>
      <w:pPr>
        <w:spacing w:after="120"/>
      </w:pPr>
    </w:p>
    <w:p>
      <w:pPr>
        <w:pStyle w:val="Heading2RF"/>
      </w:pPr>
      <w:r>
        <w:t xml:space="preserve">4. Optional Support And Recovery Layers</w:t>
      </w:r>
    </w:p>
    <w:p>
      <w:pPr>
        <w:spacing w:after="120"/>
      </w:pPr>
    </w:p>
    <w:p>
      <w:pPr>
        <w:pStyle w:val="BodyRF"/>
      </w:pPr>
      <w:r>
        <w:t xml:space="preserve">With add-ons, the client can also activate:</w:t>
      </w:r>
    </w:p>
    <w:p>
      <w:pPr>
        <w:spacing w:after="120"/>
      </w:pPr>
    </w:p>
    <w:p>
      <w:pPr>
        <w:pStyle w:val="BulletRF"/>
      </w:pPr>
      <w:r>
        <w:t xml:space="preserve">• Customer Service for structured support and dispute workflow</w:t>
      </w:r>
    </w:p>
    <w:p>
      <w:pPr>
        <w:pStyle w:val="BulletRF"/>
      </w:pPr>
      <w:r>
        <w:t xml:space="preserve">• Tolls for Puerto Rico AutoExpreso sync and reconciliation</w:t>
      </w:r>
    </w:p>
    <w:p>
      <w:pPr>
        <w:spacing w:after="120"/>
      </w:pPr>
    </w:p>
    <w:p>
      <w:pPr>
        <w:pStyle w:val="Heading1RF"/>
      </w:pPr>
      <w:r>
        <w:t xml:space="preserve">Market Positioning</w:t>
      </w:r>
    </w:p>
    <w:p>
      <w:pPr>
        <w:spacing w:after="120"/>
      </w:pPr>
    </w:p>
    <w:p>
      <w:pPr>
        <w:pStyle w:val="BodyRF"/>
      </w:pPr>
      <w:r>
        <w:t xml:space="preserve">Ride Fleet is being positioned to sit in a strong middle ground:</w:t>
      </w:r>
    </w:p>
    <w:p>
      <w:pPr>
        <w:spacing w:after="120"/>
      </w:pPr>
    </w:p>
    <w:p>
      <w:pPr>
        <w:pStyle w:val="BulletRF"/>
      </w:pPr>
      <w:r>
        <w:t xml:space="preserve">• more modern and flexible than legacy low-cost tools</w:t>
      </w:r>
    </w:p>
    <w:p>
      <w:pPr>
        <w:pStyle w:val="BulletRF"/>
      </w:pPr>
      <w:r>
        <w:t xml:space="preserve">• more transparent than fully custom quotes</w:t>
      </w:r>
    </w:p>
    <w:p>
      <w:pPr>
        <w:pStyle w:val="BulletRF"/>
      </w:pPr>
      <w:r>
        <w:t xml:space="preserve">• materially more affordable than premium enterprise platforms</w:t>
      </w:r>
    </w:p>
    <w:p>
      <w:pPr>
        <w:spacing w:after="120"/>
      </w:pPr>
    </w:p>
    <w:p>
      <w:pPr>
        <w:pStyle w:val="BodyRF"/>
      </w:pPr>
      <w:r>
        <w:t xml:space="preserve">Public market references support this positioning:</w:t>
      </w:r>
    </w:p>
    <w:p>
      <w:pPr>
        <w:spacing w:after="120"/>
      </w:pPr>
    </w:p>
    <w:p>
      <w:pPr>
        <w:pStyle w:val="BulletRF"/>
      </w:pPr>
      <w:r>
        <w:t xml:space="preserve">• ARSLoaner publicly positions itself aggressively on price</w:t>
      </w:r>
    </w:p>
    <w:p>
      <w:pPr>
        <w:pStyle w:val="BulletRF"/>
      </w:pPr>
      <w:r>
        <w:t xml:space="preserve">• Dealerware positions itself in a premium enterprise lane and publicly prices</w:t>
      </w:r>
    </w:p>
    <w:p>
      <w:pPr>
        <w:pStyle w:val="BodyRF"/>
      </w:pPr>
      <w:r>
        <w:t xml:space="preserve">connected hardware/toll services much higher</w:t>
      </w:r>
    </w:p>
    <w:p>
      <w:pPr>
        <w:pStyle w:val="BulletRF"/>
      </w:pPr>
      <w:r>
        <w:t xml:space="preserve">• RENTALL validates a modular pricing model with optional capability add-ons</w:t>
      </w:r>
    </w:p>
    <w:p>
      <w:pPr>
        <w:spacing w:after="120"/>
      </w:pPr>
    </w:p>
    <w:p>
      <w:pPr>
        <w:pStyle w:val="Heading1RF"/>
      </w:pPr>
      <w:r>
        <w:t xml:space="preserve">Why This Pricing Makes Sense</w:t>
      </w:r>
    </w:p>
    <w:p>
      <w:pPr>
        <w:spacing w:after="120"/>
      </w:pPr>
    </w:p>
    <w:p>
      <w:pPr>
        <w:pStyle w:val="BodyRF"/>
      </w:pPr>
      <w:r>
        <w:t xml:space="preserve">This pricing is recommended because it:</w:t>
      </w:r>
    </w:p>
    <w:p>
      <w:pPr>
        <w:spacing w:after="120"/>
      </w:pPr>
    </w:p>
    <w:p>
      <w:pPr>
        <w:pStyle w:val="BulletRF"/>
      </w:pPr>
      <w:r>
        <w:t xml:space="preserve">• gives the client a real founding-client advantage</w:t>
      </w:r>
    </w:p>
    <w:p>
      <w:pPr>
        <w:pStyle w:val="BulletRF"/>
      </w:pPr>
      <w:r>
        <w:t xml:space="preserve">• keeps the monthly cost approachable</w:t>
      </w:r>
    </w:p>
    <w:p>
      <w:pPr>
        <w:pStyle w:val="BulletRF"/>
      </w:pPr>
      <w:r>
        <w:t xml:space="preserve">• avoids underpricing implementation and support</w:t>
      </w:r>
    </w:p>
    <w:p>
      <w:pPr>
        <w:pStyle w:val="BulletRF"/>
      </w:pPr>
      <w:r>
        <w:t xml:space="preserve">• creates a clean path for future pricing increases on later clients</w:t>
      </w:r>
    </w:p>
    <w:p>
      <w:pPr>
        <w:pStyle w:val="BulletRF"/>
      </w:pPr>
      <w:r>
        <w:t xml:space="preserve">• preserves add-on pricing for higher-value workflows</w:t>
      </w:r>
    </w:p>
    <w:p>
      <w:pPr>
        <w:spacing w:after="120"/>
      </w:pPr>
    </w:p>
    <w:p>
      <w:pPr>
        <w:pStyle w:val="Heading1RF"/>
      </w:pPr>
      <w:r>
        <w:t xml:space="preserve">Commercial Recommendation</w:t>
      </w:r>
    </w:p>
    <w:p>
      <w:pPr>
        <w:spacing w:after="120"/>
      </w:pPr>
    </w:p>
    <w:p>
      <w:pPr>
        <w:pStyle w:val="BodyRF"/>
      </w:pPr>
      <w:r>
        <w:t xml:space="preserve">The strongest commercial recommendation is:</w:t>
      </w:r>
    </w:p>
    <w:p>
      <w:pPr>
        <w:spacing w:after="120"/>
      </w:pPr>
    </w:p>
    <w:p>
      <w:pPr>
        <w:pStyle w:val="BulletRF"/>
      </w:pPr>
      <w:r>
        <w:t xml:space="preserve">• present Option C as the full value package</w:t>
      </w:r>
    </w:p>
    <w:p>
      <w:pPr>
        <w:pStyle w:val="BulletRF"/>
      </w:pPr>
      <w:r>
        <w:t xml:space="preserve">• be ready to close on Option B</w:t>
      </w:r>
    </w:p>
    <w:p>
      <w:pPr>
        <w:pStyle w:val="BulletRF"/>
      </w:pPr>
      <w:r>
        <w:t xml:space="preserve">• keep Option A as the lower-friction entry point</w:t>
      </w:r>
    </w:p>
    <w:p>
      <w:pPr>
        <w:spacing w:after="120"/>
      </w:pPr>
    </w:p>
    <w:p>
      <w:pPr>
        <w:pStyle w:val="BodyRF"/>
      </w:pPr>
      <w:r>
        <w:t xml:space="preserve">If needed, the concession should happen in setup or launch terms, not by</w:t>
      </w:r>
    </w:p>
    <w:p>
      <w:pPr>
        <w:pStyle w:val="BodyRF"/>
      </w:pPr>
      <w:r>
        <w:t xml:space="preserve">destroying the recurring monthly value.</w:t>
      </w:r>
    </w:p>
    <w:p>
      <w:pPr>
        <w:spacing w:after="120"/>
      </w:pPr>
    </w:p>
    <w:p>
      <w:pPr>
        <w:pStyle w:val="BodyRF"/>
      </w:pPr>
      <w:r>
        <w:t xml:space="preserve">Recommended concession options:</w:t>
      </w:r>
    </w:p>
    <w:p>
      <w:pPr>
        <w:spacing w:after="120"/>
      </w:pPr>
    </w:p>
    <w:p>
      <w:pPr>
        <w:pStyle w:val="BulletRF"/>
      </w:pPr>
      <w:r>
        <w:t xml:space="preserve">• keep setup at $1,500 and include Customer Service free for 60 days</w:t>
      </w:r>
    </w:p>
    <w:p>
      <w:pPr>
        <w:pStyle w:val="BulletRF"/>
      </w:pPr>
      <w:r>
        <w:t xml:space="preserve">• or reduce setup to $1,000 while keeping the monthly package intact</w:t>
      </w:r>
    </w:p>
    <w:p>
      <w:pPr>
        <w:spacing w:after="120"/>
      </w:pPr>
    </w:p>
    <w:p>
      <w:pPr>
        <w:pStyle w:val="Heading1RF"/>
      </w:pPr>
      <w:r>
        <w:t xml:space="preserve">Suggested Client-Facing Language</w:t>
      </w:r>
    </w:p>
    <w:p>
      <w:pPr>
        <w:spacing w:after="120"/>
      </w:pPr>
    </w:p>
    <w:p>
      <w:pPr>
        <w:pStyle w:val="BodyRF"/>
      </w:pPr>
      <w:r>
        <w:t xml:space="preserve">Ride Fleet is pleased to offer founding client pricing for your dealership</w:t>
      </w:r>
    </w:p>
    <w:p>
      <w:pPr>
        <w:pStyle w:val="BodyRF"/>
      </w:pPr>
      <w:r>
        <w:t xml:space="preserve">loaner operation. For up to 200 vehicles, the platform can be launched with a</w:t>
      </w:r>
    </w:p>
    <w:p>
      <w:pPr>
        <w:pStyle w:val="BodyRF"/>
      </w:pPr>
      <w:r>
        <w:t xml:space="preserve">one-time setup fee of $1,500 and a monthly subscription of $1,250 for the</w:t>
      </w:r>
    </w:p>
    <w:p>
      <w:pPr>
        <w:pStyle w:val="BodyRF"/>
      </w:pPr>
      <w:r>
        <w:t xml:space="preserve">Ride Fleet core platform with the Loaner Program included. Optional add-ons are</w:t>
      </w:r>
    </w:p>
    <w:p>
      <w:pPr>
        <w:pStyle w:val="BodyRF"/>
      </w:pPr>
      <w:r>
        <w:t xml:space="preserve">available for Customer Service at $250/month and Puerto Rico Tolls at</w:t>
      </w:r>
    </w:p>
    <w:p>
      <w:pPr>
        <w:pStyle w:val="BodyRF"/>
      </w:pPr>
      <w:r>
        <w:t xml:space="preserve">$300/month. This structure gives your team a modern and scalable operating</w:t>
      </w:r>
    </w:p>
    <w:p>
      <w:pPr>
        <w:pStyle w:val="BodyRF"/>
      </w:pPr>
      <w:r>
        <w:t xml:space="preserve">platform at a preferred early-client rate while keeping room for future</w:t>
      </w:r>
    </w:p>
    <w:p>
      <w:pPr>
        <w:pStyle w:val="BodyRF"/>
      </w:pPr>
      <w:r>
        <w:t xml:space="preserve">automation and support workflows as the operation grows.</w:t>
      </w:r>
    </w:p>
    <w:p>
      <w:pPr>
        <w:spacing w:after="120"/>
      </w:pPr>
    </w:p>
    <w:p>
      <w:pPr>
        <w:pStyle w:val="Heading1RF"/>
      </w:pPr>
      <w:r>
        <w:t xml:space="preserve">Final Recommendation</w:t>
      </w:r>
    </w:p>
    <w:p>
      <w:pPr>
        <w:spacing w:after="120"/>
      </w:pPr>
    </w:p>
    <w:p>
      <w:pPr>
        <w:pStyle w:val="BodyRF"/>
      </w:pPr>
      <w:r>
        <w:t xml:space="preserve">Recommended pricing for this client:</w:t>
      </w:r>
    </w:p>
    <w:p>
      <w:pPr>
        <w:spacing w:after="120"/>
      </w:pPr>
    </w:p>
    <w:p>
      <w:pPr>
        <w:pStyle w:val="BulletRF"/>
      </w:pPr>
      <w:r>
        <w:t xml:space="preserve">• Setup Fee: $1,500</w:t>
      </w:r>
    </w:p>
    <w:p>
      <w:pPr>
        <w:pStyle w:val="BulletRF"/>
      </w:pPr>
      <w:r>
        <w:t xml:space="preserve">• Core + Loaner Program up to 200 vehicles: $1,250 / month</w:t>
      </w:r>
    </w:p>
    <w:p>
      <w:pPr>
        <w:pStyle w:val="BulletRF"/>
      </w:pPr>
      <w:r>
        <w:t xml:space="preserve">• Customer Service: $250 / month</w:t>
      </w:r>
    </w:p>
    <w:p>
      <w:pPr>
        <w:pStyle w:val="BulletRF"/>
      </w:pPr>
      <w:r>
        <w:t xml:space="preserve">• Tolls: $300 / month</w:t>
      </w:r>
    </w:p>
    <w:p>
      <w:pPr>
        <w:spacing w:after="120"/>
      </w:pPr>
    </w:p>
    <w:p>
      <w:pPr>
        <w:pStyle w:val="BodyRF"/>
      </w:pPr>
      <w:r>
        <w:t xml:space="preserve">Recommended package to lead with:</w:t>
      </w:r>
    </w:p>
    <w:p>
      <w:pPr>
        <w:spacing w:after="120"/>
      </w:pPr>
    </w:p>
    <w:p>
      <w:pPr>
        <w:pStyle w:val="BulletRF"/>
      </w:pPr>
      <w:r>
        <w:t xml:space="preserve">• Option C</w:t>
      </w:r>
    </w:p>
    <w:p>
      <w:pPr>
        <w:pStyle w:val="BulletRF"/>
      </w:pPr>
      <w:r>
        <w:t xml:space="preserve">• $1,500 setup</w:t>
      </w:r>
    </w:p>
    <w:p>
      <w:pPr>
        <w:pStyle w:val="BulletRF"/>
      </w:pPr>
      <w:r>
        <w:t xml:space="preserve">• $1,800 / month</w:t>
      </w:r>
    </w:p>
    <w:p>
      <w:pPr>
        <w:spacing w:after="120"/>
      </w:pPr>
    </w:p>
    <w:p>
      <w:pPr>
        <w:pStyle w:val="Heading1RF"/>
      </w:pPr>
      <w:r>
        <w:t xml:space="preserve">Source Benchmarks</w:t>
      </w:r>
    </w:p>
    <w:p>
      <w:pPr>
        <w:spacing w:after="120"/>
      </w:pPr>
    </w:p>
    <w:p>
      <w:pPr>
        <w:pStyle w:val="BulletRF"/>
      </w:pPr>
      <w:r>
        <w:t xml:space="preserve">• ARSLoaner Pricing: https://arsloaner.com/pricing.aspx</w:t>
      </w:r>
    </w:p>
    <w:p>
      <w:pPr>
        <w:pStyle w:val="BulletRF"/>
      </w:pPr>
      <w:r>
        <w:t xml:space="preserve">• ARSLoaner Features: https://arsloaner.com/features.aspx</w:t>
      </w:r>
    </w:p>
    <w:p>
      <w:pPr>
        <w:pStyle w:val="BulletRF"/>
      </w:pPr>
      <w:r>
        <w:t xml:space="preserve">• Dealerware Loaner Fleet: https://www.dealerware.com/loaner-fleet/</w:t>
      </w:r>
    </w:p>
    <w:p>
      <w:pPr>
        <w:pStyle w:val="BulletRF"/>
      </w:pPr>
      <w:r>
        <w:t xml:space="preserve">• Dealerware Toll / Device Services: https://support.dealerware.com/hc/en-us/articles/360022445833-Place-a-Fleet-Increase-or-First-Time-Order-for-Connected-Car-Devices-or-Toll-Equipment</w:t>
      </w:r>
    </w:p>
    <w:p>
      <w:pPr>
        <w:pStyle w:val="BulletRF"/>
      </w:pPr>
      <w:r>
        <w:t xml:space="preserve">• RENTALL Pricing: https://www.rentallsoftware.com/pricing/</w:t>
      </w:r>
    </w:p>
    <w:p>
      <w:pPr>
        <w:pStyle w:val="BulletRF"/>
      </w:pPr>
      <w:r>
        <w:t xml:space="preserve">• RENTALL Dealership Loaner: https://www.rentallsoftware.com/dealership-loaner/</w:t>
      </w:r>
    </w:p>
    <w:sectPr>
      <w:pgSz w:w="12240" w:h="15840"/>
      <w:pgMar w:top="1080" w:right="900" w:bottom="1080" w:left="9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  <w:color w:val="202638"/>
      </w:rPr>
    </w:rPrDefault>
  </w:docDefaults>
  <w:style w:type="paragraph" w:default="1" w:styleId="Normal">
    <w:name w:val="Normal"/>
    <w:qFormat/>
    <w:rPr>
      <w:rFonts w:ascii="Aptos" w:hAnsi="Aptos"/>
      <w:sz w:val="22"/>
      <w:szCs w:val="22"/>
      <w:color w:val="202638"/>
    </w:rPr>
  </w:style>
  <w:style w:type="paragraph" w:styleId="BrandRF">
    <w:name w:val="BrandRF"/>
    <w:basedOn w:val="Normal"/>
    <w:qFormat/>
    <w:pPr>
      <w:spacing w:after="80"/>
    </w:pPr>
    <w:rPr>
      <w:b/>
      <w:color w:val="7C3AED"/>
      <w:sz w:val="24"/>
      <w:szCs w:val="24"/>
    </w:rPr>
  </w:style>
  <w:style w:type="paragraph" w:styleId="HeroRF">
    <w:name w:val="HeroRF"/>
    <w:basedOn w:val="Normal"/>
    <w:qFormat/>
    <w:pPr>
      <w:spacing w:after="140"/>
    </w:pPr>
    <w:rPr>
      <w:b/>
      <w:color w:val="2B3553"/>
      <w:sz w:val="34"/>
      <w:szCs w:val="34"/>
    </w:rPr>
  </w:style>
  <w:style w:type="paragraph" w:styleId="SubHeroRF">
    <w:name w:val="SubHeroRF"/>
    <w:basedOn w:val="Normal"/>
    <w:qFormat/>
    <w:pPr>
      <w:spacing w:after="220"/>
    </w:pPr>
    <w:rPr>
      <w:color w:val="5B647C"/>
      <w:sz w:val="22"/>
      <w:szCs w:val="22"/>
    </w:rPr>
  </w:style>
  <w:style w:type="paragraph" w:styleId="Heading1RF">
    <w:name w:val="Heading1RF"/>
    <w:basedOn w:val="Normal"/>
    <w:qFormat/>
    <w:pPr>
      <w:spacing w:before="220" w:after="90"/>
    </w:pPr>
    <w:rPr>
      <w:b/>
      <w:color w:val="7C3AED"/>
      <w:sz w:val="28"/>
      <w:szCs w:val="28"/>
    </w:rPr>
  </w:style>
  <w:style w:type="paragraph" w:styleId="Heading2RF">
    <w:name w:val="Heading2RF"/>
    <w:basedOn w:val="Normal"/>
    <w:qFormat/>
    <w:pPr>
      <w:spacing w:before="140" w:after="70"/>
    </w:pPr>
    <w:rPr>
      <w:b/>
      <w:color w:val="2B3553"/>
      <w:sz w:val="24"/>
      <w:szCs w:val="24"/>
    </w:rPr>
  </w:style>
  <w:style w:type="paragraph" w:styleId="BodyRF">
    <w:name w:val="BodyRF"/>
    <w:basedOn w:val="Normal"/>
    <w:qFormat/>
    <w:pPr>
      <w:spacing w:after="55" w:line="300" w:lineRule="auto"/>
    </w:pPr>
    <w:rPr>
      <w:color w:val="202638"/>
      <w:sz w:val="22"/>
      <w:szCs w:val="22"/>
    </w:rPr>
  </w:style>
  <w:style w:type="paragraph" w:styleId="BulletRF">
    <w:name w:val="BulletRF"/>
    <w:basedOn w:val="Normal"/>
    <w:qFormat/>
    <w:pPr>
      <w:ind w:left="420" w:hanging="0"/>
      <w:spacing w:after="40" w:line="280" w:lineRule="auto"/>
    </w:pPr>
    <w:rPr>
      <w:color w:val="202638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Ride Fleet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 Fleet Founding Client Proposal</dc:title>
  <dc:subject>Dealership Loaner Proposal</dc:subject>
  <dc:creator>OpenAI Codex</dc:creator>
  <cp:keywords>Ride Fleet, Proposal, Loaner Program</cp:keywords>
  <dc:description>Founding client service proposal for a dealership loaner operation.</dc:description>
  <cp:lastModifiedBy>OpenAI Codex</cp:lastModifiedBy>
  <dcterms:created xsi:type="dcterms:W3CDTF">2026-03-26T19:27:45+00:00</dcterms:created>
  <dcterms:modified xsi:type="dcterms:W3CDTF">2026-03-26T19:27:45+00:00</dcterms:modified>
</cp:coreProperties>
</file>