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0415F"/>
          <w:sz w:val="40"/>
          <w:szCs w:val="40"/>
        </w:rPr>
        <w:t xml:space="preserve">MOD 13 DMCPG-5</w:t>
      </w:r>
    </w:p>
    <w:p>
      <w:pPr>
        <w:spacing w:after="300"/>
      </w:pPr>
      <w:r>
        <w:rPr>
          <w:b/>
          <w:bCs/>
          <w:color w:val="222A31"/>
          <w:sz w:val="56"/>
          <w:szCs w:val="56"/>
        </w:rPr>
        <w:t xml:space="preserve">Bloom-Ladder Placement — Adaptive Training Storyboard</w:t>
      </w:r>
    </w:p>
    <w:p>
      <w:pPr>
        <w:spacing w:after="600" w:before="60" w:line="276"/>
      </w:pPr>
      <w:r>
        <w:rPr>
          <w:color w:val="5A6772"/>
          <w:sz w:val="28"/>
          <w:szCs w:val="28"/>
        </w:rPr>
        <w:t xml:space="preserve">Version 6 — developer build specification</w:t>
      </w:r>
    </w:p>
    <w:p>
      <w:pPr>
        <w:spacing w:after="60" w:before="60" w:line="276"/>
      </w:pPr>
      <w:r>
        <w:rPr>
          <w:b/>
          <w:bCs/>
        </w:rPr>
        <w:t xml:space="preserve">Purpose: </w:t>
      </w:r>
      <w:r>
        <w:t xml:space="preserve">hand-off storyboard for building the adaptive placement, routing and reporting design on the approved authoring platform. Supersedes the v5 design document by adding screen-by-screen build directions; all test-item wording is carried over from v5 verbatim.</w:t>
      </w:r>
    </w:p>
    <w:p>
      <w:pPr>
        <w:spacing w:after="60" w:before="60" w:line="276"/>
      </w:pPr>
      <w:r>
        <w:rPr>
          <w:b/>
          <w:bCs/>
        </w:rPr>
        <w:t xml:space="preserve">Companion reference: </w:t>
      </w:r>
      <w:r>
        <w:t xml:space="preserve">an interactive HTML prototype of every screen and rule in this document (</w:t>
      </w:r>
      <w:r>
        <w:rPr>
          <w:rFonts w:ascii="Consolas" w:cs="Consolas" w:eastAsia="Consolas" w:hAnsi="Consolas"/>
        </w:rPr>
        <w:t xml:space="preserve">adaptive-training/prototype/index.html</w:t>
      </w:r>
      <w:r>
        <w:t xml:space="preserve"> in the project repository). Where this document and the prototype disagree, this document governs; flag the difference to the designer.</w:t>
      </w:r>
    </w:p>
    <w:p>
      <w:pPr>
        <w:spacing w:after="200" w:before="60" w:line="276"/>
      </w:pPr>
      <w:r>
        <w:rPr>
          <w:i/>
          <w:iCs/>
          <w:color w:val="5A6772"/>
        </w:rPr>
        <w:t xml:space="preserve">Status: draft for development · Prepared for the adaptive IST project</w:t>
      </w:r>
    </w:p>
    <w:p>
      <w:r>
        <w:br w:type="page"/>
      </w:r>
    </w:p>
    <w:p>
      <w:pPr>
        <w:pStyle w:val="Heading1"/>
        <w:spacing w:after="12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60" w:before="60" w:line="276"/>
      </w:pPr>
      <w:r>
        <w:rPr>
          <w:i/>
          <w:iCs/>
          <w:color w:val="5A6772"/>
          <w:sz w:val="18"/>
          <w:szCs w:val="18"/>
        </w:rPr>
        <w:t xml:space="preserve">In Word: right-click the table and choose “Update Field” to refresh page numbers.</w:t>
      </w:r>
    </w:p>
    <w:p>
      <w:r>
        <w:br w:type="page"/>
      </w:r>
    </w:p>
    <w:p>
      <w:pPr>
        <w:pStyle w:val="Heading1"/>
        <w:spacing w:after="120" w:before="320"/>
      </w:pPr>
      <w:r>
        <w:t xml:space="preserve">1. How to use this storyboard</w:t>
      </w:r>
    </w:p>
    <w:p>
      <w:pPr>
        <w:spacing w:after="60" w:before="60" w:line="276"/>
      </w:pPr>
      <w:r>
        <w:t xml:space="preserve">This document specifies one course-front placement test, its scoring, the routing it drives, the refutation cards, the extended section tests, and the reporting. All other course content (teach pages, worked examples, practice, item bank, summary) is the existing v4 material, unchanged — this document tells the developer how learners are routed into it.</w:t>
      </w:r>
    </w:p>
    <w:p>
      <w:pPr>
        <w:pStyle w:val="ListParagraph"/>
        <w:numPr>
          <w:ilvl w:val="0"/>
          <w:numId w:val="2"/>
        </w:numPr>
        <w:spacing w:after="40" w:before="40" w:line="276"/>
      </w:pPr>
      <w:r>
        <w:t xml:space="preserve">Sections 2–6 are the design rules: mastery metric, flow, routing, misconception tags.</w:t>
      </w:r>
    </w:p>
    <w:p>
      <w:pPr>
        <w:pStyle w:val="ListParagraph"/>
        <w:numPr>
          <w:ilvl w:val="0"/>
          <w:numId w:val="2"/>
        </w:numPr>
        <w:spacing w:after="40" w:before="40" w:line="276"/>
      </w:pPr>
      <w:r>
        <w:t xml:space="preserve">Section 7 is the screen-by-screen placement module — every stem, option, key, tag and behavior.</w:t>
      </w:r>
    </w:p>
    <w:p>
      <w:pPr>
        <w:pStyle w:val="ListParagraph"/>
        <w:numPr>
          <w:ilvl w:val="0"/>
          <w:numId w:val="2"/>
        </w:numPr>
        <w:spacing w:after="40" w:before="40" w:line="276"/>
      </w:pPr>
      <w:r>
        <w:t xml:space="preserve">Sections 8–11 are the routing screen, refutation cards, section-test extension and report.</w:t>
      </w:r>
    </w:p>
    <w:p>
      <w:pPr>
        <w:pStyle w:val="ListParagraph"/>
        <w:numPr>
          <w:ilvl w:val="0"/>
          <w:numId w:val="2"/>
        </w:numPr>
        <w:spacing w:after="40" w:before="40" w:line="276"/>
      </w:pPr>
      <w:r>
        <w:t xml:space="preserve">Section 12 is the variable and logic spec; section 14 is the acceptance checklist to test against.</w:t>
      </w:r>
    </w:p>
    <w:p>
      <w:pPr>
        <w:spacing w:after="60" w:before="60" w:line="276"/>
      </w:pPr>
      <w:r>
        <w:rPr>
          <w:b/>
          <w:bCs/>
        </w:rPr>
        <w:t xml:space="preserve">Platform note: </w:t>
      </w:r>
      <w:r>
        <w:t xml:space="preserve">the reference build is dominKnow (scored question-page module + variables + conditional navigation). Any platform with per-question scoring, persistent variables and conditional branching can implement this design; the fallback pattern in §12 covers platforms without variables.</w:t>
      </w:r>
    </w:p>
    <w:p>
      <w:pPr>
        <w:pStyle w:val="Heading1"/>
        <w:spacing w:after="120" w:before="320"/>
      </w:pPr>
      <w:r>
        <w:t xml:space="preserve">2. Why placement replaces confidence rating</w:t>
      </w:r>
    </w:p>
    <w:p>
      <w:pPr>
        <w:spacing w:after="60" w:before="60" w:line="276"/>
      </w:pPr>
      <w:r>
        <w:t xml:space="preserve">Confidence self-report is cheap but hard to trust: learners are unevenly calibrated, and the measure is an inference about their state. The Bloom ladder measures mastery directly: each sub-objective is tested by a chunk of three questions inside one scenario, climbing Remember/Understand → Apply → Analyze/Evaluate. The learner’s mastery level is simply the highest rung they can pass — an observable, not a self-report. It also produces a 0–3 scale per sub-objective, which is more granular than v4’s three routes and directly reportable as pre/post growth.</w:t>
      </w:r>
    </w:p>
    <w:p>
      <w:pPr>
        <w:pStyle w:val="Heading1"/>
        <w:spacing w:after="120" w:before="320"/>
      </w:pPr>
      <w:r>
        <w:t xml:space="preserve">3. The mastery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3700"/>
        <w:gridCol w:w="2760"/>
      </w:tblGrid>
      <w:tr>
        <w:trPr>
          <w:tblHeader/>
        </w:trPr>
        <w:tc>
          <w:tcPr>
            <w:tcW w:type="dxa" w:w="8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Level</w:t>
            </w:r>
          </w:p>
        </w:tc>
        <w:tc>
          <w:tcPr>
            <w:tcW w:type="dxa" w:w="21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Bloom band</w:t>
            </w:r>
          </w:p>
        </w:tc>
        <w:tc>
          <w:tcPr>
            <w:tcW w:type="dxa" w:w="3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Definition</w:t>
            </w:r>
          </w:p>
        </w:tc>
        <w:tc>
          <w:tcPr>
            <w:tcW w:type="dxa" w:w="27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Operational rule</w:t>
            </w:r>
          </w:p>
        </w:tc>
      </w:tr>
      <w:tr>
        <w:tc>
          <w:tcPr>
            <w:tcW w:type="dxa" w:w="800"/>
            <w:tcMar>
              <w:top w:type="dxa" w:w="80"/>
              <w:left w:type="dxa" w:w="120"/>
              <w:bottom w:type="dxa" w:w="80"/>
              <w:right w:type="dxa" w:w="120"/>
            </w:tcMar>
            <w:vAlign w:val="top"/>
          </w:tcPr>
          <w:p>
            <w:pPr>
              <w:spacing w:after="20" w:before="20" w:line="260"/>
            </w:pPr>
            <w:r>
              <w:rPr>
                <w:b/>
                <w:bCs/>
                <w:color w:val="20415F"/>
              </w:rPr>
              <w:t xml:space="preserve">L3</w:t>
            </w:r>
          </w:p>
        </w:tc>
        <w:tc>
          <w:tcPr>
            <w:tcW w:type="dxa" w:w="2100"/>
            <w:tcMar>
              <w:top w:type="dxa" w:w="80"/>
              <w:left w:type="dxa" w:w="120"/>
              <w:bottom w:type="dxa" w:w="80"/>
              <w:right w:type="dxa" w:w="120"/>
            </w:tcMar>
            <w:vAlign w:val="top"/>
          </w:tcPr>
          <w:p>
            <w:pPr>
              <w:spacing w:after="20" w:before="20" w:line="260"/>
            </w:pPr>
            <w:r>
              <w:t xml:space="preserve">Analyze / Evaluate</w:t>
            </w:r>
          </w:p>
        </w:tc>
        <w:tc>
          <w:tcPr>
            <w:tcW w:type="dxa" w:w="3700"/>
            <w:tcMar>
              <w:top w:type="dxa" w:w="80"/>
              <w:left w:type="dxa" w:w="120"/>
              <w:bottom w:type="dxa" w:w="80"/>
              <w:right w:type="dxa" w:w="120"/>
            </w:tcMar>
            <w:vAlign w:val="top"/>
          </w:tcPr>
          <w:p>
            <w:pPr>
              <w:spacing w:after="20" w:before="20" w:line="260"/>
            </w:pPr>
            <w:r>
              <w:t xml:space="preserve">Judges the best action, sequences the process, resolves a complication</w:t>
            </w:r>
          </w:p>
        </w:tc>
        <w:tc>
          <w:tcPr>
            <w:tcW w:type="dxa" w:w="2760"/>
            <w:tcMar>
              <w:top w:type="dxa" w:w="80"/>
              <w:left w:type="dxa" w:w="120"/>
              <w:bottom w:type="dxa" w:w="80"/>
              <w:right w:type="dxa" w:w="120"/>
            </w:tcMar>
            <w:vAlign w:val="top"/>
          </w:tcPr>
          <w:p>
            <w:pPr>
              <w:spacing w:after="20" w:before="20" w:line="260"/>
            </w:pPr>
            <w:r>
              <w:t xml:space="preserve">Q1, Q2 and Q3 all correct</w:t>
            </w:r>
          </w:p>
        </w:tc>
      </w:tr>
      <w:tr>
        <w:tc>
          <w:tcPr>
            <w:tcW w:type="dxa" w:w="800"/>
            <w:tcMar>
              <w:top w:type="dxa" w:w="80"/>
              <w:left w:type="dxa" w:w="120"/>
              <w:bottom w:type="dxa" w:w="80"/>
              <w:right w:type="dxa" w:w="120"/>
            </w:tcMar>
            <w:vAlign w:val="top"/>
          </w:tcPr>
          <w:p>
            <w:pPr>
              <w:spacing w:after="20" w:before="20" w:line="260"/>
            </w:pPr>
            <w:r>
              <w:rPr>
                <w:b/>
                <w:bCs/>
                <w:color w:val="20415F"/>
              </w:rPr>
              <w:t xml:space="preserve">L2</w:t>
            </w:r>
          </w:p>
        </w:tc>
        <w:tc>
          <w:tcPr>
            <w:tcW w:type="dxa" w:w="2100"/>
            <w:tcMar>
              <w:top w:type="dxa" w:w="80"/>
              <w:left w:type="dxa" w:w="120"/>
              <w:bottom w:type="dxa" w:w="80"/>
              <w:right w:type="dxa" w:w="120"/>
            </w:tcMar>
            <w:vAlign w:val="top"/>
          </w:tcPr>
          <w:p>
            <w:pPr>
              <w:spacing w:after="20" w:before="20" w:line="260"/>
            </w:pPr>
            <w:r>
              <w:t xml:space="preserve">Apply</w:t>
            </w:r>
          </w:p>
        </w:tc>
        <w:tc>
          <w:tcPr>
            <w:tcW w:type="dxa" w:w="3700"/>
            <w:tcMar>
              <w:top w:type="dxa" w:w="80"/>
              <w:left w:type="dxa" w:w="120"/>
              <w:bottom w:type="dxa" w:w="80"/>
              <w:right w:type="dxa" w:w="120"/>
            </w:tcMar>
            <w:vAlign w:val="top"/>
          </w:tcPr>
          <w:p>
            <w:pPr>
              <w:spacing w:after="20" w:before="20" w:line="260"/>
            </w:pPr>
            <w:r>
              <w:t xml:space="preserve">Acts correctly on the rule in a routine case</w:t>
            </w:r>
          </w:p>
        </w:tc>
        <w:tc>
          <w:tcPr>
            <w:tcW w:type="dxa" w:w="2760"/>
            <w:tcMar>
              <w:top w:type="dxa" w:w="80"/>
              <w:left w:type="dxa" w:w="120"/>
              <w:bottom w:type="dxa" w:w="80"/>
              <w:right w:type="dxa" w:w="120"/>
            </w:tcMar>
            <w:vAlign w:val="top"/>
          </w:tcPr>
          <w:p>
            <w:pPr>
              <w:spacing w:after="20" w:before="20" w:line="260"/>
            </w:pPr>
            <w:r>
              <w:t xml:space="preserve">Q1 and Q2 correct; Q3 incorrect</w:t>
            </w:r>
          </w:p>
        </w:tc>
      </w:tr>
      <w:tr>
        <w:tc>
          <w:tcPr>
            <w:tcW w:type="dxa" w:w="800"/>
            <w:tcMar>
              <w:top w:type="dxa" w:w="80"/>
              <w:left w:type="dxa" w:w="120"/>
              <w:bottom w:type="dxa" w:w="80"/>
              <w:right w:type="dxa" w:w="120"/>
            </w:tcMar>
            <w:vAlign w:val="top"/>
          </w:tcPr>
          <w:p>
            <w:pPr>
              <w:spacing w:after="20" w:before="20" w:line="260"/>
            </w:pPr>
            <w:r>
              <w:rPr>
                <w:b/>
                <w:bCs/>
                <w:color w:val="20415F"/>
              </w:rPr>
              <w:t xml:space="preserve">L1</w:t>
            </w:r>
          </w:p>
        </w:tc>
        <w:tc>
          <w:tcPr>
            <w:tcW w:type="dxa" w:w="2100"/>
            <w:tcMar>
              <w:top w:type="dxa" w:w="80"/>
              <w:left w:type="dxa" w:w="120"/>
              <w:bottom w:type="dxa" w:w="80"/>
              <w:right w:type="dxa" w:w="120"/>
            </w:tcMar>
            <w:vAlign w:val="top"/>
          </w:tcPr>
          <w:p>
            <w:pPr>
              <w:spacing w:after="20" w:before="20" w:line="260"/>
            </w:pPr>
            <w:r>
              <w:t xml:space="preserve">Remember / Understand</w:t>
            </w:r>
          </w:p>
        </w:tc>
        <w:tc>
          <w:tcPr>
            <w:tcW w:type="dxa" w:w="3700"/>
            <w:tcMar>
              <w:top w:type="dxa" w:w="80"/>
              <w:left w:type="dxa" w:w="120"/>
              <w:bottom w:type="dxa" w:w="80"/>
              <w:right w:type="dxa" w:w="120"/>
            </w:tcMar>
            <w:vAlign w:val="top"/>
          </w:tcPr>
          <w:p>
            <w:pPr>
              <w:spacing w:after="20" w:before="20" w:line="260"/>
            </w:pPr>
            <w:r>
              <w:t xml:space="preserve">Identifies the concept, trigger or fact in context</w:t>
            </w:r>
          </w:p>
        </w:tc>
        <w:tc>
          <w:tcPr>
            <w:tcW w:type="dxa" w:w="2760"/>
            <w:tcMar>
              <w:top w:type="dxa" w:w="80"/>
              <w:left w:type="dxa" w:w="120"/>
              <w:bottom w:type="dxa" w:w="80"/>
              <w:right w:type="dxa" w:w="120"/>
            </w:tcMar>
            <w:vAlign w:val="top"/>
          </w:tcPr>
          <w:p>
            <w:pPr>
              <w:spacing w:after="20" w:before="20" w:line="260"/>
            </w:pPr>
            <w:r>
              <w:t xml:space="preserve">Q1 correct; Q2 incorrect</w:t>
            </w:r>
          </w:p>
        </w:tc>
      </w:tr>
      <w:tr>
        <w:tc>
          <w:tcPr>
            <w:tcW w:type="dxa" w:w="800"/>
            <w:tcMar>
              <w:top w:type="dxa" w:w="80"/>
              <w:left w:type="dxa" w:w="120"/>
              <w:bottom w:type="dxa" w:w="80"/>
              <w:right w:type="dxa" w:w="120"/>
            </w:tcMar>
            <w:vAlign w:val="top"/>
          </w:tcPr>
          <w:p>
            <w:pPr>
              <w:spacing w:after="20" w:before="20" w:line="260"/>
            </w:pPr>
            <w:r>
              <w:rPr>
                <w:b/>
                <w:bCs/>
                <w:color w:val="20415F"/>
              </w:rPr>
              <w:t xml:space="preserve">L0</w:t>
            </w:r>
          </w:p>
        </w:tc>
        <w:tc>
          <w:tcPr>
            <w:tcW w:type="dxa" w:w="2100"/>
            <w:tcMar>
              <w:top w:type="dxa" w:w="80"/>
              <w:left w:type="dxa" w:w="120"/>
              <w:bottom w:type="dxa" w:w="80"/>
              <w:right w:type="dxa" w:w="120"/>
            </w:tcMar>
            <w:vAlign w:val="top"/>
          </w:tcPr>
          <w:p>
            <w:pPr>
              <w:spacing w:after="20" w:before="20" w:line="260"/>
            </w:pPr>
            <w:r>
              <w:t xml:space="preserve">Below threshold</w:t>
            </w:r>
          </w:p>
        </w:tc>
        <w:tc>
          <w:tcPr>
            <w:tcW w:type="dxa" w:w="3700"/>
            <w:tcMar>
              <w:top w:type="dxa" w:w="80"/>
              <w:left w:type="dxa" w:w="120"/>
              <w:bottom w:type="dxa" w:w="80"/>
              <w:right w:type="dxa" w:w="120"/>
            </w:tcMar>
            <w:vAlign w:val="top"/>
          </w:tcPr>
          <w:p>
            <w:pPr>
              <w:spacing w:after="20" w:before="20" w:line="260"/>
            </w:pPr>
            <w:r>
              <w:t xml:space="preserve">Cannot identify the concept in context</w:t>
            </w:r>
          </w:p>
        </w:tc>
        <w:tc>
          <w:tcPr>
            <w:tcW w:type="dxa" w:w="2760"/>
            <w:tcMar>
              <w:top w:type="dxa" w:w="80"/>
              <w:left w:type="dxa" w:w="120"/>
              <w:bottom w:type="dxa" w:w="80"/>
              <w:right w:type="dxa" w:w="120"/>
            </w:tcMar>
            <w:vAlign w:val="top"/>
          </w:tcPr>
          <w:p>
            <w:pPr>
              <w:spacing w:after="20" w:before="20" w:line="260"/>
            </w:pPr>
            <w:r>
              <w:t xml:space="preserve">Q1 incorrect</w:t>
            </w:r>
          </w:p>
        </w:tc>
      </w:tr>
    </w:tbl>
    <w:p>
      <w:pPr>
        <w:spacing w:after="60" w:before="120" w:line="276"/>
      </w:pPr>
      <w:r>
        <w:rPr>
          <w:b/>
          <w:bCs/>
        </w:rPr>
        <w:t xml:space="preserve">Consecutive-pass (Guttman) rule: </w:t>
      </w:r>
      <w:r>
        <w:t xml:space="preserve">a level only counts if every level below it is also passed. </w:t>
      </w:r>
    </w:p>
    <w:p>
      <w:pPr>
        <w:spacing w:after="60" w:before="60" w:line="276"/>
      </w:pPr>
      <w:r>
        <w:rPr>
          <w:b/>
          <w:bCs/>
        </w:rPr>
        <w:t xml:space="preserve">Anomaly rule: </w:t>
      </w:r>
      <w:r>
        <w:t xml:space="preserve">if a learner fails a lower rung but passes a higher one (statistically rare), route to the lowest failed level — the design never over-credits. Implementation: level = number of consecutive passes counting up from Q1; stop at the first failure. No self-report enters the score.</w:t>
      </w:r>
    </w:p>
    <w:p>
      <w:pPr>
        <w:pStyle w:val="Heading1"/>
        <w:spacing w:after="120" w:before="320"/>
      </w:pPr>
      <w:r>
        <w:t xml:space="preserve">4. Course flow</w:t>
      </w:r>
    </w:p>
    <w:p>
      <w:pPr>
        <w:pStyle w:val="ListParagraph"/>
        <w:numPr>
          <w:ilvl w:val="0"/>
          <w:numId w:val="2"/>
        </w:numPr>
        <w:spacing w:after="40" w:before="40" w:line="276"/>
      </w:pPr>
      <w:r>
        <w:t xml:space="preserve">Slide 0.1–0.3 (v4 welcome/orientation, unchanged) → </w:t>
      </w:r>
    </w:p>
    <w:p>
      <w:pPr>
        <w:pStyle w:val="ListParagraph"/>
        <w:numPr>
          <w:ilvl w:val="0"/>
          <w:numId w:val="2"/>
        </w:numPr>
        <w:spacing w:after="40" w:before="40" w:line="276"/>
      </w:pPr>
      <w:r>
        <w:rPr>
          <w:b/>
          <w:bCs/>
        </w:rPr>
        <w:t xml:space="preserve">Screen MP-0 </w:t>
      </w:r>
      <w:r>
        <w:t xml:space="preserve">placement brief → </w:t>
      </w:r>
      <w:r>
        <w:rPr>
          <w:b/>
          <w:bCs/>
        </w:rPr>
        <w:t xml:space="preserve">M-P blocks A–D</w:t>
      </w:r>
      <w:r>
        <w:t xml:space="preserve"> (12 questions, ~6–8 minutes, one placement event before any instruction) → </w:t>
      </w:r>
    </w:p>
    <w:p>
      <w:pPr>
        <w:pStyle w:val="ListParagraph"/>
        <w:numPr>
          <w:ilvl w:val="0"/>
          <w:numId w:val="2"/>
        </w:numPr>
        <w:spacing w:after="40" w:before="40" w:line="276"/>
      </w:pPr>
      <w:r>
        <w:rPr>
          <w:b/>
          <w:bCs/>
        </w:rPr>
        <w:t xml:space="preserve">Screen RT-1 </w:t>
      </w:r>
      <w:r>
        <w:t xml:space="preserve">mastery profile + refutation cards → per-SO adaptive entry into v4 content (§5) → section tests with exit ladder (§10) → </w:t>
      </w:r>
      <w:r>
        <w:rPr>
          <w:b/>
          <w:bCs/>
        </w:rPr>
        <w:t xml:space="preserve">Screen RPT-1</w:t>
      </w:r>
      <w:r>
        <w:t xml:space="preserve"> report (§11).</w:t>
      </w:r>
    </w:p>
    <w:p>
      <w:pPr>
        <w:spacing w:after="60" w:before="60" w:line="276"/>
      </w:pPr>
      <w:r>
        <w:rPr>
          <w:b/>
          <w:bCs/>
        </w:rPr>
        <w:t xml:space="preserve">Placement rules: </w:t>
      </w:r>
      <w:r>
        <w:t xml:space="preserve">four scenario blocks, one per sub-objective; each block is a single realistic case with three questions climbing the ladder. Question stems within a block are answerable independently (no question reveals another’s answer). One attempt per question; no feedback during placement; options randomized (sequence items excepted). All results write </w:t>
      </w:r>
      <w:r>
        <w:rPr>
          <w:rFonts w:ascii="Consolas" w:cs="Consolas" w:eastAsia="Consolas" w:hAnsi="Consolas"/>
          <w:color w:val="20415F"/>
        </w:rPr>
        <w:t xml:space="preserve">v_SO1_L … v_SO4_L</w:t>
      </w:r>
      <w:r>
        <w:t xml:space="preserve">.</w:t>
      </w:r>
    </w:p>
    <w:p>
      <w:pPr>
        <w:spacing w:after="60" w:before="60" w:line="276"/>
      </w:pPr>
      <w:r>
        <w:t xml:space="preserve">Scaling: for a multi-module course, the same pattern scales — one scenario block per module’s broad objective in a single course-front placement, or blocks grouped per module if the course is long (placement fatigue above ~20 minutes outweighs the benefit).</w:t>
      </w:r>
    </w:p>
    <w:p>
      <w:pPr>
        <w:pStyle w:val="Heading1"/>
        <w:spacing w:after="120" w:before="320"/>
      </w:pPr>
      <w:r>
        <w:t xml:space="preserve">5. Routing rules (placement level →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200"/>
        <w:gridCol w:w="3260"/>
      </w:tblGrid>
      <w:tr>
        <w:trPr>
          <w:tblHeader/>
        </w:trPr>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Level</w:t>
            </w:r>
          </w:p>
        </w:tc>
        <w:tc>
          <w:tcPr>
            <w:tcW w:type="dxa" w:w="12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Route</w:t>
            </w:r>
          </w:p>
        </w:tc>
        <w:tc>
          <w:tcPr>
            <w:tcW w:type="dxa" w:w="42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Entry point (v4 slide)</w:t>
            </w:r>
          </w:p>
        </w:tc>
        <w:tc>
          <w:tcPr>
            <w:tcW w:type="dxa" w:w="32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What is skipped</w:t>
            </w:r>
          </w:p>
        </w:tc>
      </w:tr>
      <w:tr>
        <w:tc>
          <w:tcPr>
            <w:tcW w:type="dxa" w:w="700"/>
            <w:tcMar>
              <w:top w:type="dxa" w:w="80"/>
              <w:left w:type="dxa" w:w="120"/>
              <w:bottom w:type="dxa" w:w="80"/>
              <w:right w:type="dxa" w:w="120"/>
            </w:tcMar>
            <w:vAlign w:val="top"/>
          </w:tcPr>
          <w:p>
            <w:pPr>
              <w:spacing w:after="20" w:before="20" w:line="260"/>
            </w:pPr>
            <w:r>
              <w:rPr>
                <w:b/>
                <w:bCs/>
                <w:color w:val="20415F"/>
              </w:rPr>
              <w:t xml:space="preserve">L3</w:t>
            </w:r>
          </w:p>
        </w:tc>
        <w:tc>
          <w:tcPr>
            <w:tcW w:type="dxa" w:w="1200"/>
            <w:tcMar>
              <w:top w:type="dxa" w:w="80"/>
              <w:left w:type="dxa" w:w="120"/>
              <w:bottom w:type="dxa" w:w="80"/>
              <w:right w:type="dxa" w:w="120"/>
            </w:tcMar>
            <w:vAlign w:val="top"/>
          </w:tcPr>
          <w:p>
            <w:pPr>
              <w:spacing w:after="20" w:before="20" w:line="260"/>
            </w:pPr>
            <w:r>
              <w:rPr>
                <w:b/>
                <w:bCs/>
              </w:rPr>
              <w:t xml:space="preserve">SKIP</w:t>
            </w:r>
          </w:p>
        </w:tc>
        <w:tc>
          <w:tcPr>
            <w:tcW w:type="dxa" w:w="4200"/>
            <w:tcMar>
              <w:top w:type="dxa" w:w="80"/>
              <w:left w:type="dxa" w:w="120"/>
              <w:bottom w:type="dxa" w:w="80"/>
              <w:right w:type="dxa" w:w="120"/>
            </w:tcMar>
            <w:vAlign w:val="top"/>
          </w:tcPr>
          <w:p>
            <w:pPr>
              <w:spacing w:after="20" w:before="20" w:line="260"/>
            </w:pPr>
            <w:r>
              <w:t xml:space="preserve">Next scenario block / next section</w:t>
            </w:r>
          </w:p>
        </w:tc>
        <w:tc>
          <w:tcPr>
            <w:tcW w:type="dxa" w:w="3260"/>
            <w:tcMar>
              <w:top w:type="dxa" w:w="80"/>
              <w:left w:type="dxa" w:w="120"/>
              <w:bottom w:type="dxa" w:w="80"/>
              <w:right w:type="dxa" w:w="120"/>
            </w:tcMar>
            <w:vAlign w:val="top"/>
          </w:tcPr>
          <w:p>
            <w:pPr>
              <w:spacing w:after="20" w:before="20" w:line="260"/>
            </w:pPr>
            <w:r>
              <w:t xml:space="preserve">Entire section; credited 100%</w:t>
            </w:r>
          </w:p>
        </w:tc>
      </w:tr>
      <w:tr>
        <w:tc>
          <w:tcPr>
            <w:tcW w:type="dxa" w:w="700"/>
            <w:tcMar>
              <w:top w:type="dxa" w:w="80"/>
              <w:left w:type="dxa" w:w="120"/>
              <w:bottom w:type="dxa" w:w="80"/>
              <w:right w:type="dxa" w:w="120"/>
            </w:tcMar>
            <w:vAlign w:val="top"/>
          </w:tcPr>
          <w:p>
            <w:pPr>
              <w:spacing w:after="20" w:before="20" w:line="260"/>
            </w:pPr>
            <w:r>
              <w:rPr>
                <w:b/>
                <w:bCs/>
                <w:color w:val="20415F"/>
              </w:rPr>
              <w:t xml:space="preserve">L2</w:t>
            </w:r>
          </w:p>
        </w:tc>
        <w:tc>
          <w:tcPr>
            <w:tcW w:type="dxa" w:w="1200"/>
            <w:tcMar>
              <w:top w:type="dxa" w:w="80"/>
              <w:left w:type="dxa" w:w="120"/>
              <w:bottom w:type="dxa" w:w="80"/>
              <w:right w:type="dxa" w:w="120"/>
            </w:tcMar>
            <w:vAlign w:val="top"/>
          </w:tcPr>
          <w:p>
            <w:pPr>
              <w:spacing w:after="20" w:before="20" w:line="260"/>
            </w:pPr>
            <w:r>
              <w:rPr>
                <w:b/>
                <w:bCs/>
              </w:rPr>
              <w:t xml:space="preserve">POLISH</w:t>
            </w:r>
          </w:p>
        </w:tc>
        <w:tc>
          <w:tcPr>
            <w:tcW w:type="dxa" w:w="4200"/>
            <w:tcMar>
              <w:top w:type="dxa" w:w="80"/>
              <w:left w:type="dxa" w:w="120"/>
              <w:bottom w:type="dxa" w:w="80"/>
              <w:right w:type="dxa" w:w="120"/>
            </w:tcMar>
            <w:vAlign w:val="top"/>
          </w:tcPr>
          <w:p>
            <w:pPr>
              <w:spacing w:after="20" w:before="20" w:line="260"/>
            </w:pPr>
            <w:r>
              <w:t xml:space="preserve">Full-problem practice (1.5 / 2.5 / 3.4 / 4.4) → Section Test</w:t>
            </w:r>
          </w:p>
        </w:tc>
        <w:tc>
          <w:tcPr>
            <w:tcW w:type="dxa" w:w="3260"/>
            <w:tcMar>
              <w:top w:type="dxa" w:w="80"/>
              <w:left w:type="dxa" w:w="120"/>
              <w:bottom w:type="dxa" w:w="80"/>
              <w:right w:type="dxa" w:w="120"/>
            </w:tcMar>
            <w:vAlign w:val="top"/>
          </w:tcPr>
          <w:p>
            <w:pPr>
              <w:spacing w:after="20" w:before="20" w:line="260"/>
            </w:pPr>
            <w:r>
              <w:t xml:space="preserve">Teach, worked example, completion practice</w:t>
            </w:r>
          </w:p>
        </w:tc>
      </w:tr>
      <w:tr>
        <w:tc>
          <w:tcPr>
            <w:tcW w:type="dxa" w:w="700"/>
            <w:tcMar>
              <w:top w:type="dxa" w:w="80"/>
              <w:left w:type="dxa" w:w="120"/>
              <w:bottom w:type="dxa" w:w="80"/>
              <w:right w:type="dxa" w:w="120"/>
            </w:tcMar>
            <w:vAlign w:val="top"/>
          </w:tcPr>
          <w:p>
            <w:pPr>
              <w:spacing w:after="20" w:before="20" w:line="260"/>
            </w:pPr>
            <w:r>
              <w:rPr>
                <w:b/>
                <w:bCs/>
                <w:color w:val="20415F"/>
              </w:rPr>
              <w:t xml:space="preserve">L1</w:t>
            </w:r>
          </w:p>
        </w:tc>
        <w:tc>
          <w:tcPr>
            <w:tcW w:type="dxa" w:w="1200"/>
            <w:tcMar>
              <w:top w:type="dxa" w:w="80"/>
              <w:left w:type="dxa" w:w="120"/>
              <w:bottom w:type="dxa" w:w="80"/>
              <w:right w:type="dxa" w:w="120"/>
            </w:tcMar>
            <w:vAlign w:val="top"/>
          </w:tcPr>
          <w:p>
            <w:pPr>
              <w:spacing w:after="20" w:before="20" w:line="260"/>
            </w:pPr>
            <w:r>
              <w:rPr>
                <w:b/>
                <w:bCs/>
              </w:rPr>
              <w:t xml:space="preserve">PRACTICE</w:t>
            </w:r>
          </w:p>
        </w:tc>
        <w:tc>
          <w:tcPr>
            <w:tcW w:type="dxa" w:w="4200"/>
            <w:tcMar>
              <w:top w:type="dxa" w:w="80"/>
              <w:left w:type="dxa" w:w="120"/>
              <w:bottom w:type="dxa" w:w="80"/>
              <w:right w:type="dxa" w:w="120"/>
            </w:tcMar>
            <w:vAlign w:val="top"/>
          </w:tcPr>
          <w:p>
            <w:pPr>
              <w:spacing w:after="20" w:before="20" w:line="260"/>
            </w:pPr>
            <w:r>
              <w:t xml:space="preserve">Completion practice (1.4 / 2.4 / 3.3 / 4.3) → full problem → Section Test</w:t>
            </w:r>
          </w:p>
        </w:tc>
        <w:tc>
          <w:tcPr>
            <w:tcW w:type="dxa" w:w="3260"/>
            <w:tcMar>
              <w:top w:type="dxa" w:w="80"/>
              <w:left w:type="dxa" w:w="120"/>
              <w:bottom w:type="dxa" w:w="80"/>
              <w:right w:type="dxa" w:w="120"/>
            </w:tcMar>
            <w:vAlign w:val="top"/>
          </w:tcPr>
          <w:p>
            <w:pPr>
              <w:spacing w:after="20" w:before="20" w:line="260"/>
            </w:pPr>
            <w:r>
              <w:t xml:space="preserve">Teach pages and worked example</w:t>
            </w:r>
          </w:p>
        </w:tc>
      </w:tr>
      <w:tr>
        <w:tc>
          <w:tcPr>
            <w:tcW w:type="dxa" w:w="700"/>
            <w:tcMar>
              <w:top w:type="dxa" w:w="80"/>
              <w:left w:type="dxa" w:w="120"/>
              <w:bottom w:type="dxa" w:w="80"/>
              <w:right w:type="dxa" w:w="120"/>
            </w:tcMar>
            <w:vAlign w:val="top"/>
          </w:tcPr>
          <w:p>
            <w:pPr>
              <w:spacing w:after="20" w:before="20" w:line="260"/>
            </w:pPr>
            <w:r>
              <w:rPr>
                <w:b/>
                <w:bCs/>
                <w:color w:val="20415F"/>
              </w:rPr>
              <w:t xml:space="preserve">L0</w:t>
            </w:r>
          </w:p>
        </w:tc>
        <w:tc>
          <w:tcPr>
            <w:tcW w:type="dxa" w:w="1200"/>
            <w:tcMar>
              <w:top w:type="dxa" w:w="80"/>
              <w:left w:type="dxa" w:w="120"/>
              <w:bottom w:type="dxa" w:w="80"/>
              <w:right w:type="dxa" w:w="120"/>
            </w:tcMar>
            <w:vAlign w:val="top"/>
          </w:tcPr>
          <w:p>
            <w:pPr>
              <w:spacing w:after="20" w:before="20" w:line="260"/>
            </w:pPr>
            <w:r>
              <w:rPr>
                <w:b/>
                <w:bCs/>
              </w:rPr>
              <w:t xml:space="preserve">FULL</w:t>
            </w:r>
          </w:p>
        </w:tc>
        <w:tc>
          <w:tcPr>
            <w:tcW w:type="dxa" w:w="4200"/>
            <w:tcMar>
              <w:top w:type="dxa" w:w="80"/>
              <w:left w:type="dxa" w:w="120"/>
              <w:bottom w:type="dxa" w:w="80"/>
              <w:right w:type="dxa" w:w="120"/>
            </w:tcMar>
            <w:vAlign w:val="top"/>
          </w:tcPr>
          <w:p>
            <w:pPr>
              <w:spacing w:after="20" w:before="20" w:line="260"/>
            </w:pPr>
            <w:r>
              <w:t xml:space="preserve">Teach (1.1 / 2.1 / 3.1 / 4.1) → worked example → completion → full problem → Section Test</w:t>
            </w:r>
          </w:p>
        </w:tc>
        <w:tc>
          <w:tcPr>
            <w:tcW w:type="dxa" w:w="3260"/>
            <w:tcMar>
              <w:top w:type="dxa" w:w="80"/>
              <w:left w:type="dxa" w:w="120"/>
              <w:bottom w:type="dxa" w:w="80"/>
              <w:right w:type="dxa" w:w="120"/>
            </w:tcMar>
            <w:vAlign w:val="top"/>
          </w:tcPr>
          <w:p>
            <w:pPr>
              <w:spacing w:after="20" w:before="20" w:line="260"/>
            </w:pPr>
            <w:r>
              <w:t xml:space="preserve">Nothing</w:t>
            </w:r>
          </w:p>
        </w:tc>
      </w:tr>
    </w:tbl>
    <w:p>
      <w:pPr>
        <w:spacing w:after="60" w:before="120" w:line="276"/>
      </w:pPr>
      <w:r>
        <w:rPr>
          <w:b/>
          <w:bCs/>
        </w:rPr>
        <w:t xml:space="preserve">Refutation cards 1.R–4.R are triggered by the distractor chosen, not by confidence: </w:t>
      </w:r>
      <w:r>
        <w:t xml:space="preserve">each level-determining wrong answer carries a misconception tag, and if a tagged distractor was selected anywhere in the block, the matching refutation card opens the learner’s route. Section tests, remediation loop, spiral review and booster are unchanged from v4.</w:t>
      </w:r>
    </w:p>
    <w:p>
      <w:pPr>
        <w:pStyle w:val="Heading1"/>
        <w:spacing w:after="120" w:before="320"/>
      </w:pPr>
      <w:r>
        <w:t xml:space="preserve">6. Misconception-tag registry</w:t>
      </w:r>
    </w:p>
    <w:p>
      <w:pPr>
        <w:spacing w:after="60" w:before="60" w:line="276"/>
      </w:pPr>
      <w:r>
        <w:t xml:space="preserve">One vocabulary shared by item authoring, refutation cards and analytics. Each tag becomes one boolean variable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60"/>
        <w:gridCol w:w="1200"/>
      </w:tblGrid>
      <w:tr>
        <w:trPr>
          <w:tblHeader/>
        </w:trPr>
        <w:tc>
          <w:tcPr>
            <w:tcW w:type="dxa" w:w="23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Tag (variable suffix)</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it marks</w:t>
            </w:r>
          </w:p>
        </w:tc>
        <w:tc>
          <w:tcPr>
            <w:tcW w:type="dxa" w:w="22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Fires in items</w:t>
            </w:r>
          </w:p>
        </w:tc>
        <w:tc>
          <w:tcPr>
            <w:tcW w:type="dxa" w:w="12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Card</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all-wait-on-BTL</w:t>
            </w:r>
          </w:p>
        </w:tc>
        <w:tc>
          <w:tcPr>
            <w:tcW w:type="dxa" w:w="3600"/>
            <w:tcMar>
              <w:top w:type="dxa" w:w="80"/>
              <w:left w:type="dxa" w:w="120"/>
              <w:bottom w:type="dxa" w:w="80"/>
              <w:right w:type="dxa" w:w="120"/>
            </w:tcMar>
            <w:vAlign w:val="top"/>
          </w:tcPr>
          <w:p>
            <w:pPr>
              <w:spacing w:after="20" w:before="20" w:line="260"/>
            </w:pPr>
            <w:r>
              <w:t xml:space="preserve">“Every selected/transferring member just sits on the BTL”</w:t>
            </w:r>
          </w:p>
        </w:tc>
        <w:tc>
          <w:tcPr>
            <w:tcW w:type="dxa" w:w="2260"/>
            <w:tcMar>
              <w:top w:type="dxa" w:w="80"/>
              <w:left w:type="dxa" w:w="120"/>
              <w:bottom w:type="dxa" w:w="80"/>
              <w:right w:type="dxa" w:w="120"/>
            </w:tcMar>
            <w:vAlign w:val="top"/>
          </w:tcPr>
          <w:p>
            <w:pPr>
              <w:spacing w:after="20" w:before="20" w:line="260"/>
            </w:pPr>
            <w:r>
              <w:t xml:space="preserve">A-Q1, A-Q3, SO1-Q3b</w:t>
            </w:r>
          </w:p>
        </w:tc>
        <w:tc>
          <w:tcPr>
            <w:tcW w:type="dxa" w:w="1200"/>
            <w:tcMar>
              <w:top w:type="dxa" w:w="80"/>
              <w:left w:type="dxa" w:w="120"/>
              <w:bottom w:type="dxa" w:w="80"/>
              <w:right w:type="dxa" w:w="120"/>
            </w:tcMar>
            <w:vAlign w:val="top"/>
          </w:tcPr>
          <w:p>
            <w:pPr>
              <w:spacing w:after="20" w:before="20" w:line="260"/>
            </w:pPr>
            <w:r>
              <w:t xml:space="preserve">1.R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DMCPG-manages</w:t>
            </w:r>
          </w:p>
        </w:tc>
        <w:tc>
          <w:tcPr>
            <w:tcW w:type="dxa" w:w="3600"/>
            <w:tcMar>
              <w:top w:type="dxa" w:w="80"/>
              <w:left w:type="dxa" w:w="120"/>
              <w:bottom w:type="dxa" w:w="80"/>
              <w:right w:type="dxa" w:w="120"/>
            </w:tcMar>
            <w:vAlign w:val="top"/>
          </w:tcPr>
          <w:p>
            <w:pPr>
              <w:spacing w:after="20" w:before="20" w:line="260"/>
            </w:pPr>
            <w:r>
              <w:t xml:space="preserve">“DMCPG 5-3 manages members directly”</w:t>
            </w:r>
          </w:p>
        </w:tc>
        <w:tc>
          <w:tcPr>
            <w:tcW w:type="dxa" w:w="2260"/>
            <w:tcMar>
              <w:top w:type="dxa" w:w="80"/>
              <w:left w:type="dxa" w:w="120"/>
              <w:bottom w:type="dxa" w:w="80"/>
              <w:right w:type="dxa" w:w="120"/>
            </w:tcMar>
            <w:vAlign w:val="top"/>
          </w:tcPr>
          <w:p>
            <w:pPr>
              <w:spacing w:after="20" w:before="20" w:line="260"/>
            </w:pPr>
            <w:r>
              <w:t xml:space="preserve">A-Q2</w:t>
            </w:r>
          </w:p>
        </w:tc>
        <w:tc>
          <w:tcPr>
            <w:tcW w:type="dxa" w:w="1200"/>
            <w:tcMar>
              <w:top w:type="dxa" w:w="80"/>
              <w:left w:type="dxa" w:w="120"/>
              <w:bottom w:type="dxa" w:w="80"/>
              <w:right w:type="dxa" w:w="120"/>
            </w:tcMar>
            <w:vAlign w:val="top"/>
          </w:tcPr>
          <w:p>
            <w:pPr>
              <w:spacing w:after="20" w:before="20" w:line="260"/>
            </w:pPr>
            <w:r>
              <w:t xml:space="preserve">1.R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anticipating-outcome</w:t>
            </w:r>
          </w:p>
        </w:tc>
        <w:tc>
          <w:tcPr>
            <w:tcW w:type="dxa" w:w="3600"/>
            <w:tcMar>
              <w:top w:type="dxa" w:w="80"/>
              <w:left w:type="dxa" w:w="120"/>
              <w:bottom w:type="dxa" w:w="80"/>
              <w:right w:type="dxa" w:w="120"/>
            </w:tcMar>
            <w:vAlign w:val="top"/>
          </w:tcPr>
          <w:p>
            <w:pPr>
              <w:spacing w:after="20" w:before="20" w:line="260"/>
            </w:pPr>
            <w:r>
              <w:t xml:space="preserve">“Act on an expected decision before it is authorized”</w:t>
            </w:r>
          </w:p>
        </w:tc>
        <w:tc>
          <w:tcPr>
            <w:tcW w:type="dxa" w:w="2260"/>
            <w:tcMar>
              <w:top w:type="dxa" w:w="80"/>
              <w:left w:type="dxa" w:w="120"/>
              <w:bottom w:type="dxa" w:w="80"/>
              <w:right w:type="dxa" w:w="120"/>
            </w:tcMar>
            <w:vAlign w:val="top"/>
          </w:tcPr>
          <w:p>
            <w:pPr>
              <w:spacing w:after="20" w:before="20" w:line="260"/>
            </w:pPr>
            <w:r>
              <w:t xml:space="preserve">B-Q2, D-Q2</w:t>
            </w:r>
          </w:p>
        </w:tc>
        <w:tc>
          <w:tcPr>
            <w:tcW w:type="dxa" w:w="1200"/>
            <w:tcMar>
              <w:top w:type="dxa" w:w="80"/>
              <w:left w:type="dxa" w:w="120"/>
              <w:bottom w:type="dxa" w:w="80"/>
              <w:right w:type="dxa" w:w="120"/>
            </w:tcMar>
            <w:vAlign w:val="top"/>
          </w:tcPr>
          <w:p>
            <w:pPr>
              <w:spacing w:after="20" w:before="20" w:line="260"/>
            </w:pPr>
            <w:r>
              <w:t xml:space="preserve">2.R / 4.R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compulsory-is-one-thing</w:t>
            </w:r>
          </w:p>
        </w:tc>
        <w:tc>
          <w:tcPr>
            <w:tcW w:type="dxa" w:w="3600"/>
            <w:tcMar>
              <w:top w:type="dxa" w:w="80"/>
              <w:left w:type="dxa" w:w="120"/>
              <w:bottom w:type="dxa" w:w="80"/>
              <w:right w:type="dxa" w:w="120"/>
            </w:tcMar>
            <w:vAlign w:val="top"/>
          </w:tcPr>
          <w:p>
            <w:pPr>
              <w:spacing w:after="20" w:before="20" w:line="260"/>
            </w:pPr>
            <w:r>
              <w:t xml:space="preserve">“All compulsory transfers are identical, incl. pay protection”</w:t>
            </w:r>
          </w:p>
        </w:tc>
        <w:tc>
          <w:tcPr>
            <w:tcW w:type="dxa" w:w="2260"/>
            <w:tcMar>
              <w:top w:type="dxa" w:w="80"/>
              <w:left w:type="dxa" w:w="120"/>
              <w:bottom w:type="dxa" w:w="80"/>
              <w:right w:type="dxa" w:w="120"/>
            </w:tcMar>
            <w:vAlign w:val="top"/>
          </w:tcPr>
          <w:p>
            <w:pPr>
              <w:spacing w:after="20" w:before="20" w:line="260"/>
            </w:pPr>
            <w:r>
              <w:t xml:space="preserve">B-Q3, SO2-Q3b</w:t>
            </w:r>
          </w:p>
        </w:tc>
        <w:tc>
          <w:tcPr>
            <w:tcW w:type="dxa" w:w="1200"/>
            <w:tcMar>
              <w:top w:type="dxa" w:w="80"/>
              <w:left w:type="dxa" w:w="120"/>
              <w:bottom w:type="dxa" w:w="80"/>
              <w:right w:type="dxa" w:w="120"/>
            </w:tcMar>
            <w:vAlign w:val="top"/>
          </w:tcPr>
          <w:p>
            <w:pPr>
              <w:spacing w:after="20" w:before="20" w:line="260"/>
            </w:pPr>
            <w:r>
              <w:t xml:space="preserve">2.R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authority-sequence</w:t>
            </w:r>
          </w:p>
        </w:tc>
        <w:tc>
          <w:tcPr>
            <w:tcW w:type="dxa" w:w="3600"/>
            <w:tcMar>
              <w:top w:type="dxa" w:w="80"/>
              <w:left w:type="dxa" w:w="120"/>
              <w:bottom w:type="dxa" w:w="80"/>
              <w:right w:type="dxa" w:w="120"/>
            </w:tcMar>
            <w:vAlign w:val="top"/>
          </w:tcPr>
          <w:p>
            <w:pPr>
              <w:spacing w:after="20" w:before="20" w:line="260"/>
            </w:pPr>
            <w:r>
              <w:t xml:space="preserve">“Wrong organization/order at the end of CMOT”</w:t>
            </w:r>
          </w:p>
        </w:tc>
        <w:tc>
          <w:tcPr>
            <w:tcW w:type="dxa" w:w="2260"/>
            <w:tcMar>
              <w:top w:type="dxa" w:w="80"/>
              <w:left w:type="dxa" w:w="120"/>
              <w:bottom w:type="dxa" w:w="80"/>
              <w:right w:type="dxa" w:w="120"/>
            </w:tcMar>
            <w:vAlign w:val="top"/>
          </w:tcPr>
          <w:p>
            <w:pPr>
              <w:spacing w:after="20" w:before="20" w:line="260"/>
            </w:pPr>
            <w:r>
              <w:t xml:space="preserve">C-Q1, C-Q2, C-Q3, SO3-Q3b</w:t>
            </w:r>
          </w:p>
        </w:tc>
        <w:tc>
          <w:tcPr>
            <w:tcW w:type="dxa" w:w="1200"/>
            <w:tcMar>
              <w:top w:type="dxa" w:w="80"/>
              <w:left w:type="dxa" w:w="120"/>
              <w:bottom w:type="dxa" w:w="80"/>
              <w:right w:type="dxa" w:w="120"/>
            </w:tcMar>
            <w:vAlign w:val="top"/>
          </w:tcPr>
          <w:p>
            <w:pPr>
              <w:spacing w:after="20" w:before="20" w:line="260"/>
            </w:pPr>
            <w:r>
              <w:t xml:space="preserve">3.R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review-skipped</w:t>
            </w:r>
          </w:p>
        </w:tc>
        <w:tc>
          <w:tcPr>
            <w:tcW w:type="dxa" w:w="3600"/>
            <w:tcMar>
              <w:top w:type="dxa" w:w="80"/>
              <w:left w:type="dxa" w:w="120"/>
              <w:bottom w:type="dxa" w:w="80"/>
              <w:right w:type="dxa" w:w="120"/>
            </w:tcMar>
            <w:vAlign w:val="top"/>
          </w:tcPr>
          <w:p>
            <w:pPr>
              <w:spacing w:after="20" w:before="20" w:line="260"/>
            </w:pPr>
            <w:r>
              <w:t xml:space="preserve">“Decision letter can precede DMCA 3’s review”</w:t>
            </w:r>
          </w:p>
        </w:tc>
        <w:tc>
          <w:tcPr>
            <w:tcW w:type="dxa" w:w="2260"/>
            <w:tcMar>
              <w:top w:type="dxa" w:w="80"/>
              <w:left w:type="dxa" w:w="120"/>
              <w:bottom w:type="dxa" w:w="80"/>
              <w:right w:type="dxa" w:w="120"/>
            </w:tcMar>
            <w:vAlign w:val="top"/>
          </w:tcPr>
          <w:p>
            <w:pPr>
              <w:spacing w:after="20" w:before="20" w:line="260"/>
            </w:pPr>
            <w:r>
              <w:t xml:space="preserve">C-Q2, C-Q3, SO3-Q3b</w:t>
            </w:r>
          </w:p>
        </w:tc>
        <w:tc>
          <w:tcPr>
            <w:tcW w:type="dxa" w:w="1200"/>
            <w:tcMar>
              <w:top w:type="dxa" w:w="80"/>
              <w:left w:type="dxa" w:w="120"/>
              <w:bottom w:type="dxa" w:w="80"/>
              <w:right w:type="dxa" w:w="120"/>
            </w:tcMar>
            <w:vAlign w:val="top"/>
          </w:tcPr>
          <w:p>
            <w:pPr>
              <w:spacing w:after="20" w:before="20" w:line="260"/>
            </w:pPr>
            <w:r>
              <w:t xml:space="preserve">3.R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informal-is-enough</w:t>
            </w:r>
          </w:p>
        </w:tc>
        <w:tc>
          <w:tcPr>
            <w:tcW w:type="dxa" w:w="3600"/>
            <w:tcMar>
              <w:top w:type="dxa" w:w="80"/>
              <w:left w:type="dxa" w:w="120"/>
              <w:bottom w:type="dxa" w:w="80"/>
              <w:right w:type="dxa" w:w="120"/>
            </w:tcMar>
            <w:vAlign w:val="top"/>
          </w:tcPr>
          <w:p>
            <w:pPr>
              <w:spacing w:after="20" w:before="20" w:line="260"/>
            </w:pPr>
            <w:r>
              <w:t xml:space="preserve">“A supervisor’s word substitutes for an authorized decision”</w:t>
            </w:r>
          </w:p>
        </w:tc>
        <w:tc>
          <w:tcPr>
            <w:tcW w:type="dxa" w:w="2260"/>
            <w:tcMar>
              <w:top w:type="dxa" w:w="80"/>
              <w:left w:type="dxa" w:w="120"/>
              <w:bottom w:type="dxa" w:w="80"/>
              <w:right w:type="dxa" w:w="120"/>
            </w:tcMar>
            <w:vAlign w:val="top"/>
          </w:tcPr>
          <w:p>
            <w:pPr>
              <w:spacing w:after="20" w:before="20" w:line="260"/>
            </w:pPr>
            <w:r>
              <w:t xml:space="preserve">D-Q1, D-Q2, SO4-Q3b</w:t>
            </w:r>
          </w:p>
        </w:tc>
        <w:tc>
          <w:tcPr>
            <w:tcW w:type="dxa" w:w="1200"/>
            <w:tcMar>
              <w:top w:type="dxa" w:w="80"/>
              <w:left w:type="dxa" w:w="120"/>
              <w:bottom w:type="dxa" w:w="80"/>
              <w:right w:type="dxa" w:w="120"/>
            </w:tcMar>
            <w:vAlign w:val="top"/>
          </w:tcPr>
          <w:p>
            <w:pPr>
              <w:spacing w:after="20" w:before="20" w:line="260"/>
            </w:pPr>
            <w:r>
              <w:t xml:space="preserve">4.R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half-message</w:t>
            </w:r>
          </w:p>
        </w:tc>
        <w:tc>
          <w:tcPr>
            <w:tcW w:type="dxa" w:w="3600"/>
            <w:tcMar>
              <w:top w:type="dxa" w:w="80"/>
              <w:left w:type="dxa" w:w="120"/>
              <w:bottom w:type="dxa" w:w="80"/>
              <w:right w:type="dxa" w:w="120"/>
            </w:tcMar>
            <w:vAlign w:val="top"/>
          </w:tcPr>
          <w:p>
            <w:pPr>
              <w:spacing w:after="20" w:before="20" w:line="260"/>
            </w:pPr>
            <w:r>
              <w:t xml:space="preserve">“One unit actioning the OT/CT message completes it”</w:t>
            </w:r>
          </w:p>
        </w:tc>
        <w:tc>
          <w:tcPr>
            <w:tcW w:type="dxa" w:w="2260"/>
            <w:tcMar>
              <w:top w:type="dxa" w:w="80"/>
              <w:left w:type="dxa" w:w="120"/>
              <w:bottom w:type="dxa" w:w="80"/>
              <w:right w:type="dxa" w:w="120"/>
            </w:tcMar>
            <w:vAlign w:val="top"/>
          </w:tcPr>
          <w:p>
            <w:pPr>
              <w:spacing w:after="20" w:before="20" w:line="260"/>
            </w:pPr>
            <w:r>
              <w:t xml:space="preserve">D-Q3, SO4-Q3b</w:t>
            </w:r>
          </w:p>
        </w:tc>
        <w:tc>
          <w:tcPr>
            <w:tcW w:type="dxa" w:w="1200"/>
            <w:tcMar>
              <w:top w:type="dxa" w:w="80"/>
              <w:left w:type="dxa" w:w="120"/>
              <w:bottom w:type="dxa" w:w="80"/>
              <w:right w:type="dxa" w:w="120"/>
            </w:tcMar>
            <w:vAlign w:val="top"/>
          </w:tcPr>
          <w:p>
            <w:pPr>
              <w:spacing w:after="20" w:before="20" w:line="260"/>
            </w:pPr>
            <w:r>
              <w:t xml:space="preserve">4.R</w:t>
            </w:r>
          </w:p>
        </w:tc>
      </w:tr>
    </w:tbl>
    <w:p>
      <w:r>
        <w:br w:type="page"/>
      </w:r>
    </w:p>
    <w:p>
      <w:pPr>
        <w:pStyle w:val="Heading1"/>
        <w:spacing w:after="120" w:before="320"/>
      </w:pPr>
      <w:r>
        <w:t xml:space="preserve">7. Screen-by-screen: placement module M-P</w:t>
      </w:r>
    </w:p>
    <w:p>
      <w:pPr>
        <w:pStyle w:val="Heading2"/>
        <w:spacing w:after="100" w:before="260"/>
      </w:pPr>
      <w:r>
        <w:t xml:space="preserve">Screen MP-0 — Placement brief</w:t>
      </w:r>
    </w:p>
    <w:p>
      <w:pPr>
        <w:spacing w:after="60" w:before="60" w:line="276"/>
      </w:pPr>
      <w:r>
        <w:rPr>
          <w:b/>
          <w:bCs/>
        </w:rPr>
        <w:t xml:space="preserve">Position: </w:t>
      </w:r>
      <w:r>
        <w:t xml:space="preserve">immediately after slide 0.3, before any instruction.</w:t>
      </w:r>
    </w:p>
    <w:p>
      <w:pPr>
        <w:spacing w:after="60" w:before="60" w:line="276"/>
      </w:pPr>
      <w:r>
        <w:rPr>
          <w:b/>
          <w:bCs/>
        </w:rPr>
        <w:t xml:space="preserve">On-screen copy (editable): </w:t>
      </w:r>
      <w:r>
        <w:rPr>
          <w:i/>
          <w:iCs/>
        </w:rPr>
        <w:t xml:space="preserve">“Before we teach you anything — show us what you already know. Four short scenarios from the BTL Manager’s desk, three questions each. About 6–8 minutes. One attempt per question and no feedback until the end — answer from your current knowledge. What you already master, the course skips and credits in full; what you partly master gets practice only; what is new gets the full lesson.”</w:t>
      </w:r>
    </w:p>
    <w:p>
      <w:pPr>
        <w:spacing w:after="160" w:before="60" w:line="276"/>
      </w:pPr>
      <w:r>
        <w:rPr>
          <w:b/>
          <w:bCs/>
        </w:rPr>
        <w:t xml:space="preserve">Controls: </w:t>
      </w:r>
      <w:r>
        <w:t xml:space="preserve">single “Begin placement” action. No back-navigation into or out of the placement once begun.</w:t>
      </w:r>
    </w:p>
    <w:p>
      <w:pPr>
        <w:pStyle w:val="Heading2"/>
        <w:spacing w:after="100" w:before="260"/>
      </w:pPr>
      <w:r>
        <w:t xml:space="preserve">Block A — SO1 Annual In-Service Programs</w:t>
      </w:r>
    </w:p>
    <w:p>
      <w:pPr>
        <w:spacing w:after="60" w:before="60" w:line="276"/>
      </w:pPr>
      <w:r>
        <w:rPr>
          <w:b/>
          <w:bCs/>
        </w:rPr>
        <w:t xml:space="preserve">Screen MP-A0 — scenario stage. </w:t>
      </w:r>
      <w:r>
        <w:t xml:space="preserve">The scenario text stays on screen (or in a persistent panel) throughout the block’s three questions:</w:t>
      </w:r>
    </w:p>
    <w:p>
      <w:pPr>
        <w:shd w:fill="F2F0EA" w:val="clear"/>
        <w:spacing w:after="60" w:before="60" w:line="276"/>
      </w:pPr>
      <w:r>
        <w:rPr>
          <w:i/>
          <w:iCs/>
        </w:rPr>
        <w:t xml:space="preserve">You are the BTL Manager. Three files arrive today: MCpl Arsenault, selected for UTPNCM; Pte Béland, selected VOT-T; Lt Cormier, a qualified member under CFRP.</w:t>
      </w:r>
    </w:p>
    <w:p>
      <w:pPr>
        <w:pStyle w:val="Heading3"/>
        <w:spacing w:after="80" w:before="200"/>
      </w:pPr>
      <w:r>
        <w:t xml:space="preserve">Screen MP-A1 — item A-Q1 (Understand · rung Q1)</w:t>
      </w:r>
    </w:p>
    <w:p>
      <w:pPr>
        <w:spacing w:after="60" w:before="60" w:line="276"/>
      </w:pPr>
      <w:r>
        <w:rPr>
          <w:b/>
          <w:bCs/>
        </w:rPr>
        <w:t xml:space="preserve">Stem: </w:t>
      </w:r>
      <w:r>
        <w:t xml:space="preserve">Which of the three members will be posted to an educational institution or 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MCpl Arsenault (UTPNCM)</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Pte Béland (VOT-T)</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[all-wait-on-BTL]</w:t>
            </w:r>
            <w:r>
              <w:rPr>
                <w:i/>
                <w:iCs/>
                <w:color w:val="5A6772"/>
                <w:sz w:val="19"/>
                <w:szCs w:val="19"/>
              </w:rPr>
              <w:t xml:space="preserve">  “VOT-T members are posted to the BTL to await training.”</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Lt Cormier (CFRP)</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“CFRP members are usually skilled and posted to BTL.”</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All three</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[all-wait-on-BTL]</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v_SO1_L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Identify management arrangement by program.</w:t>
      </w:r>
    </w:p>
    <w:p>
      <w:pPr>
        <w:pStyle w:val="Heading3"/>
        <w:spacing w:after="80" w:before="200"/>
      </w:pPr>
      <w:r>
        <w:t xml:space="preserve">Screen MP-A2 — item A-Q2 (Apply · rung Q2)</w:t>
      </w:r>
    </w:p>
    <w:p>
      <w:pPr>
        <w:spacing w:after="60" w:before="60" w:line="276"/>
      </w:pPr>
      <w:r>
        <w:rPr>
          <w:b/>
          <w:bCs/>
        </w:rPr>
        <w:t xml:space="preserve">Stem: </w:t>
      </w:r>
      <w:r>
        <w:t xml:space="preserve">Pte Béland asks who will course-load him while he awaits training. What do you tell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The BTL Manager course-loads VOT-T members on the BTL</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The educational institution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“Applies to UTPNCM/specialist members.”</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DMCPG 5-3</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[DMCPG-manages]</w:t>
            </w:r>
            <w:r>
              <w:rPr>
                <w:i/>
                <w:iCs/>
                <w:color w:val="5A6772"/>
                <w:sz w:val="19"/>
                <w:szCs w:val="19"/>
              </w:rPr>
              <w:t xml:space="preserve">  “DMCPG 5-3 does not manage members.”</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His career manager</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“Career-manager control applies to qualified CFRP members.”</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v_SO1_L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Act on the arrangement in a routine case.</w:t>
      </w:r>
    </w:p>
    <w:p>
      <w:pPr>
        <w:pStyle w:val="Heading3"/>
        <w:spacing w:after="80" w:before="200"/>
      </w:pPr>
      <w:r>
        <w:t xml:space="preserve">Screen MP-A3 — item A-Q3 (Analyze · rung Q3)</w:t>
      </w:r>
    </w:p>
    <w:p>
      <w:pPr>
        <w:spacing w:after="60" w:before="60" w:line="276"/>
      </w:pPr>
      <w:r>
        <w:rPr>
          <w:b/>
          <w:bCs/>
        </w:rPr>
        <w:t xml:space="preserve">Stem: </w:t>
      </w:r>
      <w:r>
        <w:t xml:space="preserve">It is the break between academic years. MCpl Arsenault’s institution says military coursing “is not their responsibility,” and Lt Cormier asks why his file is being handled differently from the other two. Which handling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The BTL Manager arranges Arsenault’s military coursing between academic years, and Cormier, being qualified, may return to career-manager control</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The institution must arrange the coursing</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“Between academic years, coursing is the BTL Manager’s.”</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All three files are handled identically on the BTL</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[all-wait-on-BTL]</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Arsenault transfers to the BTL for the break</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“The member remains institution-managed; only coursing is arranged by the BTL Manager.”</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v_SO1_L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Resolve a complication across two arrangements.</w:t>
      </w:r>
    </w:p>
    <w:p>
      <w:pPr>
        <w:spacing w:after="200" w:before="60" w:line="276"/>
      </w:pPr>
      <w:r>
        <w:rPr>
          <w:b/>
          <w:bCs/>
        </w:rPr>
        <w:t xml:space="preserve">End of block: </w:t>
      </w:r>
      <w:r>
        <w:rPr>
          <w:rFonts w:ascii="Consolas" w:cs="Consolas" w:eastAsia="Consolas" w:hAnsi="Consolas"/>
          <w:color w:val="20415F"/>
        </w:rPr>
        <w:t xml:space="preserve">compute v_SO1_L</w:t>
      </w:r>
      <w:r>
        <w:t xml:space="preserve"> by the consecutive-pass rule (§3). Do not display any result yet; continue to the next block (or to RT-1 after block D).</w:t>
      </w:r>
    </w:p>
    <w:p>
      <w:pPr>
        <w:pStyle w:val="Heading2"/>
        <w:spacing w:after="100" w:before="260"/>
      </w:pPr>
      <w:r>
        <w:t xml:space="preserve">Block B — SO2 VOT-U, COT-U and CMOT</w:t>
      </w:r>
    </w:p>
    <w:p>
      <w:pPr>
        <w:spacing w:after="60" w:before="60" w:line="276"/>
      </w:pPr>
      <w:r>
        <w:rPr>
          <w:b/>
          <w:bCs/>
        </w:rPr>
        <w:t xml:space="preserve">Screen MP-B0 — scenario stage. </w:t>
      </w:r>
      <w:r>
        <w:t xml:space="preserve">The scenario text stays on screen (or in a persistent panel) throughout the block’s three questions:</w:t>
      </w:r>
    </w:p>
    <w:p>
      <w:pPr>
        <w:shd w:fill="F2F0EA" w:val="clear"/>
        <w:spacing w:after="60" w:before="60" w:line="276"/>
      </w:pPr>
      <w:r>
        <w:rPr>
          <w:i/>
          <w:iCs/>
        </w:rPr>
        <w:t xml:space="preserve">Three members, one week. Cpl Dion volunteered for a new occupation after completing BMQ and awaits board results. Pte Ellis failed an academic requirement; a PRB was held and a legitimate retention requirement identified. Sgt Fortin received an AR/MEL decision from DMCA with medical employment limitations.</w:t>
      </w:r>
    </w:p>
    <w:p>
      <w:pPr>
        <w:pStyle w:val="Heading3"/>
        <w:spacing w:after="80" w:before="200"/>
      </w:pPr>
      <w:r>
        <w:t xml:space="preserve">Screen MP-B1 — item B-Q1 (Understand · rung Q1)</w:t>
      </w:r>
    </w:p>
    <w:p>
      <w:pPr>
        <w:spacing w:after="60" w:before="60" w:line="276"/>
      </w:pPr>
      <w:r>
        <w:rPr>
          <w:b/>
          <w:bCs/>
        </w:rPr>
        <w:t xml:space="preserve">Stem: </w:t>
      </w:r>
      <w:r>
        <w:t xml:space="preserve">Which pathway applies to Cpl 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VOT-U</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COT-U</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“COT-U is non-voluntary.”</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CMOT</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“CMOT follows an AR/MEL decision.”</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VOT-T</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“VOT-T is a selection program, not this volunteer transfer process.”</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v_SO2_L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Identify pathway from trigger.</w:t>
      </w:r>
    </w:p>
    <w:p>
      <w:pPr>
        <w:pStyle w:val="Heading3"/>
        <w:spacing w:after="80" w:before="200"/>
      </w:pPr>
      <w:r>
        <w:t xml:space="preserve">Screen MP-B2 — item B-Q2 (Apply · rung Q2)</w:t>
      </w:r>
    </w:p>
    <w:p>
      <w:pPr>
        <w:spacing w:after="60" w:before="60" w:line="276"/>
      </w:pPr>
      <w:r>
        <w:rPr>
          <w:b/>
          <w:bCs/>
        </w:rPr>
        <w:t xml:space="preserve">Stem: </w:t>
      </w:r>
      <w:r>
        <w:t xml:space="preserve">Cpl Dion’s supervisor expects the board will select him and proposes removing him from current training now. What is the correct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Keep Dion on his current course; VOT-U is competitive and selection is not guaranteed</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Remove him to prepare for the new occupation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Pause his course until the board reports</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Request early posting</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v_SO2_L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Apply the remain-on-course rule.</w:t>
      </w:r>
    </w:p>
    <w:p>
      <w:pPr>
        <w:pStyle w:val="Heading3"/>
        <w:spacing w:after="80" w:before="200"/>
      </w:pPr>
      <w:r>
        <w:t xml:space="preserve">Screen MP-B3 — item B-Q3 (Evaluate · rung Q3)</w:t>
      </w:r>
    </w:p>
    <w:p>
      <w:pPr>
        <w:spacing w:after="60" w:before="60" w:line="276"/>
      </w:pPr>
      <w:r>
        <w:rPr>
          <w:b/>
          <w:bCs/>
        </w:rPr>
        <w:t xml:space="preserve">Stem: </w:t>
      </w:r>
      <w:r>
        <w:t xml:space="preserve">A staff note describes Ellis and Fortin as “two identical compulsory transfers with the same pay protection.” Evaluate the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Wrong twice: Ellis is COT-U (retention requirement after a PRB) and Fortin is CMOT (AR/MEL decision) — different triggers and controlling processes — and CBI 204.03 defines compulsory differently for pay protection, so the definition must be checked</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Correct: both are compulsory, so identical</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[compulsory-is-one-thing]</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Wrong only about pay protection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“The triggers and processes also differ.”</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Wrong only about the pathways</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[compulsory-is-one-thing]</w:t>
            </w:r>
            <w:r>
              <w:rPr>
                <w:i/>
                <w:iCs/>
                <w:color w:val="5A6772"/>
                <w:sz w:val="19"/>
                <w:szCs w:val="19"/>
              </w:rPr>
              <w:t xml:space="preserve">  “Pay protection also follows the CBI 204.03 definition.”</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v_SO2_L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Distinguish pathways + pay-protection trap.</w:t>
      </w:r>
    </w:p>
    <w:p>
      <w:pPr>
        <w:spacing w:after="200" w:before="60" w:line="276"/>
      </w:pPr>
      <w:r>
        <w:rPr>
          <w:b/>
          <w:bCs/>
        </w:rPr>
        <w:t xml:space="preserve">End of block: </w:t>
      </w:r>
      <w:r>
        <w:rPr>
          <w:rFonts w:ascii="Consolas" w:cs="Consolas" w:eastAsia="Consolas" w:hAnsi="Consolas"/>
          <w:color w:val="20415F"/>
        </w:rPr>
        <w:t xml:space="preserve">compute v_SO2_L</w:t>
      </w:r>
      <w:r>
        <w:t xml:space="preserve"> by the consecutive-pass rule (§3). Do not display any result yet; continue to the next block (or to RT-1 after block D).</w:t>
      </w:r>
    </w:p>
    <w:p>
      <w:pPr>
        <w:pStyle w:val="Heading2"/>
        <w:spacing w:after="100" w:before="260"/>
      </w:pPr>
      <w:r>
        <w:t xml:space="preserve">Block C — SO3 CMOT Processing Steps</w:t>
      </w:r>
    </w:p>
    <w:p>
      <w:pPr>
        <w:spacing w:after="60" w:before="60" w:line="276"/>
      </w:pPr>
      <w:r>
        <w:rPr>
          <w:b/>
          <w:bCs/>
        </w:rPr>
        <w:t xml:space="preserve">Screen MP-C0 — scenario stage. </w:t>
      </w:r>
      <w:r>
        <w:t xml:space="preserve">The scenario text stays on screen (or in a persistent panel) throughout the block’s three questions:</w:t>
      </w:r>
    </w:p>
    <w:p>
      <w:pPr>
        <w:shd w:fill="F2F0EA" w:val="clear"/>
        <w:spacing w:after="60" w:before="60" w:line="276"/>
      </w:pPr>
      <w:r>
        <w:rPr>
          <w:i/>
          <w:iCs/>
        </w:rPr>
        <w:t xml:space="preserve">Sgt Fortin’s CMOT file. So far: DMCA 3 issued the AR/MEL advisory to the CO and PSO office; the Chain of Command referred Fortin to the PSO; the PSO completed the abbreviated interview and required processing.</w:t>
      </w:r>
    </w:p>
    <w:p>
      <w:pPr>
        <w:pStyle w:val="Heading3"/>
        <w:spacing w:after="80" w:before="200"/>
      </w:pPr>
      <w:r>
        <w:t xml:space="preserve">Screen MP-C1 — item C-Q1 (Remember · rung Q1)</w:t>
      </w:r>
    </w:p>
    <w:p>
      <w:pPr>
        <w:spacing w:after="60" w:before="60" w:line="276"/>
      </w:pPr>
      <w:r>
        <w:rPr>
          <w:b/>
          <w:bCs/>
        </w:rPr>
        <w:t xml:space="preserve">Stem: </w:t>
      </w:r>
      <w:r>
        <w:t xml:space="preserve">Who started this process, and with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DMCA 3, by issuing the AR/MEL advisory to the CO and PSO office</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The CoC, by referring Fortin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“That is step 2, after the trigger.”</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The PSO, by opening the interview</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“PSO acts on the referral.”</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DMCPG 5-3, by issuing an instruction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[authority-sequence]</w:t>
            </w:r>
            <w:r>
              <w:rPr>
                <w:i/>
                <w:iCs/>
                <w:color w:val="5A6772"/>
                <w:sz w:val="19"/>
                <w:szCs w:val="19"/>
              </w:rPr>
              <w:t xml:space="preserve">  “DMCPG 5-3 acts at the end of the process.”</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v_SO3_L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Recall trigger + responsible organization.</w:t>
      </w:r>
    </w:p>
    <w:p>
      <w:pPr>
        <w:pStyle w:val="Heading3"/>
        <w:spacing w:after="80" w:before="200"/>
      </w:pPr>
      <w:r>
        <w:t xml:space="preserve">Screen MP-C2 — item C-Q2 (Apply · rung Q2)</w:t>
      </w:r>
    </w:p>
    <w:p>
      <w:pPr>
        <w:spacing w:after="60" w:before="60" w:line="276"/>
      </w:pPr>
      <w:r>
        <w:rPr>
          <w:b/>
          <w:bCs/>
        </w:rPr>
        <w:t xml:space="preserve">Stem: </w:t>
      </w:r>
      <w:r>
        <w:t xml:space="preserve">What happens next with Fortin’s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DMCA 3 issues the decision letter</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[review-skipped]</w:t>
            </w:r>
            <w:r>
              <w:rPr>
                <w:i/>
                <w:iCs/>
                <w:color w:val="5A6772"/>
                <w:sz w:val="19"/>
                <w:szCs w:val="19"/>
              </w:rPr>
              <w:t xml:space="preserve">  “The decision letter cannot precede DMCA 3’s review of the completed file.”</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The PSO sends DND 2790 and required documents to DMCA 3</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DMCPG 5-3 issues the COT instruction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[authority-sequence]</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The CoC selects the effective date</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“The effective date is consulted between DMCA 3 and DMCPG 5-3.”</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v_SO3_L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Determine next action mid-process.</w:t>
      </w:r>
    </w:p>
    <w:p>
      <w:pPr>
        <w:pStyle w:val="Heading3"/>
        <w:spacing w:after="80" w:before="200"/>
      </w:pPr>
      <w:r>
        <w:t xml:space="preserve">Screen MP-C3 — item C-Q3 (Analyze · Sequence · rung Q3)</w:t>
      </w:r>
    </w:p>
    <w:p>
      <w:pPr>
        <w:spacing w:after="60" w:before="60" w:line="276"/>
      </w:pPr>
      <w:r>
        <w:rPr>
          <w:b/>
          <w:bCs/>
        </w:rPr>
        <w:t xml:space="preserve">Stem: </w:t>
      </w:r>
      <w:r>
        <w:t xml:space="preserve">DMCA 3 has now received the file. Place the remaining steps in order: [DMCA 3 issues decision letter] · [DMCPG 5-3 issues COT instruction] · [DMCA 3 reviews and consults DMCPG 5-3 on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Reviews/consults → decision letter → COT instruction</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Reviews/consults → COT instruction → decision letter</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[authority-sequence]</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Decision letter → reviews/consults → COT instruction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[review-skipped]</w:t>
            </w:r>
          </w:p>
        </w:tc>
      </w:tr>
    </w:tbl>
    <w:p>
      <w:pPr>
        <w:spacing w:after="160" w:before="60" w:line="276"/>
      </w:pPr>
      <w:r>
        <w:rPr>
          <w:b/>
          <w:bCs/>
        </w:rPr>
        <w:t xml:space="preserve">Behavior: </w:t>
      </w:r>
      <w:r>
        <w:t xml:space="preserve">sequence item — present the three orderings in the fixed order above (do not randomize). </w:t>
      </w:r>
      <w:r>
        <w:t xml:space="preserve">One attempt; no feedback of any kind; record pass/fail toward </w:t>
      </w:r>
      <w:r>
        <w:rPr>
          <w:rFonts w:ascii="Consolas" w:cs="Consolas" w:eastAsia="Consolas" w:hAnsi="Consolas"/>
          <w:color w:val="20415F"/>
        </w:rPr>
        <w:t xml:space="preserve">v_SO3_L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Sequence the closing stages.</w:t>
      </w:r>
    </w:p>
    <w:p>
      <w:pPr>
        <w:spacing w:after="200" w:before="60" w:line="276"/>
      </w:pPr>
      <w:r>
        <w:rPr>
          <w:b/>
          <w:bCs/>
        </w:rPr>
        <w:t xml:space="preserve">End of block: </w:t>
      </w:r>
      <w:r>
        <w:rPr>
          <w:rFonts w:ascii="Consolas" w:cs="Consolas" w:eastAsia="Consolas" w:hAnsi="Consolas"/>
          <w:color w:val="20415F"/>
        </w:rPr>
        <w:t xml:space="preserve">compute v_SO3_L</w:t>
      </w:r>
      <w:r>
        <w:t xml:space="preserve"> by the consecutive-pass rule (§3). Do not display any result yet; continue to the next block (or to RT-1 after block D).</w:t>
      </w:r>
    </w:p>
    <w:p>
      <w:pPr>
        <w:pStyle w:val="Heading2"/>
        <w:spacing w:after="100" w:before="260"/>
      </w:pPr>
      <w:r>
        <w:t xml:space="preserve">Block D — SO4 Protect the Process</w:t>
      </w:r>
    </w:p>
    <w:p>
      <w:pPr>
        <w:spacing w:after="60" w:before="60" w:line="276"/>
      </w:pPr>
      <w:r>
        <w:rPr>
          <w:b/>
          <w:bCs/>
        </w:rPr>
        <w:t xml:space="preserve">Screen MP-D0 — scenario stage. </w:t>
      </w:r>
      <w:r>
        <w:t xml:space="preserve">The scenario text stays on screen (or in a persistent panel) throughout the block’s three questions:</w:t>
      </w:r>
    </w:p>
    <w:p>
      <w:pPr>
        <w:shd w:fill="F2F0EA" w:val="clear"/>
        <w:spacing w:after="60" w:before="60" w:line="276"/>
      </w:pPr>
      <w:r>
        <w:rPr>
          <w:i/>
          <w:iCs/>
        </w:rPr>
        <w:t xml:space="preserve">Back to Cpl Dion (VOT-U pending). His supervisor has told the orderly room “it’s basically approved.” Days later an OT message arrives naming a gaining unit and a losing unit; your (losing) unit reads and actions its part.</w:t>
      </w:r>
    </w:p>
    <w:p>
      <w:pPr>
        <w:pStyle w:val="Heading3"/>
        <w:spacing w:after="80" w:before="200"/>
      </w:pPr>
      <w:r>
        <w:t xml:space="preserve">Screen MP-D1 — item D-Q1 (Understand · rung Q1)</w:t>
      </w:r>
    </w:p>
    <w:p>
      <w:pPr>
        <w:spacing w:after="60" w:before="60" w:line="276"/>
      </w:pPr>
      <w:r>
        <w:rPr>
          <w:b/>
          <w:bCs/>
        </w:rPr>
        <w:t xml:space="preserve">Stem: </w:t>
      </w:r>
      <w:r>
        <w:t xml:space="preserve">The supervisor proposes withdrawing Dion from his current course today. Which avoidable issue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Withdrawing a member before an authorized decision</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Failing to action a transfer message</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“No message exists yet at this point.”</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Applying routine handling to a special case</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“The issue here is timing, not case type.”</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It is not an issue</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[informal-is-enough]</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v_SO4_L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Recognize the issue in context.</w:t>
      </w:r>
    </w:p>
    <w:p>
      <w:pPr>
        <w:pStyle w:val="Heading3"/>
        <w:spacing w:after="80" w:before="200"/>
      </w:pPr>
      <w:r>
        <w:t xml:space="preserve">Screen MP-D2 — item D-Q2 (Apply · rung Q2)</w:t>
      </w:r>
    </w:p>
    <w:p>
      <w:pPr>
        <w:spacing w:after="60" w:before="60" w:line="276"/>
      </w:pPr>
      <w:r>
        <w:rPr>
          <w:b/>
          <w:bCs/>
        </w:rPr>
        <w:t xml:space="preserve">Stem: </w:t>
      </w:r>
      <w:r>
        <w:t xml:space="preserve">What is the best action for Dion’s course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Keep him on the current course while awaiting the authorized decision</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Withdraw and begin preparation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Request a BTL posting before the board meets</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Pause the course on the supervisor’s confirmation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[informal-is-enough]</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v_SO4_L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Apply the protect-the-process rule.</w:t>
      </w:r>
    </w:p>
    <w:p>
      <w:pPr>
        <w:pStyle w:val="Heading3"/>
        <w:spacing w:after="80" w:before="200"/>
      </w:pPr>
      <w:r>
        <w:t xml:space="preserve">Screen MP-D3 — item D-Q3 (Evaluate · rung Q3)</w:t>
      </w:r>
    </w:p>
    <w:p>
      <w:pPr>
        <w:spacing w:after="60" w:before="60" w:line="276"/>
      </w:pPr>
      <w:r>
        <w:rPr>
          <w:b/>
          <w:bCs/>
        </w:rPr>
        <w:t xml:space="preserve">Stem: </w:t>
      </w:r>
      <w:r>
        <w:t xml:space="preserve">Regarding the OT message: your unit has actioned its part; the gaining unit has not seen the message. Evaluate the state of the transfer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700"/>
        <w:gridCol w:w="3600"/>
      </w:tblGrid>
      <w:tr>
        <w:trPr>
          <w:tblHeader/>
        </w:trPr>
        <w:tc>
          <w:tcPr>
            <w:tcW w:type="dxa" w:w="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w:t>
            </w:r>
          </w:p>
        </w:tc>
        <w:tc>
          <w:tcPr>
            <w:tcW w:type="dxa" w:w="44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Option (on screen)</w:t>
            </w:r>
          </w:p>
        </w:tc>
        <w:tc>
          <w:tcPr>
            <w:tcW w:type="dxa" w:w="7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Score</w:t>
            </w:r>
          </w:p>
        </w:tc>
        <w:tc>
          <w:tcPr>
            <w:tcW w:type="dxa" w:w="36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Misconception tag / stored feedback (never shown in placement)</w:t>
            </w:r>
          </w:p>
        </w:tc>
      </w:tr>
      <w:tr>
        <w:tc>
          <w:tcPr>
            <w:tcW w:type="dxa" w:w="600"/>
            <w:tcMar>
              <w:top w:type="dxa" w:w="80"/>
              <w:left w:type="dxa" w:w="120"/>
              <w:bottom w:type="dxa" w:w="80"/>
              <w:right w:type="dxa" w:w="120"/>
            </w:tcMar>
            <w:vAlign w:val="top"/>
          </w:tcPr>
          <w:p>
            <w:pPr>
              <w:spacing w:after="20" w:before="20" w:line="260"/>
            </w:pPr>
            <w:r>
              <w:rPr>
                <w:b/>
                <w:bCs/>
              </w:rPr>
              <w:t xml:space="preserve">A</w:t>
            </w:r>
          </w:p>
        </w:tc>
        <w:tc>
          <w:tcPr>
            <w:tcW w:type="dxa" w:w="4460"/>
            <w:tcMar>
              <w:top w:type="dxa" w:w="80"/>
              <w:left w:type="dxa" w:w="120"/>
              <w:bottom w:type="dxa" w:w="80"/>
              <w:right w:type="dxa" w:w="120"/>
            </w:tcMar>
            <w:vAlign w:val="top"/>
          </w:tcPr>
          <w:p>
            <w:pPr>
              <w:spacing w:after="20" w:before="20" w:line="260"/>
            </w:pPr>
            <w:r>
              <w:t xml:space="preserve">Incomplete — both gaining and losing units must read and action the message; confirm the gaining unit does so</w:t>
            </w:r>
          </w:p>
        </w:tc>
        <w:tc>
          <w:tcPr>
            <w:tcW w:type="dxa" w:w="700"/>
            <w:tcMar>
              <w:top w:type="dxa" w:w="80"/>
              <w:left w:type="dxa" w:w="120"/>
              <w:bottom w:type="dxa" w:w="80"/>
              <w:right w:type="dxa" w:w="120"/>
            </w:tcMar>
            <w:vAlign w:val="top"/>
          </w:tcPr>
          <w:p>
            <w:pPr>
              <w:spacing w:after="20" w:before="20" w:line="260"/>
            </w:pPr>
            <w:r>
              <w:rPr>
                <w:b/>
                <w:bCs/>
                <w:color w:val="2F6B47"/>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 key answer</w:t>
            </w:r>
          </w:p>
        </w:tc>
      </w:tr>
      <w:tr>
        <w:tc>
          <w:tcPr>
            <w:tcW w:type="dxa" w:w="600"/>
            <w:tcMar>
              <w:top w:type="dxa" w:w="80"/>
              <w:left w:type="dxa" w:w="120"/>
              <w:bottom w:type="dxa" w:w="80"/>
              <w:right w:type="dxa" w:w="120"/>
            </w:tcMar>
            <w:vAlign w:val="top"/>
          </w:tcPr>
          <w:p>
            <w:pPr>
              <w:spacing w:after="20" w:before="20" w:line="260"/>
            </w:pPr>
            <w:r>
              <w:rPr>
                <w:b/>
                <w:bCs/>
              </w:rPr>
              <w:t xml:space="preserve">B</w:t>
            </w:r>
          </w:p>
        </w:tc>
        <w:tc>
          <w:tcPr>
            <w:tcW w:type="dxa" w:w="4460"/>
            <w:tcMar>
              <w:top w:type="dxa" w:w="80"/>
              <w:left w:type="dxa" w:w="120"/>
              <w:bottom w:type="dxa" w:w="80"/>
              <w:right w:type="dxa" w:w="120"/>
            </w:tcMar>
            <w:vAlign w:val="top"/>
          </w:tcPr>
          <w:p>
            <w:pPr>
              <w:spacing w:after="20" w:before="20" w:line="260"/>
            </w:pPr>
            <w:r>
              <w:t xml:space="preserve">Complete — the losing unit actioned its part</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[half-message]</w:t>
            </w:r>
          </w:p>
        </w:tc>
      </w:tr>
      <w:tr>
        <w:tc>
          <w:tcPr>
            <w:tcW w:type="dxa" w:w="600"/>
            <w:tcMar>
              <w:top w:type="dxa" w:w="80"/>
              <w:left w:type="dxa" w:w="120"/>
              <w:bottom w:type="dxa" w:w="80"/>
              <w:right w:type="dxa" w:w="120"/>
            </w:tcMar>
            <w:vAlign w:val="top"/>
          </w:tcPr>
          <w:p>
            <w:pPr>
              <w:spacing w:after="20" w:before="20" w:line="260"/>
            </w:pPr>
            <w:r>
              <w:rPr>
                <w:b/>
                <w:bCs/>
              </w:rPr>
              <w:t xml:space="preserve">C</w:t>
            </w:r>
          </w:p>
        </w:tc>
        <w:tc>
          <w:tcPr>
            <w:tcW w:type="dxa" w:w="4460"/>
            <w:tcMar>
              <w:top w:type="dxa" w:w="80"/>
              <w:left w:type="dxa" w:w="120"/>
              <w:bottom w:type="dxa" w:w="80"/>
              <w:right w:type="dxa" w:w="120"/>
            </w:tcMar>
            <w:vAlign w:val="top"/>
          </w:tcPr>
          <w:p>
            <w:pPr>
              <w:spacing w:after="20" w:before="20" w:line="260"/>
            </w:pPr>
            <w:r>
              <w:t xml:space="preserve">The member should relay it</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i/>
                <w:iCs/>
                <w:color w:val="5A6772"/>
                <w:sz w:val="19"/>
                <w:szCs w:val="19"/>
              </w:rPr>
              <w:t xml:space="preserve">“Message actions are unit responsibilities.”</w:t>
            </w:r>
          </w:p>
        </w:tc>
      </w:tr>
      <w:tr>
        <w:tc>
          <w:tcPr>
            <w:tcW w:type="dxa" w:w="600"/>
            <w:tcMar>
              <w:top w:type="dxa" w:w="80"/>
              <w:left w:type="dxa" w:w="120"/>
              <w:bottom w:type="dxa" w:w="80"/>
              <w:right w:type="dxa" w:w="120"/>
            </w:tcMar>
            <w:vAlign w:val="top"/>
          </w:tcPr>
          <w:p>
            <w:pPr>
              <w:spacing w:after="20" w:before="20" w:line="260"/>
            </w:pPr>
            <w:r>
              <w:rPr>
                <w:b/>
                <w:bCs/>
              </w:rPr>
              <w:t xml:space="preserve">D</w:t>
            </w:r>
          </w:p>
        </w:tc>
        <w:tc>
          <w:tcPr>
            <w:tcW w:type="dxa" w:w="4460"/>
            <w:tcMar>
              <w:top w:type="dxa" w:w="80"/>
              <w:left w:type="dxa" w:w="120"/>
              <w:bottom w:type="dxa" w:w="80"/>
              <w:right w:type="dxa" w:w="120"/>
            </w:tcMar>
            <w:vAlign w:val="top"/>
          </w:tcPr>
          <w:p>
            <w:pPr>
              <w:spacing w:after="20" w:before="20" w:line="260"/>
            </w:pPr>
            <w:r>
              <w:t xml:space="preserve">Wait for a further instruction</w:t>
            </w:r>
          </w:p>
        </w:tc>
        <w:tc>
          <w:tcPr>
            <w:tcW w:type="dxa" w:w="700"/>
            <w:tcMar>
              <w:top w:type="dxa" w:w="80"/>
              <w:left w:type="dxa" w:w="120"/>
              <w:bottom w:type="dxa" w:w="80"/>
              <w:right w:type="dxa" w:w="120"/>
            </w:tcMar>
            <w:vAlign w:val="top"/>
          </w:tcPr>
          <w:p>
            <w:pPr>
              <w:spacing w:after="20" w:before="20" w:line="260"/>
            </w:pPr>
            <w:r>
              <w:rPr>
                <w:color w:val="5A6772"/>
              </w:rPr>
              <w:t xml:space="preserve">✗</w:t>
            </w:r>
          </w:p>
        </w:tc>
        <w:tc>
          <w:tcPr>
            <w:tcW w:type="dxa" w:w="36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[half-message]</w:t>
            </w:r>
            <w:r>
              <w:rPr>
                <w:i/>
                <w:iCs/>
                <w:color w:val="5A6772"/>
                <w:sz w:val="19"/>
                <w:szCs w:val="19"/>
              </w:rPr>
              <w:t xml:space="preserve">  “The OT message already contains the required actions.”</w:t>
            </w:r>
          </w:p>
        </w:tc>
      </w:tr>
    </w:tbl>
    <w:p>
      <w:pPr>
        <w:spacing w:after="160" w:before="60" w:line="276"/>
      </w:pPr>
      <w:r>
        <w:rPr>
          <w:b/>
          <w:bCs/>
        </w:rPr>
        <w:t xml:space="preserve">Behavior: </w:t>
      </w:r>
      <w:r>
        <w:t xml:space="preserve">randomize option order. </w:t>
      </w:r>
      <w:r>
        <w:t xml:space="preserve">One attempt; no feedback of any kind; record pass/fail toward </w:t>
      </w:r>
      <w:r>
        <w:rPr>
          <w:rFonts w:ascii="Consolas" w:cs="Consolas" w:eastAsia="Consolas" w:hAnsi="Consolas"/>
          <w:color w:val="20415F"/>
        </w:rPr>
        <w:t xml:space="preserve">v_SO4_L</w:t>
      </w:r>
      <w:r>
        <w:t xml:space="preserve">; on selecting a tagged option set its </w:t>
      </w:r>
      <w:r>
        <w:rPr>
          <w:rFonts w:ascii="Consolas" w:cs="Consolas" w:eastAsia="Consolas" w:hAnsi="Consolas"/>
          <w:color w:val="20415F"/>
        </w:rPr>
        <w:t xml:space="preserve">v_tag_*</w:t>
      </w:r>
      <w:r>
        <w:t xml:space="preserve"> variable. </w:t>
      </w:r>
      <w:r>
        <w:rPr>
          <w:b/>
          <w:bCs/>
        </w:rPr>
        <w:t xml:space="preserve">Measures: </w:t>
      </w:r>
      <w:r>
        <w:t xml:space="preserve">Judge completeness of message actions.</w:t>
      </w:r>
    </w:p>
    <w:p>
      <w:pPr>
        <w:spacing w:after="200" w:before="60" w:line="276"/>
      </w:pPr>
      <w:r>
        <w:rPr>
          <w:b/>
          <w:bCs/>
        </w:rPr>
        <w:t xml:space="preserve">End of block: </w:t>
      </w:r>
      <w:r>
        <w:rPr>
          <w:rFonts w:ascii="Consolas" w:cs="Consolas" w:eastAsia="Consolas" w:hAnsi="Consolas"/>
          <w:color w:val="20415F"/>
        </w:rPr>
        <w:t xml:space="preserve">compute v_SO4_L</w:t>
      </w:r>
      <w:r>
        <w:t xml:space="preserve"> by the consecutive-pass rule (§3). Do not display any result yet; continue to the next block (or to RT-1 after block D).</w:t>
      </w:r>
    </w:p>
    <w:p>
      <w:r>
        <w:br w:type="page"/>
      </w:r>
    </w:p>
    <w:p>
      <w:pPr>
        <w:pStyle w:val="Heading1"/>
        <w:spacing w:after="120" w:before="320"/>
      </w:pPr>
      <w:r>
        <w:t xml:space="preserve">8. Screen RT-1 — mastery profile and routing</w:t>
      </w:r>
    </w:p>
    <w:p>
      <w:pPr>
        <w:spacing w:after="60" w:before="60" w:line="276"/>
      </w:pPr>
      <w:r>
        <w:t xml:space="preserve">Shown once, after block D. Displays the four-cell profile: for each SO its level (L0–L3) and route (SKIP / POLISH / PRACTICE / FULL) with a one-line description of the entry point, plus estimated time returned by skipped content (illustrative estimate: teach 6 + worked example 4 + completion 4 + full-problem 4 minutes per SO).</w:t>
      </w:r>
    </w:p>
    <w:p>
      <w:pPr>
        <w:spacing w:after="60" w:before="60" w:line="276"/>
      </w:pPr>
      <w:r>
        <w:rPr>
          <w:b/>
          <w:bCs/>
        </w:rPr>
        <w:t xml:space="preserve">Then apply conditional navigation per SO in course order (SO1 → SO4):</w:t>
      </w:r>
    </w:p>
    <w:p>
      <w:pPr>
        <w:pStyle w:val="ListParagraph"/>
        <w:numPr>
          <w:ilvl w:val="0"/>
          <w:numId w:val="2"/>
        </w:numPr>
        <w:spacing w:after="40" w:before="40" w:line="276"/>
      </w:pPr>
      <w:r>
        <w:rPr>
          <w:rFonts w:ascii="Consolas" w:cs="Consolas" w:eastAsia="Consolas" w:hAnsi="Consolas"/>
          <w:color w:val="20415F"/>
        </w:rPr>
        <w:t xml:space="preserve">v_SOn_L = 3</w:t>
      </w:r>
      <w:r>
        <w:t xml:space="preserve"> → skip the section entirely; credit it 100%.</w:t>
      </w:r>
    </w:p>
    <w:p>
      <w:pPr>
        <w:pStyle w:val="ListParagraph"/>
        <w:numPr>
          <w:ilvl w:val="0"/>
          <w:numId w:val="2"/>
        </w:numPr>
        <w:spacing w:after="40" w:before="40" w:line="276"/>
      </w:pPr>
      <w:r>
        <w:rPr>
          <w:rFonts w:ascii="Consolas" w:cs="Consolas" w:eastAsia="Consolas" w:hAnsi="Consolas"/>
          <w:color w:val="20415F"/>
        </w:rPr>
        <w:t xml:space="preserve">v_SOn_L = 2</w:t>
      </w:r>
      <w:r>
        <w:t xml:space="preserve"> → refutation card n.R if any of the SO’s tags fired → full-problem practice → Section Test.</w:t>
      </w:r>
    </w:p>
    <w:p>
      <w:pPr>
        <w:pStyle w:val="ListParagraph"/>
        <w:numPr>
          <w:ilvl w:val="0"/>
          <w:numId w:val="2"/>
        </w:numPr>
        <w:spacing w:after="40" w:before="40" w:line="276"/>
      </w:pPr>
      <w:r>
        <w:rPr>
          <w:rFonts w:ascii="Consolas" w:cs="Consolas" w:eastAsia="Consolas" w:hAnsi="Consolas"/>
          <w:color w:val="20415F"/>
        </w:rPr>
        <w:t xml:space="preserve">v_SOn_L = 1</w:t>
      </w:r>
      <w:r>
        <w:t xml:space="preserve"> → refutation card n.R if any of the SO’s tags fired → completion practice → full problem → Section Test.</w:t>
      </w:r>
    </w:p>
    <w:p>
      <w:pPr>
        <w:pStyle w:val="ListParagraph"/>
        <w:numPr>
          <w:ilvl w:val="0"/>
          <w:numId w:val="2"/>
        </w:numPr>
        <w:spacing w:after="40" w:before="40" w:line="276"/>
      </w:pPr>
      <w:r>
        <w:rPr>
          <w:rFonts w:ascii="Consolas" w:cs="Consolas" w:eastAsia="Consolas" w:hAnsi="Consolas"/>
          <w:color w:val="20415F"/>
        </w:rPr>
        <w:t xml:space="preserve">v_SOn_L = 0</w:t>
      </w:r>
      <w:r>
        <w:t xml:space="preserve"> → refutation card n.R if any of the SO’s tags fired → teach → worked example → completion → full problem → Section Test.</w:t>
      </w:r>
    </w:p>
    <w:p>
      <w:pPr>
        <w:pStyle w:val="Heading2"/>
        <w:spacing w:after="100" w:before="260"/>
      </w:pPr>
      <w:r>
        <w:t xml:space="preserve">Refutation cards 1.R–4.R</w:t>
      </w:r>
    </w:p>
    <w:p>
      <w:pPr>
        <w:spacing w:after="60" w:before="60" w:line="276"/>
      </w:pPr>
      <w:r>
        <w:t xml:space="preserve">One card per SO, shown at the head of the learner’s route when any of that SO’s tags fired during the block (skipped L3 sections show no card). Frame each card as “one of your answers followed a common misconception — here is the rule.” Draft card copy below is derived from the stored distractor-feedback lines; </w:t>
      </w:r>
      <w:r>
        <w:rPr>
          <w:b/>
          <w:bCs/>
        </w:rPr>
        <w:t xml:space="preserve">SME review required before build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Card</w:t>
            </w:r>
          </w:p>
        </w:tc>
        <w:tc>
          <w:tcPr>
            <w:tcW w:type="dxa" w:w="28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Fires on tags</w:t>
            </w:r>
          </w:p>
        </w:tc>
        <w:tc>
          <w:tcPr>
            <w:tcW w:type="dxa" w:w="576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Draft card copy (SME to confirm)</w:t>
            </w:r>
          </w:p>
        </w:tc>
      </w:tr>
      <w:tr>
        <w:tc>
          <w:tcPr>
            <w:tcW w:type="dxa" w:w="800"/>
            <w:tcMar>
              <w:top w:type="dxa" w:w="80"/>
              <w:left w:type="dxa" w:w="120"/>
              <w:bottom w:type="dxa" w:w="80"/>
              <w:right w:type="dxa" w:w="120"/>
            </w:tcMar>
            <w:vAlign w:val="top"/>
          </w:tcPr>
          <w:p>
            <w:pPr>
              <w:spacing w:after="20" w:before="20" w:line="260"/>
            </w:pPr>
            <w:r>
              <w:rPr>
                <w:b/>
                <w:bCs/>
                <w:color w:val="20415F"/>
              </w:rPr>
              <w:t xml:space="preserve">1.R</w:t>
            </w:r>
          </w:p>
        </w:tc>
        <w:tc>
          <w:tcPr>
            <w:tcW w:type="dxa" w:w="28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all-wait-on-BTL / DMCPG-manages</w:t>
            </w:r>
          </w:p>
        </w:tc>
        <w:tc>
          <w:tcPr>
            <w:tcW w:type="dxa" w:w="5760"/>
            <w:tcMar>
              <w:top w:type="dxa" w:w="80"/>
              <w:left w:type="dxa" w:w="120"/>
              <w:bottom w:type="dxa" w:w="80"/>
              <w:right w:type="dxa" w:w="120"/>
            </w:tcMar>
            <w:vAlign w:val="top"/>
          </w:tcPr>
          <w:p>
            <w:pPr>
              <w:spacing w:after="20" w:before="20" w:line="260"/>
            </w:pPr>
            <w:r>
              <w:t xml:space="preserve">Not every selected or transferring member waits on the BTL — UTPNCM members are institution-managed and qualified CFRP members may return to career-manager control. DMCPG 5-3 issues instructions; it does not manage members directly.</w:t>
            </w:r>
          </w:p>
        </w:tc>
      </w:tr>
      <w:tr>
        <w:tc>
          <w:tcPr>
            <w:tcW w:type="dxa" w:w="800"/>
            <w:tcMar>
              <w:top w:type="dxa" w:w="80"/>
              <w:left w:type="dxa" w:w="120"/>
              <w:bottom w:type="dxa" w:w="80"/>
              <w:right w:type="dxa" w:w="120"/>
            </w:tcMar>
            <w:vAlign w:val="top"/>
          </w:tcPr>
          <w:p>
            <w:pPr>
              <w:spacing w:after="20" w:before="20" w:line="260"/>
            </w:pPr>
            <w:r>
              <w:rPr>
                <w:b/>
                <w:bCs/>
                <w:color w:val="20415F"/>
              </w:rPr>
              <w:t xml:space="preserve">2.R</w:t>
            </w:r>
          </w:p>
        </w:tc>
        <w:tc>
          <w:tcPr>
            <w:tcW w:type="dxa" w:w="28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anticipating-outcome / compulsory-is-one-thing</w:t>
            </w:r>
          </w:p>
        </w:tc>
        <w:tc>
          <w:tcPr>
            <w:tcW w:type="dxa" w:w="5760"/>
            <w:tcMar>
              <w:top w:type="dxa" w:w="80"/>
              <w:left w:type="dxa" w:w="120"/>
              <w:bottom w:type="dxa" w:w="80"/>
              <w:right w:type="dxa" w:w="120"/>
            </w:tcMar>
            <w:vAlign w:val="top"/>
          </w:tcPr>
          <w:p>
            <w:pPr>
              <w:spacing w:after="20" w:before="20" w:line="260"/>
            </w:pPr>
            <w:r>
              <w:t xml:space="preserve">Never act on an expected decision — members remain on their current course until an authorized decision is issued. Compulsory transfers are not one thing: COT-U and CMOT have different triggers and controlling processes, and CBI 204.03 defines compulsory differently for pay protection.</w:t>
            </w:r>
          </w:p>
        </w:tc>
      </w:tr>
      <w:tr>
        <w:tc>
          <w:tcPr>
            <w:tcW w:type="dxa" w:w="800"/>
            <w:tcMar>
              <w:top w:type="dxa" w:w="80"/>
              <w:left w:type="dxa" w:w="120"/>
              <w:bottom w:type="dxa" w:w="80"/>
              <w:right w:type="dxa" w:w="120"/>
            </w:tcMar>
            <w:vAlign w:val="top"/>
          </w:tcPr>
          <w:p>
            <w:pPr>
              <w:spacing w:after="20" w:before="20" w:line="260"/>
            </w:pPr>
            <w:r>
              <w:rPr>
                <w:b/>
                <w:bCs/>
                <w:color w:val="20415F"/>
              </w:rPr>
              <w:t xml:space="preserve">3.R</w:t>
            </w:r>
          </w:p>
        </w:tc>
        <w:tc>
          <w:tcPr>
            <w:tcW w:type="dxa" w:w="28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authority-sequence / review-skipped</w:t>
            </w:r>
          </w:p>
        </w:tc>
        <w:tc>
          <w:tcPr>
            <w:tcW w:type="dxa" w:w="5760"/>
            <w:tcMar>
              <w:top w:type="dxa" w:w="80"/>
              <w:left w:type="dxa" w:w="120"/>
              <w:bottom w:type="dxa" w:w="80"/>
              <w:right w:type="dxa" w:w="120"/>
            </w:tcMar>
            <w:vAlign w:val="top"/>
          </w:tcPr>
          <w:p>
            <w:pPr>
              <w:spacing w:after="20" w:before="20" w:line="260"/>
            </w:pPr>
            <w:r>
              <w:t xml:space="preserve">DMCA 3 decides; DMCPG 5-3 instructs last. The decision letter cannot precede DMCA 3’s review of the completed file and the effective-date consultation, and the COT instruction never precedes the decision letter.</w:t>
            </w:r>
          </w:p>
        </w:tc>
      </w:tr>
      <w:tr>
        <w:tc>
          <w:tcPr>
            <w:tcW w:type="dxa" w:w="800"/>
            <w:tcMar>
              <w:top w:type="dxa" w:w="80"/>
              <w:left w:type="dxa" w:w="120"/>
              <w:bottom w:type="dxa" w:w="80"/>
              <w:right w:type="dxa" w:w="120"/>
            </w:tcMar>
            <w:vAlign w:val="top"/>
          </w:tcPr>
          <w:p>
            <w:pPr>
              <w:spacing w:after="20" w:before="20" w:line="260"/>
            </w:pPr>
            <w:r>
              <w:rPr>
                <w:b/>
                <w:bCs/>
                <w:color w:val="20415F"/>
              </w:rPr>
              <w:t xml:space="preserve">4.R</w:t>
            </w:r>
          </w:p>
        </w:tc>
        <w:tc>
          <w:tcPr>
            <w:tcW w:type="dxa" w:w="2800"/>
            <w:tcMar>
              <w:top w:type="dxa" w:w="80"/>
              <w:left w:type="dxa" w:w="120"/>
              <w:bottom w:type="dxa" w:w="80"/>
              <w:right w:type="dxa" w:w="120"/>
            </w:tcMar>
            <w:vAlign w:val="top"/>
          </w:tcPr>
          <w:p>
            <w:pPr>
              <w:spacing w:after="20" w:before="20" w:line="260"/>
            </w:pPr>
            <w:r>
              <w:rPr>
                <w:rFonts w:ascii="Consolas" w:cs="Consolas" w:eastAsia="Consolas" w:hAnsi="Consolas"/>
                <w:color w:val="9C3A2B"/>
                <w:sz w:val="19"/>
                <w:szCs w:val="19"/>
              </w:rPr>
              <w:t xml:space="preserve">informal-is-enough / half-message</w:t>
            </w:r>
          </w:p>
        </w:tc>
        <w:tc>
          <w:tcPr>
            <w:tcW w:type="dxa" w:w="5760"/>
            <w:tcMar>
              <w:top w:type="dxa" w:w="80"/>
              <w:left w:type="dxa" w:w="120"/>
              <w:bottom w:type="dxa" w:w="80"/>
              <w:right w:type="dxa" w:w="120"/>
            </w:tcMar>
            <w:vAlign w:val="top"/>
          </w:tcPr>
          <w:p>
            <w:pPr>
              <w:spacing w:after="20" w:before="20" w:line="260"/>
            </w:pPr>
            <w:r>
              <w:t xml:space="preserve">A supervisor’s word is not an authorized decision — only issued direction changes a member’s employment or training. An OT/CT message is complete only when both gaining and losing units have read and actioned it.</w:t>
            </w:r>
          </w:p>
        </w:tc>
      </w:tr>
    </w:tbl>
    <w:p>
      <w:pPr>
        <w:pStyle w:val="Heading1"/>
        <w:spacing w:after="120" w:before="320"/>
      </w:pPr>
      <w:r>
        <w:t xml:space="preserve">9. Adaptive entry points into v4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SO</w:t>
            </w:r>
          </w:p>
        </w:tc>
        <w:tc>
          <w:tcPr>
            <w:tcW w:type="dxa" w:w="252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Teach</w:t>
            </w:r>
          </w:p>
        </w:tc>
        <w:tc>
          <w:tcPr>
            <w:tcW w:type="dxa" w:w="252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Completion practice</w:t>
            </w:r>
          </w:p>
        </w:tc>
        <w:tc>
          <w:tcPr>
            <w:tcW w:type="dxa" w:w="252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Full-problem practice</w:t>
            </w:r>
          </w:p>
        </w:tc>
      </w:tr>
      <w:tr>
        <w:tc>
          <w:tcPr>
            <w:tcW w:type="dxa" w:w="1800"/>
            <w:tcMar>
              <w:top w:type="dxa" w:w="80"/>
              <w:left w:type="dxa" w:w="120"/>
              <w:bottom w:type="dxa" w:w="80"/>
              <w:right w:type="dxa" w:w="120"/>
            </w:tcMar>
            <w:vAlign w:val="top"/>
          </w:tcPr>
          <w:p>
            <w:pPr>
              <w:spacing w:after="20" w:before="20" w:line="260"/>
            </w:pPr>
            <w:r>
              <w:rPr>
                <w:b/>
                <w:bCs/>
              </w:rPr>
              <w:t xml:space="preserve">SO1 Annual In-Service Programs</w:t>
            </w:r>
          </w:p>
        </w:tc>
        <w:tc>
          <w:tcPr>
            <w:tcW w:type="dxa" w:w="2520"/>
            <w:tcMar>
              <w:top w:type="dxa" w:w="80"/>
              <w:left w:type="dxa" w:w="120"/>
              <w:bottom w:type="dxa" w:w="80"/>
              <w:right w:type="dxa" w:w="120"/>
            </w:tcMar>
            <w:vAlign w:val="top"/>
          </w:tcPr>
          <w:p>
            <w:pPr>
              <w:spacing w:after="20" w:before="20" w:line="260"/>
            </w:pPr>
            <w:r>
              <w:t xml:space="preserve">1.1</w:t>
            </w:r>
          </w:p>
        </w:tc>
        <w:tc>
          <w:tcPr>
            <w:tcW w:type="dxa" w:w="2520"/>
            <w:tcMar>
              <w:top w:type="dxa" w:w="80"/>
              <w:left w:type="dxa" w:w="120"/>
              <w:bottom w:type="dxa" w:w="80"/>
              <w:right w:type="dxa" w:w="120"/>
            </w:tcMar>
            <w:vAlign w:val="top"/>
          </w:tcPr>
          <w:p>
            <w:pPr>
              <w:spacing w:after="20" w:before="20" w:line="260"/>
            </w:pPr>
            <w:r>
              <w:t xml:space="preserve">1.4</w:t>
            </w:r>
          </w:p>
        </w:tc>
        <w:tc>
          <w:tcPr>
            <w:tcW w:type="dxa" w:w="2520"/>
            <w:tcMar>
              <w:top w:type="dxa" w:w="80"/>
              <w:left w:type="dxa" w:w="120"/>
              <w:bottom w:type="dxa" w:w="80"/>
              <w:right w:type="dxa" w:w="120"/>
            </w:tcMar>
            <w:vAlign w:val="top"/>
          </w:tcPr>
          <w:p>
            <w:pPr>
              <w:spacing w:after="20" w:before="20" w:line="260"/>
            </w:pPr>
            <w:r>
              <w:t xml:space="preserve">1.5</w:t>
            </w:r>
          </w:p>
        </w:tc>
      </w:tr>
      <w:tr>
        <w:tc>
          <w:tcPr>
            <w:tcW w:type="dxa" w:w="1800"/>
            <w:tcMar>
              <w:top w:type="dxa" w:w="80"/>
              <w:left w:type="dxa" w:w="120"/>
              <w:bottom w:type="dxa" w:w="80"/>
              <w:right w:type="dxa" w:w="120"/>
            </w:tcMar>
            <w:vAlign w:val="top"/>
          </w:tcPr>
          <w:p>
            <w:pPr>
              <w:spacing w:after="20" w:before="20" w:line="260"/>
            </w:pPr>
            <w:r>
              <w:rPr>
                <w:b/>
                <w:bCs/>
              </w:rPr>
              <w:t xml:space="preserve">SO2 VOT-U, COT-U and CMOT</w:t>
            </w:r>
          </w:p>
        </w:tc>
        <w:tc>
          <w:tcPr>
            <w:tcW w:type="dxa" w:w="2520"/>
            <w:tcMar>
              <w:top w:type="dxa" w:w="80"/>
              <w:left w:type="dxa" w:w="120"/>
              <w:bottom w:type="dxa" w:w="80"/>
              <w:right w:type="dxa" w:w="120"/>
            </w:tcMar>
            <w:vAlign w:val="top"/>
          </w:tcPr>
          <w:p>
            <w:pPr>
              <w:spacing w:after="20" w:before="20" w:line="260"/>
            </w:pPr>
            <w:r>
              <w:t xml:space="preserve">2.1</w:t>
            </w:r>
          </w:p>
        </w:tc>
        <w:tc>
          <w:tcPr>
            <w:tcW w:type="dxa" w:w="2520"/>
            <w:tcMar>
              <w:top w:type="dxa" w:w="80"/>
              <w:left w:type="dxa" w:w="120"/>
              <w:bottom w:type="dxa" w:w="80"/>
              <w:right w:type="dxa" w:w="120"/>
            </w:tcMar>
            <w:vAlign w:val="top"/>
          </w:tcPr>
          <w:p>
            <w:pPr>
              <w:spacing w:after="20" w:before="20" w:line="260"/>
            </w:pPr>
            <w:r>
              <w:t xml:space="preserve">2.4</w:t>
            </w:r>
          </w:p>
        </w:tc>
        <w:tc>
          <w:tcPr>
            <w:tcW w:type="dxa" w:w="2520"/>
            <w:tcMar>
              <w:top w:type="dxa" w:w="80"/>
              <w:left w:type="dxa" w:w="120"/>
              <w:bottom w:type="dxa" w:w="80"/>
              <w:right w:type="dxa" w:w="120"/>
            </w:tcMar>
            <w:vAlign w:val="top"/>
          </w:tcPr>
          <w:p>
            <w:pPr>
              <w:spacing w:after="20" w:before="20" w:line="260"/>
            </w:pPr>
            <w:r>
              <w:t xml:space="preserve">2.5</w:t>
            </w:r>
          </w:p>
        </w:tc>
      </w:tr>
      <w:tr>
        <w:tc>
          <w:tcPr>
            <w:tcW w:type="dxa" w:w="1800"/>
            <w:tcMar>
              <w:top w:type="dxa" w:w="80"/>
              <w:left w:type="dxa" w:w="120"/>
              <w:bottom w:type="dxa" w:w="80"/>
              <w:right w:type="dxa" w:w="120"/>
            </w:tcMar>
            <w:vAlign w:val="top"/>
          </w:tcPr>
          <w:p>
            <w:pPr>
              <w:spacing w:after="20" w:before="20" w:line="260"/>
            </w:pPr>
            <w:r>
              <w:rPr>
                <w:b/>
                <w:bCs/>
              </w:rPr>
              <w:t xml:space="preserve">SO3 CMOT Processing Steps</w:t>
            </w:r>
          </w:p>
        </w:tc>
        <w:tc>
          <w:tcPr>
            <w:tcW w:type="dxa" w:w="2520"/>
            <w:tcMar>
              <w:top w:type="dxa" w:w="80"/>
              <w:left w:type="dxa" w:w="120"/>
              <w:bottom w:type="dxa" w:w="80"/>
              <w:right w:type="dxa" w:w="120"/>
            </w:tcMar>
            <w:vAlign w:val="top"/>
          </w:tcPr>
          <w:p>
            <w:pPr>
              <w:spacing w:after="20" w:before="20" w:line="260"/>
            </w:pPr>
            <w:r>
              <w:t xml:space="preserve">3.1</w:t>
            </w:r>
          </w:p>
        </w:tc>
        <w:tc>
          <w:tcPr>
            <w:tcW w:type="dxa" w:w="2520"/>
            <w:tcMar>
              <w:top w:type="dxa" w:w="80"/>
              <w:left w:type="dxa" w:w="120"/>
              <w:bottom w:type="dxa" w:w="80"/>
              <w:right w:type="dxa" w:w="120"/>
            </w:tcMar>
            <w:vAlign w:val="top"/>
          </w:tcPr>
          <w:p>
            <w:pPr>
              <w:spacing w:after="20" w:before="20" w:line="260"/>
            </w:pPr>
            <w:r>
              <w:t xml:space="preserve">3.3</w:t>
            </w:r>
          </w:p>
        </w:tc>
        <w:tc>
          <w:tcPr>
            <w:tcW w:type="dxa" w:w="2520"/>
            <w:tcMar>
              <w:top w:type="dxa" w:w="80"/>
              <w:left w:type="dxa" w:w="120"/>
              <w:bottom w:type="dxa" w:w="80"/>
              <w:right w:type="dxa" w:w="120"/>
            </w:tcMar>
            <w:vAlign w:val="top"/>
          </w:tcPr>
          <w:p>
            <w:pPr>
              <w:spacing w:after="20" w:before="20" w:line="260"/>
            </w:pPr>
            <w:r>
              <w:t xml:space="preserve">3.4</w:t>
            </w:r>
          </w:p>
        </w:tc>
      </w:tr>
      <w:tr>
        <w:tc>
          <w:tcPr>
            <w:tcW w:type="dxa" w:w="1800"/>
            <w:tcMar>
              <w:top w:type="dxa" w:w="80"/>
              <w:left w:type="dxa" w:w="120"/>
              <w:bottom w:type="dxa" w:w="80"/>
              <w:right w:type="dxa" w:w="120"/>
            </w:tcMar>
            <w:vAlign w:val="top"/>
          </w:tcPr>
          <w:p>
            <w:pPr>
              <w:spacing w:after="20" w:before="20" w:line="260"/>
            </w:pPr>
            <w:r>
              <w:rPr>
                <w:b/>
                <w:bCs/>
              </w:rPr>
              <w:t xml:space="preserve">SO4 Protect the Process</w:t>
            </w:r>
          </w:p>
        </w:tc>
        <w:tc>
          <w:tcPr>
            <w:tcW w:type="dxa" w:w="2520"/>
            <w:tcMar>
              <w:top w:type="dxa" w:w="80"/>
              <w:left w:type="dxa" w:w="120"/>
              <w:bottom w:type="dxa" w:w="80"/>
              <w:right w:type="dxa" w:w="120"/>
            </w:tcMar>
            <w:vAlign w:val="top"/>
          </w:tcPr>
          <w:p>
            <w:pPr>
              <w:spacing w:after="20" w:before="20" w:line="260"/>
            </w:pPr>
            <w:r>
              <w:t xml:space="preserve">4.1</w:t>
            </w:r>
          </w:p>
        </w:tc>
        <w:tc>
          <w:tcPr>
            <w:tcW w:type="dxa" w:w="2520"/>
            <w:tcMar>
              <w:top w:type="dxa" w:w="80"/>
              <w:left w:type="dxa" w:w="120"/>
              <w:bottom w:type="dxa" w:w="80"/>
              <w:right w:type="dxa" w:w="120"/>
            </w:tcMar>
            <w:vAlign w:val="top"/>
          </w:tcPr>
          <w:p>
            <w:pPr>
              <w:spacing w:after="20" w:before="20" w:line="260"/>
            </w:pPr>
            <w:r>
              <w:t xml:space="preserve">4.3</w:t>
            </w:r>
          </w:p>
        </w:tc>
        <w:tc>
          <w:tcPr>
            <w:tcW w:type="dxa" w:w="2520"/>
            <w:tcMar>
              <w:top w:type="dxa" w:w="80"/>
              <w:left w:type="dxa" w:w="120"/>
              <w:bottom w:type="dxa" w:w="80"/>
              <w:right w:type="dxa" w:w="120"/>
            </w:tcMar>
            <w:vAlign w:val="top"/>
          </w:tcPr>
          <w:p>
            <w:pPr>
              <w:spacing w:after="20" w:before="20" w:line="260"/>
            </w:pPr>
            <w:r>
              <w:t xml:space="preserve">4.4</w:t>
            </w:r>
          </w:p>
        </w:tc>
      </w:tr>
    </w:tbl>
    <w:p>
      <w:pPr>
        <w:spacing w:after="60" w:before="60" w:line="276"/>
      </w:pPr>
      <w:r>
        <w:t xml:space="preserve">All listed slides are existing v4 content, unchanged. Worked-example pages sit between teach and completion practice in each section, per the v4 storyboard.</w:t>
      </w:r>
    </w:p>
    <w:p>
      <w:pPr>
        <w:pStyle w:val="Heading1"/>
        <w:spacing w:after="120" w:before="320"/>
      </w:pPr>
      <w:r>
        <w:t xml:space="preserve">10. Section tests — exit ladder (post-test parallel form)</w:t>
      </w:r>
    </w:p>
    <w:p>
      <w:pPr>
        <w:spacing w:after="60" w:before="60" w:line="276"/>
      </w:pPr>
      <w:r>
        <w:t xml:space="preserve">Each section test becomes a three-question ladder: existing v4 items </w:t>
      </w:r>
      <w:r>
        <w:rPr>
          <w:rFonts w:ascii="Consolas" w:cs="Consolas" w:eastAsia="Consolas" w:hAnsi="Consolas"/>
        </w:rPr>
        <w:t xml:space="preserve">SOn-T1b</w:t>
      </w:r>
      <w:r>
        <w:t xml:space="preserve"> (Q1 rung) and </w:t>
      </w:r>
      <w:r>
        <w:rPr>
          <w:rFonts w:ascii="Consolas" w:cs="Consolas" w:eastAsia="Consolas" w:hAnsi="Consolas"/>
        </w:rPr>
        <w:t xml:space="preserve">SOn-T2b</w:t>
      </w:r>
      <w:r>
        <w:t xml:space="preserve"> (Q2 rung), plus one new Q3-rung item below. Compute </w:t>
      </w:r>
      <w:r>
        <w:rPr>
          <w:rFonts w:ascii="Consolas" w:cs="Consolas" w:eastAsia="Consolas" w:hAnsi="Consolas"/>
          <w:color w:val="20415F"/>
        </w:rPr>
        <w:t xml:space="preserve">v_SOn_exit</w:t>
      </w:r>
      <w:r>
        <w:t xml:space="preserve"> with the same consecutive-pass rule. </w:t>
      </w:r>
      <w:r>
        <w:rPr>
          <w:b/>
          <w:bCs/>
        </w:rPr>
        <w:t xml:space="preserve">Pass standard for section completion: exit level ≥ L2, with L3 recommended for SO3 and SO4</w:t>
      </w:r>
      <w:r>
        <w:t xml:space="preserve"> (procedural and judgement objectives). Below the gate, the v4 remediation loop applies,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ID</w:t>
            </w:r>
          </w:p>
        </w:tc>
        <w:tc>
          <w:tcPr>
            <w:tcW w:type="dxa" w:w="408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New Q3-rung item</w:t>
            </w:r>
          </w:p>
        </w:tc>
        <w:tc>
          <w:tcPr>
            <w:tcW w:type="dxa" w:w="408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Key and distractor design</w:t>
            </w:r>
          </w:p>
        </w:tc>
      </w:tr>
      <w:tr>
        <w:tc>
          <w:tcPr>
            <w:tcW w:type="dxa" w:w="12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SO1-Q3b</w:t>
            </w:r>
          </w:p>
        </w:tc>
        <w:tc>
          <w:tcPr>
            <w:tcW w:type="dxa" w:w="4080"/>
            <w:tcMar>
              <w:top w:type="dxa" w:w="80"/>
              <w:left w:type="dxa" w:w="120"/>
              <w:bottom w:type="dxa" w:w="80"/>
              <w:right w:type="dxa" w:w="120"/>
            </w:tcMar>
            <w:vAlign w:val="top"/>
          </w:tcPr>
          <w:p>
            <w:pPr>
              <w:spacing w:after="20" w:before="20" w:line="260"/>
            </w:pPr>
            <w:r>
              <w:t xml:space="preserve">It is late August. A UTPNCM member needs two weeks of military coursing before the academic year resumes, and a newly qualified CFRP member is still shown on the BTL. Which handling is correct for each?</w:t>
            </w:r>
          </w:p>
        </w:tc>
        <w:tc>
          <w:tcPr>
            <w:tcW w:type="dxa" w:w="4080"/>
            <w:tcMar>
              <w:top w:type="dxa" w:w="80"/>
              <w:left w:type="dxa" w:w="120"/>
              <w:bottom w:type="dxa" w:w="80"/>
              <w:right w:type="dxa" w:w="120"/>
            </w:tcMar>
            <w:vAlign w:val="top"/>
          </w:tcPr>
          <w:p>
            <w:pPr>
              <w:spacing w:after="20" w:before="20" w:line="260"/>
            </w:pPr>
            <w:r>
              <w:t xml:space="preserve">BTL Manager arranges the UTPNCM coursing between academic years; the qualified CFRP member may return to career-manager control. Distractors swap the arrangements or leave both on BTL [all-wait-on-BTL].</w:t>
            </w:r>
          </w:p>
        </w:tc>
      </w:tr>
      <w:tr>
        <w:tc>
          <w:tcPr>
            <w:tcW w:type="dxa" w:w="12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SO2-Q3b</w:t>
            </w:r>
          </w:p>
        </w:tc>
        <w:tc>
          <w:tcPr>
            <w:tcW w:type="dxa" w:w="4080"/>
            <w:tcMar>
              <w:top w:type="dxa" w:w="80"/>
              <w:left w:type="dxa" w:w="120"/>
              <w:bottom w:type="dxa" w:w="80"/>
              <w:right w:type="dxa" w:w="120"/>
            </w:tcMar>
            <w:vAlign w:val="top"/>
          </w:tcPr>
          <w:p>
            <w:pPr>
              <w:spacing w:after="20" w:before="20" w:line="260"/>
            </w:pPr>
            <w:r>
              <w:t xml:space="preserve">A briefing slide states: “Any compulsory transfer means pay protection under the general transfer meaning.” Evaluate.</w:t>
            </w:r>
          </w:p>
        </w:tc>
        <w:tc>
          <w:tcPr>
            <w:tcW w:type="dxa" w:w="4080"/>
            <w:tcMar>
              <w:top w:type="dxa" w:w="80"/>
              <w:left w:type="dxa" w:w="120"/>
              <w:bottom w:type="dxa" w:w="80"/>
              <w:right w:type="dxa" w:w="120"/>
            </w:tcMar>
            <w:vAlign w:val="top"/>
          </w:tcPr>
          <w:p>
            <w:pPr>
              <w:spacing w:after="20" w:before="20" w:line="260"/>
            </w:pPr>
            <w:r>
              <w:t xml:space="preserve">Wrong — CBI 204.03 defines compulsory differently for pay protection; check the applicable CBI definition before applying it. Distractors accept the slide [compulsory-is-one-thing] or limit the error to one pathway.</w:t>
            </w:r>
          </w:p>
        </w:tc>
      </w:tr>
      <w:tr>
        <w:tc>
          <w:tcPr>
            <w:tcW w:type="dxa" w:w="12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SO3-Q3b</w:t>
            </w:r>
          </w:p>
        </w:tc>
        <w:tc>
          <w:tcPr>
            <w:tcW w:type="dxa" w:w="4080"/>
            <w:tcMar>
              <w:top w:type="dxa" w:w="80"/>
              <w:left w:type="dxa" w:w="120"/>
              <w:bottom w:type="dxa" w:w="80"/>
              <w:right w:type="dxa" w:w="120"/>
            </w:tcMar>
            <w:vAlign w:val="top"/>
          </w:tcPr>
          <w:p>
            <w:pPr>
              <w:spacing w:after="20" w:before="20" w:line="260"/>
            </w:pPr>
            <w:r>
              <w:t xml:space="preserve">Sequence all seven CMOT steps for a new file, naming the responsible organization at each.</w:t>
            </w:r>
          </w:p>
        </w:tc>
        <w:tc>
          <w:tcPr>
            <w:tcW w:type="dxa" w:w="4080"/>
            <w:tcMar>
              <w:top w:type="dxa" w:w="80"/>
              <w:left w:type="dxa" w:w="120"/>
              <w:bottom w:type="dxa" w:w="80"/>
              <w:right w:type="dxa" w:w="120"/>
            </w:tcMar>
            <w:vAlign w:val="top"/>
          </w:tcPr>
          <w:p>
            <w:pPr>
              <w:spacing w:after="20" w:before="20" w:line="260"/>
            </w:pPr>
            <w:r>
              <w:t xml:space="preserve">advisory (DMCA 3) → CoC referral → PSO interview/processing → PSO sends DND 2790 to DMCA 3 → DMCA 3 reviews/consults DMCPG 5-3 → DMCA 3 decision letter → DMCPG 5-3 COT instruction. Tile-level feedback names the misplaced organization [authority-sequence / review-skipped].</w:t>
            </w:r>
          </w:p>
        </w:tc>
      </w:tr>
      <w:tr>
        <w:tc>
          <w:tcPr>
            <w:tcW w:type="dxa" w:w="12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SO4-Q3b</w:t>
            </w:r>
          </w:p>
        </w:tc>
        <w:tc>
          <w:tcPr>
            <w:tcW w:type="dxa" w:w="4080"/>
            <w:tcMar>
              <w:top w:type="dxa" w:w="80"/>
              <w:left w:type="dxa" w:w="120"/>
              <w:bottom w:type="dxa" w:w="80"/>
              <w:right w:type="dxa" w:w="120"/>
            </w:tcMar>
            <w:vAlign w:val="top"/>
          </w:tcPr>
          <w:p>
            <w:pPr>
              <w:spacing w:after="20" w:before="20" w:line="260"/>
            </w:pPr>
            <w:r>
              <w:t xml:space="preserve">A CT message was actioned at the losing unit only, and the member asks to pause the course based on the expected transfer. Judge the situation and pick the complete correct handling.</w:t>
            </w:r>
          </w:p>
        </w:tc>
        <w:tc>
          <w:tcPr>
            <w:tcW w:type="dxa" w:w="4080"/>
            <w:tcMar>
              <w:top w:type="dxa" w:w="80"/>
              <w:left w:type="dxa" w:w="120"/>
              <w:bottom w:type="dxa" w:w="80"/>
              <w:right w:type="dxa" w:w="120"/>
            </w:tcMar>
            <w:vAlign w:val="top"/>
          </w:tcPr>
          <w:p>
            <w:pPr>
              <w:spacing w:after="20" w:before="20" w:line="260"/>
            </w:pPr>
            <w:r>
              <w:t xml:space="preserve">Keep the member on course until direction is issued AND ensure the gaining unit reads and actions the CT message — both required. Distractors satisfy only one requirement [half-message / informal-is-enough].</w:t>
            </w:r>
          </w:p>
        </w:tc>
      </w:tr>
    </w:tbl>
    <w:p>
      <w:pPr>
        <w:spacing w:after="60" w:before="60" w:line="276"/>
      </w:pPr>
      <w:r>
        <w:t xml:space="preserve">Pre/post growth is reported as level change per SO (e.g., SO2: L1 → L3) on the same 0–3 scale as placement.</w:t>
      </w:r>
    </w:p>
    <w:p>
      <w:pPr>
        <w:pStyle w:val="Heading1"/>
        <w:spacing w:after="120" w:before="320"/>
      </w:pPr>
      <w:r>
        <w:t xml:space="preserve">11. Screen RPT-1 — learner report</w:t>
      </w:r>
    </w:p>
    <w:p>
      <w:pPr>
        <w:pStyle w:val="ListParagraph"/>
        <w:numPr>
          <w:ilvl w:val="0"/>
          <w:numId w:val="2"/>
        </w:numPr>
        <w:spacing w:after="40" w:before="40" w:line="276"/>
      </w:pPr>
      <w:r>
        <w:rPr>
          <w:b/>
          <w:bCs/>
        </w:rPr>
        <w:t xml:space="preserve">Per learner: </w:t>
      </w:r>
      <w:r>
        <w:t xml:space="preserve">a 4-cell profile of placement level and exit level per SO (e.g., SO1 L3→skip; SO2 L1→L3; SO3 L0→L2; SO4 L2→L3), plus time saved by skipped content.</w:t>
      </w:r>
    </w:p>
    <w:p>
      <w:pPr>
        <w:pStyle w:val="ListParagraph"/>
        <w:numPr>
          <w:ilvl w:val="0"/>
          <w:numId w:val="2"/>
        </w:numPr>
        <w:spacing w:after="40" w:before="40" w:line="276"/>
      </w:pPr>
      <w:r>
        <w:rPr>
          <w:b/>
          <w:bCs/>
        </w:rPr>
        <w:t xml:space="preserve">Course score for SCORM: </w:t>
      </w:r>
      <w:r>
        <w:t xml:space="preserve">mean of section-test ladders (L/3 per SO); skipped SOs credited L3 (100%).</w:t>
      </w:r>
    </w:p>
    <w:p>
      <w:pPr>
        <w:pStyle w:val="ListParagraph"/>
        <w:numPr>
          <w:ilvl w:val="0"/>
          <w:numId w:val="2"/>
        </w:numPr>
        <w:spacing w:after="40" w:before="40" w:line="276"/>
      </w:pPr>
      <w:r>
        <w:rPr>
          <w:b/>
          <w:bCs/>
        </w:rPr>
        <w:t xml:space="preserve">Cohort view (xAPI): </w:t>
      </w:r>
      <w:r>
        <w:t xml:space="preserve">distribution of placement levels per SO (topics the audience already owns are candidates for pruning) and misconception-tag frequency (candidates for stronger refutation content).</w:t>
      </w:r>
    </w:p>
    <w:p>
      <w:pPr>
        <w:pStyle w:val="Heading1"/>
        <w:spacing w:after="120" w:before="320"/>
      </w:pPr>
      <w:r>
        <w:t xml:space="preserve">12. Variables and logic (developer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100"/>
        <w:gridCol w:w="2580"/>
        <w:gridCol w:w="2580"/>
      </w:tblGrid>
      <w:tr>
        <w:trPr>
          <w:tblHeader/>
        </w:trPr>
        <w:tc>
          <w:tcPr>
            <w:tcW w:type="dxa" w:w="23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Variable</w:t>
            </w:r>
          </w:p>
        </w:tc>
        <w:tc>
          <w:tcPr>
            <w:tcW w:type="dxa" w:w="8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Type</w:t>
            </w:r>
          </w:p>
        </w:tc>
        <w:tc>
          <w:tcPr>
            <w:tcW w:type="dxa" w:w="110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Values</w:t>
            </w:r>
          </w:p>
        </w:tc>
        <w:tc>
          <w:tcPr>
            <w:tcW w:type="dxa" w:w="258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Written by</w:t>
            </w:r>
          </w:p>
        </w:tc>
        <w:tc>
          <w:tcPr>
            <w:tcW w:type="dxa" w:w="2580"/>
            <w:shd w:fill="E7ECF1" w:val="clear"/>
            <w:tcMar>
              <w:top w:type="dxa" w:w="80"/>
              <w:left w:type="dxa" w:w="120"/>
              <w:bottom w:type="dxa" w:w="80"/>
              <w:right w:type="dxa" w:w="120"/>
            </w:tcMar>
            <w:vAlign w:val="top"/>
          </w:tcPr>
          <w:p>
            <w:pPr>
              <w:spacing w:after="20" w:before="20" w:line="260"/>
            </w:pPr>
            <w:r>
              <w:rPr>
                <w:b/>
                <w:bCs/>
                <w:color w:val="20415F"/>
                <w:sz w:val="19"/>
                <w:szCs w:val="19"/>
              </w:rPr>
              <w:t xml:space="preserve">Read by</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v_SO1_L … v_SO4_L</w:t>
            </w:r>
          </w:p>
        </w:tc>
        <w:tc>
          <w:tcPr>
            <w:tcW w:type="dxa" w:w="800"/>
            <w:tcMar>
              <w:top w:type="dxa" w:w="80"/>
              <w:left w:type="dxa" w:w="120"/>
              <w:bottom w:type="dxa" w:w="80"/>
              <w:right w:type="dxa" w:w="120"/>
            </w:tcMar>
            <w:vAlign w:val="top"/>
          </w:tcPr>
          <w:p>
            <w:pPr>
              <w:spacing w:after="20" w:before="20" w:line="260"/>
            </w:pPr>
            <w:r>
              <w:t xml:space="preserve">number</w:t>
            </w:r>
          </w:p>
        </w:tc>
        <w:tc>
          <w:tcPr>
            <w:tcW w:type="dxa" w:w="1100"/>
            <w:tcMar>
              <w:top w:type="dxa" w:w="80"/>
              <w:left w:type="dxa" w:w="120"/>
              <w:bottom w:type="dxa" w:w="80"/>
              <w:right w:type="dxa" w:w="120"/>
            </w:tcMar>
            <w:vAlign w:val="top"/>
          </w:tcPr>
          <w:p>
            <w:pPr>
              <w:spacing w:after="20" w:before="20" w:line="260"/>
            </w:pPr>
            <w:r>
              <w:t xml:space="preserve">0–3</w:t>
            </w:r>
          </w:p>
        </w:tc>
        <w:tc>
          <w:tcPr>
            <w:tcW w:type="dxa" w:w="2580"/>
            <w:tcMar>
              <w:top w:type="dxa" w:w="80"/>
              <w:left w:type="dxa" w:w="120"/>
              <w:bottom w:type="dxa" w:w="80"/>
              <w:right w:type="dxa" w:w="120"/>
            </w:tcMar>
            <w:vAlign w:val="top"/>
          </w:tcPr>
          <w:p>
            <w:pPr>
              <w:spacing w:after="20" w:before="20" w:line="260"/>
            </w:pPr>
            <w:r>
              <w:t xml:space="preserve">M-P scoring (Guttman + anomaly rule)</w:t>
            </w:r>
          </w:p>
        </w:tc>
        <w:tc>
          <w:tcPr>
            <w:tcW w:type="dxa" w:w="2580"/>
            <w:tcMar>
              <w:top w:type="dxa" w:w="80"/>
              <w:left w:type="dxa" w:w="120"/>
              <w:bottom w:type="dxa" w:w="80"/>
              <w:right w:type="dxa" w:w="120"/>
            </w:tcMar>
            <w:vAlign w:val="top"/>
          </w:tcPr>
          <w:p>
            <w:pPr>
              <w:spacing w:after="20" w:before="20" w:line="260"/>
            </w:pPr>
            <w:r>
              <w:t xml:space="preserve">Conditional navigation into each section; report</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v_tag_* (8 tags, §6)</w:t>
            </w:r>
          </w:p>
        </w:tc>
        <w:tc>
          <w:tcPr>
            <w:tcW w:type="dxa" w:w="800"/>
            <w:tcMar>
              <w:top w:type="dxa" w:w="80"/>
              <w:left w:type="dxa" w:w="120"/>
              <w:bottom w:type="dxa" w:w="80"/>
              <w:right w:type="dxa" w:w="120"/>
            </w:tcMar>
            <w:vAlign w:val="top"/>
          </w:tcPr>
          <w:p>
            <w:pPr>
              <w:spacing w:after="20" w:before="20" w:line="260"/>
            </w:pPr>
            <w:r>
              <w:t xml:space="preserve">boolean</w:t>
            </w:r>
          </w:p>
        </w:tc>
        <w:tc>
          <w:tcPr>
            <w:tcW w:type="dxa" w:w="1100"/>
            <w:tcMar>
              <w:top w:type="dxa" w:w="80"/>
              <w:left w:type="dxa" w:w="120"/>
              <w:bottom w:type="dxa" w:w="80"/>
              <w:right w:type="dxa" w:w="120"/>
            </w:tcMar>
            <w:vAlign w:val="top"/>
          </w:tcPr>
          <w:p>
            <w:pPr>
              <w:spacing w:after="20" w:before="20" w:line="260"/>
            </w:pPr>
            <w:r>
              <w:t xml:space="preserve">true / false</w:t>
            </w:r>
          </w:p>
        </w:tc>
        <w:tc>
          <w:tcPr>
            <w:tcW w:type="dxa" w:w="2580"/>
            <w:tcMar>
              <w:top w:type="dxa" w:w="80"/>
              <w:left w:type="dxa" w:w="120"/>
              <w:bottom w:type="dxa" w:w="80"/>
              <w:right w:type="dxa" w:w="120"/>
            </w:tcMar>
            <w:vAlign w:val="top"/>
          </w:tcPr>
          <w:p>
            <w:pPr>
              <w:spacing w:after="20" w:before="20" w:line="260"/>
            </w:pPr>
            <w:r>
              <w:t xml:space="preserve">Each tagged distractor’s “on selected” action</w:t>
            </w:r>
          </w:p>
        </w:tc>
        <w:tc>
          <w:tcPr>
            <w:tcW w:type="dxa" w:w="2580"/>
            <w:tcMar>
              <w:top w:type="dxa" w:w="80"/>
              <w:left w:type="dxa" w:w="120"/>
              <w:bottom w:type="dxa" w:w="80"/>
              <w:right w:type="dxa" w:w="120"/>
            </w:tcMar>
            <w:vAlign w:val="top"/>
          </w:tcPr>
          <w:p>
            <w:pPr>
              <w:spacing w:after="20" w:before="20" w:line="260"/>
            </w:pPr>
            <w:r>
              <w:t xml:space="preserve">Refutation-card triggers 1.R–4.R</w:t>
            </w:r>
          </w:p>
        </w:tc>
      </w:tr>
      <w:tr>
        <w:tc>
          <w:tcPr>
            <w:tcW w:type="dxa" w:w="2300"/>
            <w:tcMar>
              <w:top w:type="dxa" w:w="80"/>
              <w:left w:type="dxa" w:w="120"/>
              <w:bottom w:type="dxa" w:w="80"/>
              <w:right w:type="dxa" w:w="120"/>
            </w:tcMar>
            <w:vAlign w:val="top"/>
          </w:tcPr>
          <w:p>
            <w:pPr>
              <w:spacing w:after="20" w:before="20" w:line="260"/>
            </w:pPr>
            <w:r>
              <w:rPr>
                <w:rFonts w:ascii="Consolas" w:cs="Consolas" w:eastAsia="Consolas" w:hAnsi="Consolas"/>
                <w:color w:val="20415F"/>
                <w:sz w:val="19"/>
                <w:szCs w:val="19"/>
              </w:rPr>
              <w:t xml:space="preserve">v_SO1_exit … v_SO4_exit</w:t>
            </w:r>
          </w:p>
        </w:tc>
        <w:tc>
          <w:tcPr>
            <w:tcW w:type="dxa" w:w="800"/>
            <w:tcMar>
              <w:top w:type="dxa" w:w="80"/>
              <w:left w:type="dxa" w:w="120"/>
              <w:bottom w:type="dxa" w:w="80"/>
              <w:right w:type="dxa" w:w="120"/>
            </w:tcMar>
            <w:vAlign w:val="top"/>
          </w:tcPr>
          <w:p>
            <w:pPr>
              <w:spacing w:after="20" w:before="20" w:line="260"/>
            </w:pPr>
            <w:r>
              <w:t xml:space="preserve">number</w:t>
            </w:r>
          </w:p>
        </w:tc>
        <w:tc>
          <w:tcPr>
            <w:tcW w:type="dxa" w:w="1100"/>
            <w:tcMar>
              <w:top w:type="dxa" w:w="80"/>
              <w:left w:type="dxa" w:w="120"/>
              <w:bottom w:type="dxa" w:w="80"/>
              <w:right w:type="dxa" w:w="120"/>
            </w:tcMar>
            <w:vAlign w:val="top"/>
          </w:tcPr>
          <w:p>
            <w:pPr>
              <w:spacing w:after="20" w:before="20" w:line="260"/>
            </w:pPr>
            <w:r>
              <w:t xml:space="preserve">0–3</w:t>
            </w:r>
          </w:p>
        </w:tc>
        <w:tc>
          <w:tcPr>
            <w:tcW w:type="dxa" w:w="2580"/>
            <w:tcMar>
              <w:top w:type="dxa" w:w="80"/>
              <w:left w:type="dxa" w:w="120"/>
              <w:bottom w:type="dxa" w:w="80"/>
              <w:right w:type="dxa" w:w="120"/>
            </w:tcMar>
            <w:vAlign w:val="top"/>
          </w:tcPr>
          <w:p>
            <w:pPr>
              <w:spacing w:after="20" w:before="20" w:line="260"/>
            </w:pPr>
            <w:r>
              <w:t xml:space="preserve">Section-test scoring (same consecutive-pass rule)</w:t>
            </w:r>
          </w:p>
        </w:tc>
        <w:tc>
          <w:tcPr>
            <w:tcW w:type="dxa" w:w="2580"/>
            <w:tcMar>
              <w:top w:type="dxa" w:w="80"/>
              <w:left w:type="dxa" w:w="120"/>
              <w:bottom w:type="dxa" w:w="80"/>
              <w:right w:type="dxa" w:w="120"/>
            </w:tcMar>
            <w:vAlign w:val="top"/>
          </w:tcPr>
          <w:p>
            <w:pPr>
              <w:spacing w:after="20" w:before="20" w:line="260"/>
            </w:pPr>
            <w:r>
              <w:t xml:space="preserve">Completion gate (≥ 2; ≥ 3 recommended SO3/SO4); report</w:t>
            </w:r>
          </w:p>
        </w:tc>
      </w:tr>
    </w:tbl>
    <w:p>
      <w:pPr>
        <w:spacing w:after="60" w:before="140" w:line="276"/>
      </w:pPr>
      <w:r>
        <w:rPr>
          <w:b/>
          <w:bCs/>
        </w:rPr>
        <w:t xml:space="preserve">Scoring pseudocode per SO (placement and exit alike): </w:t>
      </w:r>
    </w:p>
    <w:p>
      <w:pPr>
        <w:shd w:fill="F7F4EE" w:val="clear"/>
        <w:spacing w:after="60" w:before="60" w:line="276"/>
      </w:pPr>
      <w:r>
        <w:rPr>
          <w:rFonts w:ascii="Consolas" w:cs="Consolas" w:eastAsia="Consolas" w:hAnsi="Consolas"/>
          <w:color w:val="20415F"/>
          <w:sz w:val="19"/>
          <w:szCs w:val="19"/>
        </w:rPr>
        <w:t xml:space="preserve">level = 0; for rung in [Q1, Q2, Q3]: if pass(rung): level += 1 else: break</w:t>
      </w:r>
    </w:p>
    <w:p>
      <w:pPr>
        <w:spacing w:after="60" w:before="60" w:line="276"/>
      </w:pPr>
      <w:r>
        <w:rPr>
          <w:b/>
          <w:bCs/>
        </w:rPr>
        <w:t xml:space="preserve">SCORM score: </w:t>
      </w:r>
      <w:r>
        <w:rPr>
          <w:rFonts w:ascii="Consolas" w:cs="Consolas" w:eastAsia="Consolas" w:hAnsi="Consolas"/>
          <w:color w:val="20415F"/>
          <w:sz w:val="19"/>
          <w:szCs w:val="19"/>
        </w:rPr>
        <w:t xml:space="preserve">score = mean over SOs of (exit_level / 3), with skipped SOs counted as 3/3.</w:t>
      </w:r>
    </w:p>
    <w:p>
      <w:pPr>
        <w:spacing w:after="60" w:before="60" w:line="276"/>
      </w:pPr>
      <w:r>
        <w:rPr>
          <w:b/>
          <w:bCs/>
        </w:rPr>
        <w:t xml:space="preserve">Fallback Tier A: </w:t>
      </w:r>
      <w:r>
        <w:t xml:space="preserve">if variables + conditional navigation prove unreliable on the target platform/LMS, revert to native per-module gates with “Skip Content if Passed” (v2 pattern). Content is authored once either way.</w:t>
      </w:r>
    </w:p>
    <w:p>
      <w:pPr>
        <w:pStyle w:val="Heading1"/>
        <w:spacing w:after="120" w:before="320"/>
      </w:pPr>
      <w:r>
        <w:t xml:space="preserve">13. Accessibility and presentation notes</w:t>
      </w:r>
    </w:p>
    <w:p>
      <w:pPr>
        <w:pStyle w:val="ListParagraph"/>
        <w:numPr>
          <w:ilvl w:val="0"/>
          <w:numId w:val="2"/>
        </w:numPr>
        <w:spacing w:after="40" w:before="40" w:line="276"/>
      </w:pPr>
      <w:r>
        <w:t xml:space="preserve">Placement questions are standard single-select items (plus one fixed-order sequence item); keyboard operability and screen-reader labeling per the v4 accessibility spec, which is unchanged.</w:t>
      </w:r>
    </w:p>
    <w:p>
      <w:pPr>
        <w:pStyle w:val="ListParagraph"/>
        <w:numPr>
          <w:ilvl w:val="0"/>
          <w:numId w:val="2"/>
        </w:numPr>
        <w:spacing w:after="40" w:before="40" w:line="276"/>
      </w:pPr>
      <w:r>
        <w:t xml:space="preserve">Do not signal correctness anywhere in the placement module — no color, sound, icon or score change visible to the learner until RT-1.</w:t>
      </w:r>
    </w:p>
    <w:p>
      <w:pPr>
        <w:pStyle w:val="ListParagraph"/>
        <w:numPr>
          <w:ilvl w:val="0"/>
          <w:numId w:val="2"/>
        </w:numPr>
        <w:spacing w:after="40" w:before="40" w:line="276"/>
      </w:pPr>
      <w:r>
        <w:t xml:space="preserve">The scenario panel must remain visible (or one interaction away) while its three questions are on screen.</w:t>
      </w:r>
    </w:p>
    <w:p>
      <w:pPr>
        <w:pStyle w:val="ListParagraph"/>
        <w:numPr>
          <w:ilvl w:val="0"/>
          <w:numId w:val="2"/>
        </w:numPr>
        <w:spacing w:after="40" w:before="40" w:line="276"/>
      </w:pPr>
      <w:r>
        <w:t xml:space="preserve">Level chips L0–L3 on RT-1/RPT-1 must not rely on color alone — always pair the “L” label with the route word.</w:t>
      </w:r>
    </w:p>
    <w:p>
      <w:pPr>
        <w:pStyle w:val="Heading1"/>
        <w:spacing w:after="120" w:before="320"/>
      </w:pPr>
      <w:r>
        <w:t xml:space="preserve">14. Acceptance checklist (build QA)</w:t>
      </w:r>
    </w:p>
    <w:p>
      <w:pPr>
        <w:spacing w:after="40" w:before="40" w:line="276"/>
      </w:pPr>
      <w:r>
        <w:t xml:space="preserve">☐  Every placement item answerable independently of its block-mates (no answer leakage).</w:t>
      </w:r>
    </w:p>
    <w:p>
      <w:pPr>
        <w:spacing w:after="40" w:before="40" w:line="276"/>
      </w:pPr>
      <w:r>
        <w:t xml:space="preserve">☐  One attempt enforced; no feedback shown anywhere in M-P.</w:t>
      </w:r>
    </w:p>
    <w:p>
      <w:pPr>
        <w:spacing w:after="40" w:before="40" w:line="276"/>
      </w:pPr>
      <w:r>
        <w:t xml:space="preserve">☐  Option order randomized, except C-Q3 (and SO3-Q3b) sequence items which keep fixed order.</w:t>
      </w:r>
    </w:p>
    <w:p>
      <w:pPr>
        <w:spacing w:after="40" w:before="40" w:line="276"/>
      </w:pPr>
      <w:r>
        <w:t xml:space="preserve">☐  v_SOn_L computed with the consecutive-pass rule; anomaly case verified with a scripted run (fail Q1, pass Q2/Q3 → L0).</w:t>
      </w:r>
    </w:p>
    <w:p>
      <w:pPr>
        <w:spacing w:after="40" w:before="40" w:line="276"/>
      </w:pPr>
      <w:r>
        <w:t xml:space="preserve">☐  Each tagged distractor sets its v_tag_* variable; each refutation card fires only on its own tags, and never on a skipped (L3) section.</w:t>
      </w:r>
    </w:p>
    <w:p>
      <w:pPr>
        <w:spacing w:after="40" w:before="40" w:line="276"/>
      </w:pPr>
      <w:r>
        <w:t xml:space="preserve">☐  Routing verified for all 4 levels × 4 SOs (16 paths).</w:t>
      </w:r>
    </w:p>
    <w:p>
      <w:pPr>
        <w:spacing w:after="40" w:before="40" w:line="276"/>
      </w:pPr>
      <w:r>
        <w:t xml:space="preserve">☐  Exit ladders compute v_SOn_exit; completion gate ≥ L2 enforced (L3 recommended flag for SO3/SO4).</w:t>
      </w:r>
    </w:p>
    <w:p>
      <w:pPr>
        <w:spacing w:after="40" w:before="40" w:line="276"/>
      </w:pPr>
      <w:r>
        <w:t xml:space="preserve">☐  SCORM score = mean(exit L/3), skipped SOs credited L3; verified against a worked example (SO1 skip, SO2 L3, SO3 L0, SO4 L3 → 75%).</w:t>
      </w:r>
    </w:p>
    <w:p>
      <w:pPr>
        <w:spacing w:after="40" w:before="40" w:line="276"/>
      </w:pPr>
      <w:r>
        <w:t xml:space="preserve">☐  After Alpha: pass rates decrease monotonically Q1 ≥ Q2 ≥ Q3 within each scenario; any inversion is a mis-levelled item to rewrite.</w:t>
      </w:r>
    </w:p>
    <w:p>
      <w:pPr>
        <w:pStyle w:val="Heading1"/>
        <w:spacing w:after="120" w:before="320"/>
      </w:pPr>
      <w:r>
        <w:t xml:space="preserve">15. Change control</w:t>
      </w:r>
    </w:p>
    <w:p>
      <w:pPr>
        <w:pStyle w:val="Heading2"/>
        <w:spacing w:after="100" w:before="260"/>
      </w:pPr>
      <w:r>
        <w:t xml:space="preserve">v5 → v6</w:t>
      </w:r>
    </w:p>
    <w:p>
      <w:pPr>
        <w:pStyle w:val="ListParagraph"/>
        <w:numPr>
          <w:ilvl w:val="0"/>
          <w:numId w:val="2"/>
        </w:numPr>
        <w:spacing w:after="40" w:before="40" w:line="276"/>
      </w:pPr>
      <w:r>
        <w:t xml:space="preserve">Reformatted as a developer build specification with screen IDs (MP-0, MP-A0…MP-D3, RT-1, RPT-1), behavior lines per item, a consolidated tag registry, a variable/logic spec and an acceptance checklist.</w:t>
      </w:r>
    </w:p>
    <w:p>
      <w:pPr>
        <w:pStyle w:val="ListParagraph"/>
        <w:numPr>
          <w:ilvl w:val="0"/>
          <w:numId w:val="2"/>
        </w:numPr>
        <w:spacing w:after="40" w:before="40" w:line="276"/>
      </w:pPr>
      <w:r>
        <w:t xml:space="preserve">Draft refutation-card copy added (§8) — SME review required.</w:t>
      </w:r>
    </w:p>
    <w:p>
      <w:pPr>
        <w:pStyle w:val="ListParagraph"/>
        <w:numPr>
          <w:ilvl w:val="0"/>
          <w:numId w:val="2"/>
        </w:numPr>
        <w:spacing w:after="40" w:before="40" w:line="276"/>
      </w:pPr>
      <w:r>
        <w:t xml:space="preserve">Item wording, keys, tags, routing, scoring and reporting carried over from v5 verbatim.</w:t>
      </w:r>
    </w:p>
    <w:p>
      <w:pPr>
        <w:pStyle w:val="Heading2"/>
        <w:spacing w:after="100" w:before="260"/>
      </w:pPr>
      <w:r>
        <w:t xml:space="preserve">v4 → v5 (unchanged, for reference)</w:t>
      </w:r>
    </w:p>
    <w:p>
      <w:pPr>
        <w:pStyle w:val="ListParagraph"/>
        <w:numPr>
          <w:ilvl w:val="0"/>
          <w:numId w:val="2"/>
        </w:numPr>
        <w:spacing w:after="40" w:before="40" w:line="276"/>
      </w:pPr>
      <w:r>
        <w:rPr>
          <w:b/>
          <w:bCs/>
        </w:rPr>
        <w:t xml:space="preserve">Removed: </w:t>
      </w:r>
      <w:r>
        <w:t xml:space="preserve">confidence follow-up taps, correctness × confidence matrix, variables </w:t>
      </w:r>
      <w:r>
        <w:rPr>
          <w:rFonts w:ascii="Consolas" w:cs="Consolas" w:eastAsia="Consolas" w:hAnsi="Consolas"/>
        </w:rPr>
        <w:t xml:space="preserve">v_*conf</w:t>
      </w:r>
      <w:r>
        <w:t xml:space="preserve">.</w:t>
      </w:r>
    </w:p>
    <w:p>
      <w:pPr>
        <w:pStyle w:val="ListParagraph"/>
        <w:numPr>
          <w:ilvl w:val="0"/>
          <w:numId w:val="2"/>
        </w:numPr>
        <w:spacing w:after="40" w:before="40" w:line="276"/>
      </w:pPr>
      <w:r>
        <w:rPr>
          <w:b/>
          <w:bCs/>
        </w:rPr>
        <w:t xml:space="preserve">Replaced: </w:t>
      </w:r>
      <w:r>
        <w:t xml:space="preserve">four 2-item gates (1.G–4.G) → one placement module M-P of four 3-question scenario blocks; §5 routing replaces v4 Routing Rules.</w:t>
      </w:r>
    </w:p>
    <w:p>
      <w:pPr>
        <w:pStyle w:val="ListParagraph"/>
        <w:numPr>
          <w:ilvl w:val="0"/>
          <w:numId w:val="2"/>
        </w:numPr>
        <w:spacing w:after="40" w:before="40" w:line="276"/>
      </w:pPr>
      <w:r>
        <w:rPr>
          <w:b/>
          <w:bCs/>
        </w:rPr>
        <w:t xml:space="preserve">Retriggered: </w:t>
      </w:r>
      <w:r>
        <w:t xml:space="preserve">refutation cards fire on tagged distractors instead of Wrong+Sure.</w:t>
      </w:r>
    </w:p>
    <w:p>
      <w:pPr>
        <w:pStyle w:val="ListParagraph"/>
        <w:numPr>
          <w:ilvl w:val="0"/>
          <w:numId w:val="2"/>
        </w:numPr>
        <w:spacing w:after="40" w:before="40" w:line="276"/>
      </w:pPr>
      <w:r>
        <w:rPr>
          <w:b/>
          <w:bCs/>
        </w:rPr>
        <w:t xml:space="preserve">Extended: </w:t>
      </w:r>
      <w:r>
        <w:t xml:space="preserve">section tests gain one Q3-level item each; exit standard = level ≥ L2 (L3 for SO3/SO4).</w:t>
      </w:r>
    </w:p>
    <w:p>
      <w:pPr>
        <w:pStyle w:val="ListParagraph"/>
        <w:numPr>
          <w:ilvl w:val="0"/>
          <w:numId w:val="2"/>
        </w:numPr>
        <w:spacing w:after="40" w:before="40" w:line="276"/>
      </w:pPr>
      <w:r>
        <w:rPr>
          <w:b/>
          <w:bCs/>
        </w:rPr>
        <w:t xml:space="preserve">Unchanged: </w:t>
      </w:r>
      <w:r>
        <w:t xml:space="preserve">all teach, worked-example, practice and close slides; item bank forms b/c; spiral review; booster; accessibility and design specs.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7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772"/>
        <w:sz w:val="16"/>
        <w:szCs w:val="16"/>
      </w:rPr>
      <w:t xml:space="preserve">MOD 13 DMCPG-5 · Bloom-Ladder Placement Storyboard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0415F"/>
      <w:sz w:val="30"/>
      <w:szCs w:val="30"/>
    </w:rPr>
  </w:style>
  <w:style w:type="paragraph" w:styleId="Heading2">
    <w:name w:val="Heading 2"/>
    <w:basedOn w:val="Normal"/>
    <w:next w:val="Normal"/>
    <w:qFormat/>
    <w:rPr>
      <w:rFonts w:ascii="Calibri" w:cs="Calibri" w:eastAsia="Calibri" w:hAnsi="Calibri"/>
      <w:b/>
      <w:bCs/>
      <w:color w:val="20415F"/>
      <w:sz w:val="25"/>
      <w:szCs w:val="25"/>
    </w:rPr>
  </w:style>
  <w:style w:type="paragraph" w:styleId="Heading3">
    <w:name w:val="Heading 3"/>
    <w:basedOn w:val="Normal"/>
    <w:next w:val="Normal"/>
    <w:qFormat/>
    <w:rPr>
      <w:rFonts w:ascii="Calibri" w:cs="Calibri" w:eastAsia="Calibri" w:hAnsi="Calibri"/>
      <w:b/>
      <w:bCs/>
      <w:color w:val="222A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2026-08-31T02:49:03.808Z</dcterms:created>
  <dcterms:modified xsi:type="dcterms:W3CDTF">2026-08-31T02:49:03.808Z</dcterms:modified>
</cp:coreProperties>
</file>

<file path=docProps/custom.xml><?xml version="1.0" encoding="utf-8"?>
<Properties xmlns="http://schemas.openxmlformats.org/officeDocument/2006/custom-properties" xmlns:vt="http://schemas.openxmlformats.org/officeDocument/2006/docPropsVTypes"/>
</file>