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v3.2 change log and crosswalk</w:t>
      </w:r>
    </w:p>
    <w:p>
      <w:pPr>
        <w:spacing w:after="100"/>
      </w:pPr>
      <w:r>
        <w:t xml:space="preserve">Companion to </w:t>
      </w:r>
      <w:r>
        <w:rPr>
          <w:rFonts w:ascii="Consolas" w:cs="Consolas" w:eastAsia="Consolas" w:hAnsi="Consolas"/>
        </w:rPr>
        <w:t xml:space="preserve">Storyboard-Generator-Master-Prompt-v3.2.md</w:t>
      </w:r>
      <w:r>
        <w:t xml:space="preserve">. It records what changed from v3.1, why, and where every v3.1 section went. Nothing in this file is pasted into the AI tool.</w:t>
      </w:r>
    </w:p>
    <w:p>
      <w:pPr>
        <w:pStyle w:val="Heading2"/>
        <w:keepNext/>
      </w:pPr>
      <w:r>
        <w:t xml:space="preserve">1. What v3.2 does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Merges the two layers of v3.1 (the master prompt and the appended "v3.1 Revised Prompt Sections" package) into one document, executing the package's own "Integration and cleanup requirements".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Keeps every unique requirement and every specific standard (exact feedback strings, Style block, Developer Notes – All Slides lines, border specification, gap-marker vocabulary, component minimums, acceptance checks).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Gives every rule one home and one acceptance line ("one home, one check"). Six overlapping checklists become one slide-level gate and one acceptance list.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Resolves the contradictions listed in section 2 below.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Adds the content-quality rules the review found missing (section 3 below).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Removes maintainer-facing material from the prompt and moves it here (section 5 below).</w:t>
      </w:r>
    </w:p>
    <w:p>
      <w:pPr>
        <w:spacing w:after="100"/>
      </w:pPr>
      <w:r>
        <w:t xml:space="preserve">Word count: v3.1 about 19,200 words; v3.2 about 15,900 words. The reduction is smaller than the review's 9,500-word estimate because every component minimum, every acceptance condition, every exact standard, and every internal artifact field list was retained in full rather than trimmed; only duplicate statements, contradictions, and maintainer-facing material were removed.</w:t>
      </w:r>
    </w:p>
    <w:p>
      <w:pPr>
        <w:pStyle w:val="Heading2"/>
        <w:keepNext/>
      </w:pPr>
      <w:r>
        <w:t xml:space="preserve">2. Decisions taken on the v3.1 contradictions</w:t>
      </w:r>
    </w:p>
    <w:p>
      <w:pPr>
        <w:spacing w:after="100"/>
      </w:pPr>
      <w:r>
        <w:t xml:space="preserve">Each of these can be reversed by editing the single place in v3.2 where the rule now lives.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929"/>
        <w:gridCol w:w="7364"/>
        <w:gridCol w:w="894"/>
      </w:tblGrid>
      <w:tr>
        <w:trPr>
          <w:cantSplit w:val="false"/>
          <w:tblHeader/>
        </w:trPr>
        <w:tc>
          <w:tcPr>
            <w:tcW w:type="dxa" w:w="8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9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Topic</w:t>
            </w:r>
          </w:p>
        </w:tc>
        <w:tc>
          <w:tcPr>
            <w:tcW w:type="dxa" w:w="7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Decision in v3.2</w:t>
            </w:r>
          </w:p>
        </w:tc>
        <w:tc>
          <w:tcPr>
            <w:tcW w:type="dxa" w:w="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Where</w:t>
            </w:r>
          </w:p>
        </w:tc>
      </w:tr>
      <w:tr>
        <w:trPr>
          <w:cantSplit w:val="false"/>
          <w:tblHeader w:val="false"/>
        </w:trPr>
        <w:tc>
          <w:tcPr>
            <w:tcW w:type="dxa" w:w="8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9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Merged title-row borders</w:t>
            </w:r>
          </w:p>
        </w:tc>
        <w:tc>
          <w:tcPr>
            <w:tcW w:type="dxa" w:w="7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Bottom border only (solid black, 0.5 pt, #000000); no top, left, or right border on merged title rows. All four sides on every header and body cell. This follows Step 4 item 14, the Acceptance Checks, and Appendix 13 of v3.1, which section 29 identified as "the approved template rule".</w:t>
            </w:r>
          </w:p>
        </w:tc>
        <w:tc>
          <w:tcPr>
            <w:tcW w:type="dxa" w:w="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13.2; acceptance check 6</w:t>
            </w:r>
          </w:p>
        </w:tc>
      </w:tr>
      <w:tr>
        <w:trPr>
          <w:cantSplit w:val="false"/>
          <w:tblHeader w:val="false"/>
        </w:trPr>
        <w:tc>
          <w:tcPr>
            <w:tcW w:type="dxa" w:w="8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9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Interaction column modes</w:t>
            </w:r>
          </w:p>
        </w:tc>
        <w:tc>
          <w:tcPr>
            <w:tcW w:type="dxa" w:w="7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Five modes (v3.1 Layer 2 section 9). Mode 2 includes Component, Learner Action, Component Structure, Order, Initial State, Required Viewing, Completion. Excluded from every mode: Learning Purpose, Directive, design rationale, tool-validation notes, routine accessibility, covered fallbacks, low-level implementation logic. The Mode 2 example now shows the object mapping form.</w:t>
            </w:r>
          </w:p>
        </w:tc>
        <w:tc>
          <w:tcPr>
            <w:tcW w:type="dxa" w:w="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7.4; acceptance check 18</w:t>
            </w:r>
          </w:p>
        </w:tc>
      </w:tr>
      <w:tr>
        <w:trPr>
          <w:cantSplit w:val="false"/>
          <w:tblHeader w:val="false"/>
        </w:trPr>
        <w:tc>
          <w:tcPr>
            <w:tcW w:type="dxa" w:w="8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9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Two-attempt feedback states</w:t>
            </w:r>
          </w:p>
        </w:tc>
        <w:tc>
          <w:tcPr>
            <w:tcW w:type="dxa" w:w="7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Three states by default (shared Correct, First Incorrect Hint, Final Incorrect). Separate First-Attempt Correct and Second-Attempt Correct only when Development confirms support and the project requires them. One set of exact strings for all states.</w:t>
            </w:r>
          </w:p>
        </w:tc>
        <w:tc>
          <w:tcPr>
            <w:tcW w:type="dxa" w:w="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9.2; acceptance checks 22 and 23</w:t>
            </w:r>
          </w:p>
        </w:tc>
      </w:tr>
      <w:tr>
        <w:trPr>
          <w:cantSplit w:val="false"/>
          <w:tblHeader w:val="false"/>
        </w:trPr>
        <w:tc>
          <w:tcPr>
            <w:tcW w:type="dxa" w:w="8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9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Region labels in Text Content</w:t>
            </w:r>
          </w:p>
        </w:tc>
        <w:tc>
          <w:tcPr>
            <w:tcW w:type="dxa" w:w="7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Heading hierarchy (H1 title, H2 region or section, H3 sub-group, bold label with colon only for Narration/VO and interaction fields). "On-screen" prefixes removed from the templates in Appendix A.</w:t>
            </w:r>
          </w:p>
        </w:tc>
        <w:tc>
          <w:tcPr>
            <w:tcW w:type="dxa" w:w="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5.4; acceptance check 10</w:t>
            </w:r>
          </w:p>
        </w:tc>
      </w:tr>
      <w:tr>
        <w:trPr>
          <w:cantSplit w:val="false"/>
          <w:tblHeader w:val="false"/>
        </w:trPr>
        <w:tc>
          <w:tcPr>
            <w:tcW w:type="dxa" w:w="8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9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Interaction minimums</w:t>
            </w:r>
          </w:p>
        </w:tc>
        <w:tc>
          <w:tcPr>
            <w:tcW w:type="dxa" w:w="7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 project-independent numeric quotas. Kept as pedagogy, not as counts: practice for every objective-bearing chunk and at least one higher-order check where objectives require it. "At least three context variables" became "the variables that genuinely affect performance".</w:t>
            </w:r>
          </w:p>
        </w:tc>
        <w:tc>
          <w:tcPr>
            <w:tcW w:type="dxa" w:w="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4.2; 7.5</w:t>
            </w:r>
          </w:p>
        </w:tc>
      </w:tr>
      <w:tr>
        <w:trPr>
          <w:cantSplit w:val="false"/>
          <w:tblHeader w:val="false"/>
        </w:trPr>
        <w:tc>
          <w:tcPr>
            <w:tcW w:type="dxa" w:w="8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9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Scored-MCQ field labels</w:t>
            </w:r>
          </w:p>
        </w:tc>
        <w:tc>
          <w:tcPr>
            <w:tcW w:type="dxa" w:w="7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One spelling everywhere: "Correct answer text: [letter]. [exact answer text]" and "Randomize options: Yes / No / Tool limitation".</w:t>
            </w:r>
          </w:p>
        </w:tc>
        <w:tc>
          <w:tcPr>
            <w:tcW w:type="dxa" w:w="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9.4; Appendix A; acceptance check 24</w:t>
            </w:r>
          </w:p>
        </w:tc>
      </w:tr>
      <w:tr>
        <w:trPr>
          <w:cantSplit w:val="false"/>
          <w:tblHeader w:val="false"/>
        </w:trPr>
        <w:tc>
          <w:tcPr>
            <w:tcW w:type="dxa" w:w="8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9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Multimedia cell schema</w:t>
            </w:r>
          </w:p>
        </w:tc>
        <w:tc>
          <w:tcPr>
            <w:tcW w:type="dxa" w:w="7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Three fields, one spelling: "Layout/Visual:", "Asset/Request:" (only when an asset must be located, inserted, verified, or requested), "Alt Text:". Request numbers and filenames are permitted on the Asset/Request line; v3.1 section K's "do not display Request #" was written for the older richer schema and was removed.</w:t>
            </w:r>
          </w:p>
        </w:tc>
        <w:tc>
          <w:tcPr>
            <w:tcW w:type="dxa" w:w="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10.1; acceptance check 25</w:t>
            </w:r>
          </w:p>
        </w:tc>
      </w:tr>
      <w:tr>
        <w:trPr>
          <w:cantSplit w:val="false"/>
          <w:tblHeader w:val="false"/>
        </w:trPr>
        <w:tc>
          <w:tcPr>
            <w:tcW w:type="dxa" w:w="8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9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Authority stack</w:t>
            </w:r>
          </w:p>
        </w:tc>
        <w:tc>
          <w:tcPr>
            <w:tcW w:type="dxa" w:w="7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One nine-level list. "HLOD" corrected to HLDD (High-Level Design Document).</w:t>
            </w:r>
          </w:p>
        </w:tc>
        <w:tc>
          <w:tcPr>
            <w:tcW w:type="dxa" w:w="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2.2</w:t>
            </w:r>
          </w:p>
        </w:tc>
      </w:tr>
      <w:tr>
        <w:trPr>
          <w:cantSplit w:val="false"/>
          <w:tblHeader w:val="false"/>
        </w:trPr>
        <w:tc>
          <w:tcPr>
            <w:tcW w:type="dxa" w:w="8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9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Meaning of "Developer Notes"</w:t>
            </w:r>
          </w:p>
        </w:tc>
        <w:tc>
          <w:tcPr>
            <w:tcW w:type="dxa" w:w="7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"Developer Notes – All Slides" is the exported global block only. Every internal per-slide reference is now "Internal Slide Notes" (part of the Slide Planning Row, Appendix C). Appendix 13's stale "Overall Design" and "Developer Notes – Section Gate" names are gone.</w:t>
            </w:r>
          </w:p>
        </w:tc>
        <w:tc>
          <w:tcPr>
            <w:tcW w:type="dxa" w:w="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13.1; Appendix C</w:t>
            </w:r>
          </w:p>
        </w:tc>
      </w:tr>
      <w:tr>
        <w:trPr>
          <w:cantSplit w:val="false"/>
          <w:tblHeader w:val="false"/>
        </w:trPr>
        <w:tc>
          <w:tcPr>
            <w:tcW w:type="dxa" w:w="8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9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Tool neutrality</w:t>
            </w:r>
          </w:p>
        </w:tc>
        <w:tc>
          <w:tcPr>
            <w:tcW w:type="dxa" w:w="7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DominKnow is the default. An intake that names another tool applies every DominKnow rule to that tool's approved component reference. With no tool and no reference, tool-neutral language. Both v3.1 behaviours are preserved.</w:t>
            </w:r>
          </w:p>
        </w:tc>
        <w:tc>
          <w:tcPr>
            <w:tcW w:type="dxa" w:w="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</w:t>
            </w:r>
          </w:p>
        </w:tc>
      </w:tr>
      <w:tr>
        <w:trPr>
          <w:cantSplit w:val="false"/>
          <w:tblHeader w:val="false"/>
        </w:trPr>
        <w:tc>
          <w:tcPr>
            <w:tcW w:type="dxa" w:w="8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9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First screen</w:t>
            </w:r>
          </w:p>
        </w:tc>
        <w:tc>
          <w:tcPr>
            <w:tcW w:type="dxa" w:w="7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Intake decision with a default: Splash is a title screen with estimated completion time, orientation screen next. Intake or client may place the orientation content on the first screen, or the course shell may already provide it.</w:t>
            </w:r>
          </w:p>
        </w:tc>
        <w:tc>
          <w:tcPr>
            <w:tcW w:type="dxa" w:w="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1.4; 4.3</w:t>
            </w:r>
          </w:p>
        </w:tc>
      </w:tr>
      <w:tr>
        <w:trPr>
          <w:cantSplit w:val="false"/>
          <w:tblHeader w:val="false"/>
        </w:trPr>
        <w:tc>
          <w:tcPr>
            <w:tcW w:type="dxa" w:w="8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9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"None" vs "N/A" in Multimedia</w:t>
            </w:r>
          </w:p>
        </w:tc>
        <w:tc>
          <w:tcPr>
            <w:tcW w:type="dxa" w:w="7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N/A when no visual is needed (v3.1 section K).</w:t>
            </w:r>
          </w:p>
        </w:tc>
        <w:tc>
          <w:tcPr>
            <w:tcW w:type="dxa" w:w="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10.1</w:t>
            </w:r>
          </w:p>
        </w:tc>
      </w:tr>
      <w:tr>
        <w:trPr>
          <w:cantSplit w:val="false"/>
          <w:tblHeader w:val="false"/>
        </w:trPr>
        <w:tc>
          <w:tcPr>
            <w:tcW w:type="dxa" w:w="8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9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 Affairs example in Appendix 10</w:t>
            </w:r>
          </w:p>
        </w:tc>
        <w:tc>
          <w:tcPr>
            <w:tcW w:type="dxa" w:w="7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Replaced with a domain-neutral request-approval example in the same notation.</w:t>
            </w:r>
          </w:p>
        </w:tc>
        <w:tc>
          <w:tcPr>
            <w:tcW w:type="dxa" w:w="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Appendix A</w:t>
            </w:r>
          </w:p>
        </w:tc>
      </w:tr>
      <w:tr>
        <w:trPr>
          <w:cantSplit w:val="false"/>
          <w:tblHeader w:val="false"/>
        </w:trPr>
        <w:tc>
          <w:tcPr>
            <w:tcW w:type="dxa" w:w="8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9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Three phrasings of "Developer to confirm component"</w:t>
            </w:r>
          </w:p>
        </w:tc>
        <w:tc>
          <w:tcPr>
            <w:tcW w:type="dxa" w:w="7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One marker: [DEVELOPER TO ADVISE: Confirm the closest approved DominKnow component or question type.].</w:t>
            </w:r>
          </w:p>
        </w:tc>
        <w:tc>
          <w:tcPr>
            <w:tcW w:type="dxa" w:w="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7.3; 12</w:t>
            </w: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3. Rules added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9"/>
        <w:gridCol w:w="5357"/>
        <w:gridCol w:w="1374"/>
      </w:tblGrid>
      <w:tr>
        <w:trPr>
          <w:cantSplit w:val="false"/>
          <w:tblHeader/>
        </w:trPr>
        <w:tc>
          <w:tcPr>
            <w:tcW w:type="dxa" w:w="33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Rule</w:t>
            </w:r>
          </w:p>
        </w:tc>
        <w:tc>
          <w:tcPr>
            <w:tcW w:type="dxa" w:w="53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Why</w:t>
            </w:r>
          </w:p>
        </w:tc>
        <w:tc>
          <w:tcPr>
            <w:tcW w:type="dxa" w:w="13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Where</w:t>
            </w:r>
          </w:p>
        </w:tc>
      </w:tr>
      <w:tr>
        <w:trPr>
          <w:cantSplit w:val="false"/>
          <w:tblHeader w:val="false"/>
        </w:trPr>
        <w:tc>
          <w:tcPr>
            <w:tcW w:type="dxa" w:w="33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Task-based objective wording (job verb, object, condition; Bloom internal only)</w:t>
            </w:r>
          </w:p>
        </w:tc>
        <w:tc>
          <w:tcPr>
            <w:tcW w:type="dxa" w:w="53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Reviewer comment: objectives were Bloom-verb driven, not job tasks. v3.1 had no rule asking for a job-task formulation.</w:t>
            </w:r>
          </w:p>
        </w:tc>
        <w:tc>
          <w:tcPr>
            <w:tcW w:type="dxa" w:w="13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3.3; acceptance check 7</w:t>
            </w:r>
          </w:p>
        </w:tc>
      </w:tr>
      <w:tr>
        <w:trPr>
          <w:cantSplit w:val="false"/>
          <w:tblHeader w:val="false"/>
        </w:trPr>
        <w:tc>
          <w:tcPr>
            <w:tcW w:type="dxa" w:w="33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Heading hierarchy in Text Content</w:t>
            </w:r>
          </w:p>
        </w:tc>
        <w:tc>
          <w:tcPr>
            <w:tcW w:type="dxa" w:w="53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Reviewer comment: use proper heading levels so they show in the Navigation pane. v3.1 defined Heading 1 only and its templates contradicted it.</w:t>
            </w:r>
          </w:p>
        </w:tc>
        <w:tc>
          <w:tcPr>
            <w:tcW w:type="dxa" w:w="13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5.4; acceptance check 10</w:t>
            </w:r>
          </w:p>
        </w:tc>
      </w:tr>
      <w:tr>
        <w:trPr>
          <w:cantSplit w:val="false"/>
          <w:tblHeader w:val="false"/>
        </w:trPr>
        <w:tc>
          <w:tcPr>
            <w:tcW w:type="dxa" w:w="33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Cognitive-load limits (one idea per slide; about seven items or two panels of four; three new acronyms; split, do not compress)</w:t>
            </w:r>
          </w:p>
        </w:tc>
        <w:tc>
          <w:tcPr>
            <w:tcW w:type="dxa" w:w="53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Reviewer comments: "cognitive overload", "no one has a clue what this means". v3.1 stated the principle with no limit and no check.</w:t>
            </w:r>
          </w:p>
        </w:tc>
        <w:tc>
          <w:tcPr>
            <w:tcW w:type="dxa" w:w="13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5.3; acceptance check 12</w:t>
            </w:r>
          </w:p>
        </w:tc>
      </w:tr>
      <w:tr>
        <w:trPr>
          <w:cantSplit w:val="false"/>
          <w:tblHeader w:val="false"/>
        </w:trPr>
        <w:tc>
          <w:tcPr>
            <w:tcW w:type="dxa" w:w="33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Plain-language pass (role first, unit code second; reader outside the unit can say who does what)</w:t>
            </w:r>
          </w:p>
        </w:tc>
        <w:tc>
          <w:tcPr>
            <w:tcW w:type="dxa" w:w="53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Same comments.</w:t>
            </w:r>
          </w:p>
        </w:tc>
        <w:tc>
          <w:tcPr>
            <w:tcW w:type="dxa" w:w="13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5.3; acceptance check 12</w:t>
            </w:r>
          </w:p>
        </w:tc>
      </w:tr>
      <w:tr>
        <w:trPr>
          <w:cantSplit w:val="false"/>
          <w:tblHeader w:val="false"/>
        </w:trPr>
        <w:tc>
          <w:tcPr>
            <w:tcW w:type="dxa" w:w="33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Title accuracy</w:t>
            </w:r>
          </w:p>
        </w:tc>
        <w:tc>
          <w:tcPr>
            <w:tcW w:type="dxa" w:w="53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Reviewer comment: "The title is misleading". No v3.1 check.</w:t>
            </w:r>
          </w:p>
        </w:tc>
        <w:tc>
          <w:tcPr>
            <w:tcW w:type="dxa" w:w="13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5.4; 14.1; acceptance check 10</w:t>
            </w:r>
          </w:p>
        </w:tc>
      </w:tr>
      <w:tr>
        <w:trPr>
          <w:cantSplit w:val="false"/>
          <w:tblHeader w:val="false"/>
        </w:trPr>
        <w:tc>
          <w:tcPr>
            <w:tcW w:type="dxa" w:w="33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First-screen intake item</w:t>
            </w:r>
          </w:p>
        </w:tc>
        <w:tc>
          <w:tcPr>
            <w:tcW w:type="dxa" w:w="53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Reviewer comment: orientation content belongs on the splash page for this client.</w:t>
            </w:r>
          </w:p>
        </w:tc>
        <w:tc>
          <w:tcPr>
            <w:tcW w:type="dxa" w:w="13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1.4; 4.3</w:t>
            </w:r>
          </w:p>
        </w:tc>
      </w:tr>
      <w:tr>
        <w:trPr>
          <w:cantSplit w:val="false"/>
          <w:tblHeader w:val="false"/>
        </w:trPr>
        <w:tc>
          <w:tcPr>
            <w:tcW w:type="dxa" w:w="33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Acronym audit as a named step in Step 4</w:t>
            </w:r>
          </w:p>
        </w:tc>
        <w:tc>
          <w:tcPr>
            <w:tcW w:type="dxa" w:w="53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The rule existed four times in v3.1 and the sample still violated it; it is now a named pass with an acceptance line.</w:t>
            </w:r>
          </w:p>
        </w:tc>
        <w:tc>
          <w:tcPr>
            <w:tcW w:type="dxa" w:w="13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13.3 item 11; acceptance check 11</w:t>
            </w: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4. Where every v3.1 section went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29"/>
        <w:gridCol w:w="4451"/>
      </w:tblGrid>
      <w:tr>
        <w:trPr>
          <w:cantSplit w:val="false"/>
          <w:tblHeader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v3.1 section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v3.2 location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Instruction for users table; "Copy everything in Section 6"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Instruction for users (not part of the prompt), with the correct copy range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Role and Task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Role and Task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Core Rules: Reviewer-Comment Integration Rules (11 general rules)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3.3 (objective hierarchy), 6 (narration placement), 5.4 (Text Content structure, coherent content), 10.1 (developer-ready multimedia), 7.2 (meaningful display components), 5.2 (acronyms), 9.2 (feedback language), 4.3 (Introduction, Summary, orientation)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Core Rules: 13 component gates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8.2 component table (Compound, Scenario-Decision, Sequence, Sorting, Matching, Multi-Select, Single-Select, Timeline, Accordion, Tabs, Flip Cards, Static)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Core Rules: Conditions 9 to 1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8.1, in order 1 to 9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Core Rules: Learning Activity Selection Gate (source and output rules)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 (direct generation), 2.1 (sources, no invention, hierarchy, backward design), 2.3 (scenario realism), 3.5 (Step 2 internal), 1.3 and 5.5 (unresolved items, column separation), 4.4 (coverage map), 7.2 (meaningful action), 14.2 (QA before output)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Step 0; Reviewer Comment Resolution Workflow; Client SME Scenario Harvesting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2.1, 2.4, 2.6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Step 1 (source authority rules, workflow, required outputs)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3.1, 3.2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Step 2 Verification Gate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3.5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Step 3 wrapper ("generate the adapted project prompt")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Removed; sections A to S are presented directly as rules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Control Block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1.4, 13.1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 Single Source of Truth Stack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2.2 (merged with Layer 2 section 5)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 Craft Header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 (project frame)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 Governance Compliance and Source Control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 Instructional Design Architecture and Objective Integrity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4.1, 4.2, 4.4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Objective Coverage Map; Slide-Level Objective Discipline; Substantial Learning Content; Slide-Level Source Fidelity Gate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4.4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Content-First Slide Design Sequence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7.1 (merged with Layer 2 section 6)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 Content Quality, Language, and Cognitive Load; Narration depth requirement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5.1, 5.2, 5.3; 6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 Narration rules; Expanded Instructional Narration Standard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 UX, Accessibility, and Technical Production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11.1, 11.2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 On-Screen Layout Labeling Rule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 (replaced by the heading hierarchy; label lists retained)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 Project Title, Style, and General Developer Notes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13.1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 Storyboard Structure and Word Table Enforcement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13.2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 Multimedia Column Standard; Icon Source Verification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10.1, 10.2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 Interaction Architecture, Scenario-Rich Design, and Distribution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7.2, 7.3, 7.5, 4.2 (proportionate planning)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 Interaction Column Build-Ready Pattern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7.4, 9.4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 Learner-Facing Interaction Text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5.1, 7.4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Assessment Quality, MCQ Randomization, and Feedback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9.2, 9.3, 9.4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 Multi-State Interaction Rule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7.4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 Internal Design and Source-Control Notes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2.3, 2.4, 5.5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 Learner-Facing Column Contamination Rule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5.5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 Outputs; Part 1; Part 2; Final Output Sequence Lock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1.2, 3.4, 13.1, 13.2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Step 4 (14 items)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13.3 (merged with Layer 2 section 28)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Slide-Level Coherence and Handoff QA Gate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14.1 (merged with Layer 2 section 24)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Acceptance Checks – Fail Fast (65 bullets)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14.2 (merged with Layer 2 section 25, the Compliance Gate, and Appendix 13)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Reviewer-Comment Compliance Gate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14.2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Output Now Instruction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7. Optional Short Lead-In Prompt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Instruction for users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8. Notes for Maintaining the Generator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Section 5 of this file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Appendix 1, 1A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Appendix B1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Appendix 1B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Appendix B2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Appendices 2, 3, 4, 7A, 9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Appendix C (Slide Planning Row)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Appendix 5, 6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Appendix D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Appendix 7, 8, 10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Appendix A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Appendix 11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Appendix E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Appendix 12 Final Section Inventory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 artifact table (Included or Excluded recorded per row)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Appendix 13 Evidence-Based Production QA Checklist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14.2 (the QA record format is stated in its opening paragraph)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Appendix 14 v2.7 Conflict-Prevention Summary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Removed; each resolution is now the rule itself (9.4, 13.1, 1.2, 2.3)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Layer 2 section 1 (revision statement, purpose)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Removed (release notes)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Layer 2 section 2 (intake additions 26B to 26H)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1.4, 2.5 (what the generator reads from those intake fields)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Layer 2 section 3 (Interaction and Multimedia Core Rules)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7.4, 8.1, 8.4, 12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Layer 2 section 4 (Step 0A)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2.5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Layer 2 section 5 (authority)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2.2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Layer 2 sections 6, 7, 8, 9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7.1, 7.2, 7.3, 7.4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Layer 2 sections 10, 11, 12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8.3, 8.4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Layer 2 sections 13, 14, 15, 16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10.1, 10.2, 10.3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Layer 2 sections 17, 18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9.1, 9.2, 4.2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Layer 2 section 19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Layer 2 section 20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Layer 2 section 21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8.5, 5.4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Layer 2 section 22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13.1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Layer 2 section 23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Appendix C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Layer 2 sections 24, 25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14.1, 14.2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Layer 2 section 26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Appendix F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Layer 2 section 27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8.2 (marked provisional, Development validation required)</w:t>
            </w:r>
          </w:p>
        </w:tc>
      </w:tr>
      <w:tr>
        <w:trPr>
          <w:cantSplit w:val="false"/>
          <w:tblHeader w:val="false"/>
        </w:trPr>
        <w:tc>
          <w:tcPr>
            <w:tcW w:type="dxa" w:w="5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Layer 2 sections 28, 29; Final Governing Standard</w:t>
            </w:r>
          </w:p>
        </w:tc>
        <w:tc>
          <w:tcPr>
            <w:tcW w:type="dxa" w:w="44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13.3; 1.1; Role and Task (responsibilities)</w:t>
            </w: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5. Notes for maintaining the generator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the generator project-agnostic. Do not hard-code project names, domain references, scenario details, template filenames, or source inventories unless supplied in the intake. DominKnow, the LSC writing standard, CAF/DND terminology, and the Style block typography are deliberate defaults for the current production environment; change them in 1.4, 5.1, and 13.1 if the environment changes.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Maintain the verification gate as an internal quality-control checkpoint. Display it only when the user explicitly requests objective review or a critical blocking gap prevents accurate generation.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When a project has mandatory production rules, add them through the intake rather than editing the reusable master generator.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When a project specifies a different authoring tool, supply its approved component reference in intake item 26B; section 1.4 applies the DominKnow rules to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When a project specifies Word storyboard output, section 13.2 enforces explicit table borders, label formatting, template preservation, and final validation.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When a project includes narration or facilitator scripting, section 6 applies (narration depth, placement, answer-leak prevention). If a project has no narration, keep section 6 marked "if in scope" rather than deleting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When a project includes scored MCQs, section 9.4 preserves A/B/C/D labels for the authored key, requires the Randomize options and Correct answer text notation, and keeps written feedback valid under randomization.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a client requires a different storyboard structure, replace the five-column rule in 13.2 through the intake only.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no legacy material was reviewed, the Legacy Disposition Summary states "No legacy material reviewed".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Periodically update the accessibility wording in section 11 to align with the organization's current accessibility standard and production environment.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Editing discipline: every rule has one home and at most one acceptance line. When adding a rule, add it in one section and add one line to 14.2. When changing a rule, change it in its home and its acceptance line and nowhere else. Do not append revision packages; integrate them.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Before each release, re-run the checks that produced this version: search for duplicate statements of the same rule, search for a rule and its acceptance line disagreeing, and confirm that every template in the appendices matches the field spellings in sections 9.4 and 10.1.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  <w:lvl w:ilvl="2" w15:tentative="1">
      <w:start w:val="1"/>
      <w:numFmt w:val="bullet"/>
      <w:lvlText w:val="·"/>
      <w:lvlJc w:val="left"/>
      <w:pPr>
        <w:ind w:left="162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5C8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v3.2 change log and crosswalk</dc:title>
  <dc:creator>Storyboard Generator maintainer</dc:creator>
  <cp:lastModifiedBy>Un-named</cp:lastModifiedBy>
  <cp:revision>1</cp:revision>
  <dcterms:created xsi:type="dcterms:W3CDTF">2026-09-12T13:07:35.253Z</dcterms:created>
  <dcterms:modified xsi:type="dcterms:W3CDTF">2026-09-12T13:07:35.253Z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