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MOD 13 DMCPG-5 — Bloom-Ladder Placement Design (v6)</w:t>
      </w:r>
    </w:p>
    <w:p>
      <w:pPr>
        <w:spacing w:after="120" w:before="40" w:line="259"/>
      </w:pPr>
      <w:r>
        <w:t xml:space="preserve">Replaces the confidence-based gates of v4 with one course-front scenario placement test measuring mastery level per sub-objective on Bloom’s taxonomy. All other v4 content (teach, worked examples, practice, item bank, summary) is unchanged; this document specifies the new placement test, scoring, routing and reporting. v6 keeps the v5 design and item wording verbatim and adds the build-level detail a developer needs on the approved platform: misconception-tag registry (§9), refutation-card copy (§10), screens, variables and logic (§11), and an acceptance checklist (§12). A click-through HTML prototype of every screen and rule accompanies this document (adaptive-training/prototype/index.html in the project repository); where they disagree, this document governs.</w:t>
      </w:r>
    </w:p>
    <w:p>
      <w:pPr>
        <w:pStyle w:val="Heading1"/>
        <w:spacing w:after="120" w:before="280"/>
      </w:pPr>
      <w:r>
        <w:t xml:space="preserve">1. Why this replaces confidence rating</w:t>
      </w:r>
    </w:p>
    <w:p>
      <w:pPr>
        <w:spacing w:after="120" w:before="40" w:line="259"/>
      </w:pPr>
      <w:r>
        <w:t xml:space="preserve">Confidence self-report is cheap but hard to trust: learners are unevenly calibrated, and the measure is an inference about their state. The Bloom ladder measures mastery directly: each sub-objective is tested by a chunk of three questions inside one scenario, climbing Remember/Understand → Apply → Analyze/Evaluate. The learner’s mastery level is simply the highest rung they can pass — an observable, not a self-report. It also produces a 0–3 scale per sub-objective, which is more granular than v4’s three routes and directly reportable as pre/post growth.</w:t>
      </w:r>
    </w:p>
    <w:p>
      <w:pPr>
        <w:pStyle w:val="Heading1"/>
        <w:spacing w:after="120" w:before="280"/>
      </w:pPr>
      <w:r>
        <w:t xml:space="preserve">2. The mastery metric (what makes it measurable)</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7000"/>
      </w:tblGrid>
      <w:tr>
        <w:trPr>
          <w:tblHeader/>
        </w:trPr>
        <w:tc>
          <w:tcPr>
            <w:tcW w:type="dxa" w:w="2200"/>
            <w:shd w:fill="D9E2F3" w:val="clear"/>
            <w:tcMar>
              <w:top w:type="dxa" w:w="40"/>
              <w:left w:type="dxa" w:w="100"/>
              <w:bottom w:type="dxa" w:w="40"/>
              <w:right w:type="dxa" w:w="100"/>
            </w:tcMar>
            <w:vAlign w:val="top"/>
          </w:tcPr>
          <w:p>
            <w:pPr>
              <w:spacing w:after="20" w:before="20" w:line="240"/>
            </w:pPr>
            <w:r>
              <w:rPr>
                <w:b/>
                <w:bCs/>
              </w:rPr>
              <w:t xml:space="preserve">Level</w:t>
            </w:r>
          </w:p>
        </w:tc>
        <w:tc>
          <w:tcPr>
            <w:tcW w:type="dxa" w:w="4200"/>
            <w:shd w:fill="D9E2F3" w:val="clear"/>
            <w:tcMar>
              <w:top w:type="dxa" w:w="40"/>
              <w:left w:type="dxa" w:w="100"/>
              <w:bottom w:type="dxa" w:w="40"/>
              <w:right w:type="dxa" w:w="100"/>
            </w:tcMar>
            <w:vAlign w:val="top"/>
          </w:tcPr>
          <w:p>
            <w:pPr>
              <w:spacing w:after="20" w:before="20" w:line="240"/>
            </w:pPr>
            <w:r>
              <w:rPr>
                <w:b/>
                <w:bCs/>
              </w:rPr>
              <w:t xml:space="preserve">Definition</w:t>
            </w:r>
          </w:p>
        </w:tc>
        <w:tc>
          <w:tcPr>
            <w:tcW w:type="dxa" w:w="7000"/>
            <w:shd w:fill="D9E2F3" w:val="clear"/>
            <w:tcMar>
              <w:top w:type="dxa" w:w="40"/>
              <w:left w:type="dxa" w:w="100"/>
              <w:bottom w:type="dxa" w:w="40"/>
              <w:right w:type="dxa" w:w="100"/>
            </w:tcMar>
            <w:vAlign w:val="top"/>
          </w:tcPr>
          <w:p>
            <w:pPr>
              <w:spacing w:after="20" w:before="20" w:line="240"/>
            </w:pPr>
            <w:r>
              <w:rPr>
                <w:b/>
                <w:bCs/>
              </w:rPr>
              <w:t xml:space="preserve">Operational rule</w:t>
            </w:r>
          </w:p>
        </w:tc>
      </w:tr>
      <w:tr>
        <w:tc>
          <w:tcPr>
            <w:tcW w:type="dxa" w:w="2200"/>
            <w:tcMar>
              <w:top w:type="dxa" w:w="40"/>
              <w:left w:type="dxa" w:w="100"/>
              <w:bottom w:type="dxa" w:w="40"/>
              <w:right w:type="dxa" w:w="100"/>
            </w:tcMar>
            <w:vAlign w:val="top"/>
          </w:tcPr>
          <w:p>
            <w:pPr>
              <w:spacing w:after="20" w:before="20" w:line="240"/>
            </w:pPr>
            <w:r>
              <w:rPr>
                <w:b/>
                <w:bCs/>
              </w:rPr>
              <w:t xml:space="preserve">L3 Analyze / Evaluate</w:t>
            </w:r>
          </w:p>
        </w:tc>
        <w:tc>
          <w:tcPr>
            <w:tcW w:type="dxa" w:w="4200"/>
            <w:tcMar>
              <w:top w:type="dxa" w:w="40"/>
              <w:left w:type="dxa" w:w="100"/>
              <w:bottom w:type="dxa" w:w="40"/>
              <w:right w:type="dxa" w:w="100"/>
            </w:tcMar>
            <w:vAlign w:val="top"/>
          </w:tcPr>
          <w:p>
            <w:pPr>
              <w:spacing w:after="20" w:before="20" w:line="240"/>
            </w:pPr>
            <w:r>
              <w:t xml:space="preserve">Judges the best action, sequences the process, resolves a complication</w:t>
            </w:r>
          </w:p>
        </w:tc>
        <w:tc>
          <w:tcPr>
            <w:tcW w:type="dxa" w:w="7000"/>
            <w:tcMar>
              <w:top w:type="dxa" w:w="40"/>
              <w:left w:type="dxa" w:w="100"/>
              <w:bottom w:type="dxa" w:w="40"/>
              <w:right w:type="dxa" w:w="100"/>
            </w:tcMar>
            <w:vAlign w:val="top"/>
          </w:tcPr>
          <w:p>
            <w:pPr>
              <w:spacing w:after="20" w:before="20" w:line="240"/>
            </w:pPr>
            <w:r>
              <w:t xml:space="preserve">Q1, Q2 and Q3 all correct</w:t>
            </w:r>
          </w:p>
        </w:tc>
      </w:tr>
      <w:tr>
        <w:tc>
          <w:tcPr>
            <w:tcW w:type="dxa" w:w="2200"/>
            <w:tcMar>
              <w:top w:type="dxa" w:w="40"/>
              <w:left w:type="dxa" w:w="100"/>
              <w:bottom w:type="dxa" w:w="40"/>
              <w:right w:type="dxa" w:w="100"/>
            </w:tcMar>
            <w:vAlign w:val="top"/>
          </w:tcPr>
          <w:p>
            <w:pPr>
              <w:spacing w:after="20" w:before="20" w:line="240"/>
            </w:pPr>
            <w:r>
              <w:rPr>
                <w:b/>
                <w:bCs/>
              </w:rPr>
              <w:t xml:space="preserve">L2 Apply</w:t>
            </w:r>
          </w:p>
        </w:tc>
        <w:tc>
          <w:tcPr>
            <w:tcW w:type="dxa" w:w="4200"/>
            <w:tcMar>
              <w:top w:type="dxa" w:w="40"/>
              <w:left w:type="dxa" w:w="100"/>
              <w:bottom w:type="dxa" w:w="40"/>
              <w:right w:type="dxa" w:w="100"/>
            </w:tcMar>
            <w:vAlign w:val="top"/>
          </w:tcPr>
          <w:p>
            <w:pPr>
              <w:spacing w:after="20" w:before="20" w:line="240"/>
            </w:pPr>
            <w:r>
              <w:t xml:space="preserve">Acts correctly on the rule in a routine case</w:t>
            </w:r>
          </w:p>
        </w:tc>
        <w:tc>
          <w:tcPr>
            <w:tcW w:type="dxa" w:w="7000"/>
            <w:tcMar>
              <w:top w:type="dxa" w:w="40"/>
              <w:left w:type="dxa" w:w="100"/>
              <w:bottom w:type="dxa" w:w="40"/>
              <w:right w:type="dxa" w:w="100"/>
            </w:tcMar>
            <w:vAlign w:val="top"/>
          </w:tcPr>
          <w:p>
            <w:pPr>
              <w:spacing w:after="20" w:before="20" w:line="240"/>
            </w:pPr>
            <w:r>
              <w:t xml:space="preserve">Q1 and Q2 correct; Q3 incorrect</w:t>
            </w:r>
          </w:p>
        </w:tc>
      </w:tr>
      <w:tr>
        <w:tc>
          <w:tcPr>
            <w:tcW w:type="dxa" w:w="2200"/>
            <w:tcMar>
              <w:top w:type="dxa" w:w="40"/>
              <w:left w:type="dxa" w:w="100"/>
              <w:bottom w:type="dxa" w:w="40"/>
              <w:right w:type="dxa" w:w="100"/>
            </w:tcMar>
            <w:vAlign w:val="top"/>
          </w:tcPr>
          <w:p>
            <w:pPr>
              <w:spacing w:after="20" w:before="20" w:line="240"/>
            </w:pPr>
            <w:r>
              <w:rPr>
                <w:b/>
                <w:bCs/>
              </w:rPr>
              <w:t xml:space="preserve">L1 Remember / Understand</w:t>
            </w:r>
          </w:p>
        </w:tc>
        <w:tc>
          <w:tcPr>
            <w:tcW w:type="dxa" w:w="4200"/>
            <w:tcMar>
              <w:top w:type="dxa" w:w="40"/>
              <w:left w:type="dxa" w:w="100"/>
              <w:bottom w:type="dxa" w:w="40"/>
              <w:right w:type="dxa" w:w="100"/>
            </w:tcMar>
            <w:vAlign w:val="top"/>
          </w:tcPr>
          <w:p>
            <w:pPr>
              <w:spacing w:after="20" w:before="20" w:line="240"/>
            </w:pPr>
            <w:r>
              <w:t xml:space="preserve">Identifies the concept, trigger or fact in context</w:t>
            </w:r>
          </w:p>
        </w:tc>
        <w:tc>
          <w:tcPr>
            <w:tcW w:type="dxa" w:w="7000"/>
            <w:tcMar>
              <w:top w:type="dxa" w:w="40"/>
              <w:left w:type="dxa" w:w="100"/>
              <w:bottom w:type="dxa" w:w="40"/>
              <w:right w:type="dxa" w:w="100"/>
            </w:tcMar>
            <w:vAlign w:val="top"/>
          </w:tcPr>
          <w:p>
            <w:pPr>
              <w:spacing w:after="20" w:before="20" w:line="240"/>
            </w:pPr>
            <w:r>
              <w:t xml:space="preserve">Q1 correct; Q2 incorrect</w:t>
            </w:r>
          </w:p>
        </w:tc>
      </w:tr>
      <w:tr>
        <w:tc>
          <w:tcPr>
            <w:tcW w:type="dxa" w:w="2200"/>
            <w:tcMar>
              <w:top w:type="dxa" w:w="40"/>
              <w:left w:type="dxa" w:w="100"/>
              <w:bottom w:type="dxa" w:w="40"/>
              <w:right w:type="dxa" w:w="100"/>
            </w:tcMar>
            <w:vAlign w:val="top"/>
          </w:tcPr>
          <w:p>
            <w:pPr>
              <w:spacing w:after="20" w:before="20" w:line="240"/>
            </w:pPr>
            <w:r>
              <w:rPr>
                <w:b/>
                <w:bCs/>
              </w:rPr>
              <w:t xml:space="preserve">L0 Below threshold</w:t>
            </w:r>
          </w:p>
        </w:tc>
        <w:tc>
          <w:tcPr>
            <w:tcW w:type="dxa" w:w="4200"/>
            <w:tcMar>
              <w:top w:type="dxa" w:w="40"/>
              <w:left w:type="dxa" w:w="100"/>
              <w:bottom w:type="dxa" w:w="40"/>
              <w:right w:type="dxa" w:w="100"/>
            </w:tcMar>
            <w:vAlign w:val="top"/>
          </w:tcPr>
          <w:p>
            <w:pPr>
              <w:spacing w:after="20" w:before="20" w:line="240"/>
            </w:pPr>
            <w:r>
              <w:t xml:space="preserve">Cannot identify the concept in context</w:t>
            </w:r>
          </w:p>
        </w:tc>
        <w:tc>
          <w:tcPr>
            <w:tcW w:type="dxa" w:w="7000"/>
            <w:tcMar>
              <w:top w:type="dxa" w:w="40"/>
              <w:left w:type="dxa" w:w="100"/>
              <w:bottom w:type="dxa" w:w="40"/>
              <w:right w:type="dxa" w:w="100"/>
            </w:tcMar>
            <w:vAlign w:val="top"/>
          </w:tcPr>
          <w:p>
            <w:pPr>
              <w:spacing w:after="20" w:before="20" w:line="240"/>
            </w:pPr>
            <w:r>
              <w:t xml:space="preserve">Q1 incorrect</w:t>
            </w:r>
          </w:p>
        </w:tc>
      </w:tr>
    </w:tbl>
    <w:p>
      <w:pPr>
        <w:spacing w:after="120" w:before="120" w:line="259"/>
      </w:pPr>
      <w:r>
        <w:rPr>
          <w:b/>
          <w:bCs/>
        </w:rPr>
        <w:t xml:space="preserve">Consecutive-pass (Guttman) rule: </w:t>
      </w:r>
      <w:r>
        <w:t xml:space="preserve">a level only counts if every level below it is also passed. </w:t>
      </w:r>
      <w:r>
        <w:rPr>
          <w:b/>
          <w:bCs/>
        </w:rPr>
        <w:t xml:space="preserve">Anomaly rule: </w:t>
      </w:r>
      <w:r>
        <w:t xml:space="preserve">if a learner fails a lower rung but passes a higher one (statistically rare), route to the lowest failed level — the design never over-credits. Implementation: level = number of consecutive passes counting up from Q1; stop at the first failure. No self-report enters the score.</w:t>
      </w:r>
    </w:p>
    <w:p>
      <w:pPr>
        <w:pStyle w:val="Heading1"/>
        <w:spacing w:after="120" w:before="280"/>
      </w:pPr>
      <w:r>
        <w:t xml:space="preserve">3. Placement test structure</w:t>
      </w:r>
    </w:p>
    <w:p>
      <w:pPr>
        <w:spacing w:after="120" w:before="40" w:line="259"/>
      </w:pPr>
      <w:r>
        <w:t xml:space="preserve">One placement event at the very start of the course (after slide 0.3), before any instruction — no duplicated per-module design.</w:t>
      </w:r>
    </w:p>
    <w:p>
      <w:pPr>
        <w:spacing w:after="120" w:before="40" w:line="259"/>
      </w:pPr>
      <w:r>
        <w:t xml:space="preserve">Four scenario blocks, one per sub-objective. Each block is a single realistic case with three questions climbing the ladder. 12 questions total, ~6–8 minutes.</w:t>
      </w:r>
    </w:p>
    <w:p>
      <w:pPr>
        <w:spacing w:after="120" w:before="40" w:line="259"/>
      </w:pPr>
      <w:r>
        <w:t xml:space="preserve">Question stems within a block are answerable independently (no question reveals another’s answer), which controls the testlet-dependency problem of scenario sets.</w:t>
      </w:r>
    </w:p>
    <w:p>
      <w:pPr>
        <w:spacing w:after="120" w:before="40" w:line="259"/>
      </w:pPr>
      <w:r>
        <w:t xml:space="preserve">One attempt per question; no feedback during placement; options randomized (sequence items excepted). All results write variables v_SO1_L … v_SO4_L.</w:t>
      </w:r>
    </w:p>
    <w:p>
      <w:pPr>
        <w:spacing w:after="120" w:before="40" w:line="259"/>
      </w:pPr>
      <w:r>
        <w:t xml:space="preserve">dominKnow build: the placement is a scored question-page module (M-P), not the native per-module pre-test feature (which is module-bound and binary). Routing uses variables + conditional navigation. Fallback Tier A: revert to native per-module gates with Skip Content if Passed (v2 pattern) — content is authored once either way.</w:t>
      </w:r>
    </w:p>
    <w:p>
      <w:pPr>
        <w:spacing w:after="120" w:before="40" w:line="259"/>
      </w:pPr>
      <w:r>
        <w:t xml:space="preserve">For a multi-module course, the same pattern scales: one scenario block per module’s broad objective in a single course-front placement, or blocks grouped per module if the course is long (placement fatigue above ~20 minutes outweighs the benefit).</w:t>
      </w:r>
    </w:p>
    <w:p>
      <w:pPr>
        <w:pStyle w:val="Heading1"/>
        <w:spacing w:after="120" w:before="280"/>
      </w:pPr>
      <w:r>
        <w:t xml:space="preserve">4. Routing map (placement level → entry point in v4 storyboard)</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00"/>
        <w:gridCol w:w="4400"/>
      </w:tblGrid>
      <w:tr>
        <w:trPr>
          <w:tblHeader/>
        </w:trPr>
        <w:tc>
          <w:tcPr>
            <w:tcW w:type="dxa" w:w="1700"/>
            <w:shd w:fill="D9E2F3" w:val="clear"/>
            <w:tcMar>
              <w:top w:type="dxa" w:w="40"/>
              <w:left w:type="dxa" w:w="100"/>
              <w:bottom w:type="dxa" w:w="40"/>
              <w:right w:type="dxa" w:w="100"/>
            </w:tcMar>
            <w:vAlign w:val="top"/>
          </w:tcPr>
          <w:p>
            <w:pPr>
              <w:spacing w:after="20" w:before="20" w:line="240"/>
            </w:pPr>
            <w:r>
              <w:rPr>
                <w:b/>
                <w:bCs/>
              </w:rPr>
              <w:t xml:space="preserve">Level</w:t>
            </w:r>
          </w:p>
        </w:tc>
        <w:tc>
          <w:tcPr>
            <w:tcW w:type="dxa" w:w="2600"/>
            <w:shd w:fill="D9E2F3" w:val="clear"/>
            <w:tcMar>
              <w:top w:type="dxa" w:w="40"/>
              <w:left w:type="dxa" w:w="100"/>
              <w:bottom w:type="dxa" w:w="40"/>
              <w:right w:type="dxa" w:w="100"/>
            </w:tcMar>
            <w:vAlign w:val="top"/>
          </w:tcPr>
          <w:p>
            <w:pPr>
              <w:spacing w:after="20" w:before="20" w:line="240"/>
            </w:pPr>
            <w:r>
              <w:rPr>
                <w:b/>
                <w:bCs/>
              </w:rPr>
              <w:t xml:space="preserve">Route</w:t>
            </w:r>
          </w:p>
        </w:tc>
        <w:tc>
          <w:tcPr>
            <w:tcW w:type="dxa" w:w="4700"/>
            <w:shd w:fill="D9E2F3" w:val="clear"/>
            <w:tcMar>
              <w:top w:type="dxa" w:w="40"/>
              <w:left w:type="dxa" w:w="100"/>
              <w:bottom w:type="dxa" w:w="40"/>
              <w:right w:type="dxa" w:w="100"/>
            </w:tcMar>
            <w:vAlign w:val="top"/>
          </w:tcPr>
          <w:p>
            <w:pPr>
              <w:spacing w:after="20" w:before="20" w:line="240"/>
            </w:pPr>
            <w:r>
              <w:rPr>
                <w:b/>
                <w:bCs/>
              </w:rPr>
              <w:t xml:space="preserve">Entry point (v4 slide)</w:t>
            </w:r>
          </w:p>
        </w:tc>
        <w:tc>
          <w:tcPr>
            <w:tcW w:type="dxa" w:w="4400"/>
            <w:shd w:fill="D9E2F3" w:val="clear"/>
            <w:tcMar>
              <w:top w:type="dxa" w:w="40"/>
              <w:left w:type="dxa" w:w="100"/>
              <w:bottom w:type="dxa" w:w="40"/>
              <w:right w:type="dxa" w:w="100"/>
            </w:tcMar>
            <w:vAlign w:val="top"/>
          </w:tcPr>
          <w:p>
            <w:pPr>
              <w:spacing w:after="20" w:before="20" w:line="240"/>
            </w:pPr>
            <w:r>
              <w:rPr>
                <w:b/>
                <w:bCs/>
              </w:rPr>
              <w:t xml:space="preserve">What is skipped</w:t>
            </w:r>
          </w:p>
        </w:tc>
      </w:tr>
      <w:tr>
        <w:tc>
          <w:tcPr>
            <w:tcW w:type="dxa" w:w="1700"/>
            <w:tcMar>
              <w:top w:type="dxa" w:w="40"/>
              <w:left w:type="dxa" w:w="100"/>
              <w:bottom w:type="dxa" w:w="40"/>
              <w:right w:type="dxa" w:w="100"/>
            </w:tcMar>
            <w:vAlign w:val="top"/>
          </w:tcPr>
          <w:p>
            <w:pPr>
              <w:spacing w:after="20" w:before="20" w:line="240"/>
            </w:pPr>
            <w:r>
              <w:rPr>
                <w:b/>
                <w:bCs/>
              </w:rPr>
              <w:t xml:space="preserve">L3</w:t>
            </w:r>
          </w:p>
        </w:tc>
        <w:tc>
          <w:tcPr>
            <w:tcW w:type="dxa" w:w="2600"/>
            <w:tcMar>
              <w:top w:type="dxa" w:w="40"/>
              <w:left w:type="dxa" w:w="100"/>
              <w:bottom w:type="dxa" w:w="40"/>
              <w:right w:type="dxa" w:w="100"/>
            </w:tcMar>
            <w:vAlign w:val="top"/>
          </w:tcPr>
          <w:p>
            <w:pPr>
              <w:spacing w:after="20" w:before="20" w:line="240"/>
            </w:pPr>
            <w:r>
              <w:t xml:space="preserve">SKIP</w:t>
            </w:r>
          </w:p>
        </w:tc>
        <w:tc>
          <w:tcPr>
            <w:tcW w:type="dxa" w:w="4700"/>
            <w:tcMar>
              <w:top w:type="dxa" w:w="40"/>
              <w:left w:type="dxa" w:w="100"/>
              <w:bottom w:type="dxa" w:w="40"/>
              <w:right w:type="dxa" w:w="100"/>
            </w:tcMar>
            <w:vAlign w:val="top"/>
          </w:tcPr>
          <w:p>
            <w:pPr>
              <w:spacing w:after="20" w:before="20" w:line="240"/>
            </w:pPr>
            <w:r>
              <w:t xml:space="preserve">Next scenario block / next section</w:t>
            </w:r>
          </w:p>
        </w:tc>
        <w:tc>
          <w:tcPr>
            <w:tcW w:type="dxa" w:w="4400"/>
            <w:tcMar>
              <w:top w:type="dxa" w:w="40"/>
              <w:left w:type="dxa" w:w="100"/>
              <w:bottom w:type="dxa" w:w="40"/>
              <w:right w:type="dxa" w:w="100"/>
            </w:tcMar>
            <w:vAlign w:val="top"/>
          </w:tcPr>
          <w:p>
            <w:pPr>
              <w:spacing w:after="20" w:before="20" w:line="240"/>
            </w:pPr>
            <w:r>
              <w:t xml:space="preserve">Entire section; credited 100%</w:t>
            </w:r>
          </w:p>
        </w:tc>
      </w:tr>
      <w:tr>
        <w:tc>
          <w:tcPr>
            <w:tcW w:type="dxa" w:w="1700"/>
            <w:tcMar>
              <w:top w:type="dxa" w:w="40"/>
              <w:left w:type="dxa" w:w="100"/>
              <w:bottom w:type="dxa" w:w="40"/>
              <w:right w:type="dxa" w:w="100"/>
            </w:tcMar>
            <w:vAlign w:val="top"/>
          </w:tcPr>
          <w:p>
            <w:pPr>
              <w:spacing w:after="20" w:before="20" w:line="240"/>
            </w:pPr>
            <w:r>
              <w:rPr>
                <w:b/>
                <w:bCs/>
              </w:rPr>
              <w:t xml:space="preserve">L2</w:t>
            </w:r>
          </w:p>
        </w:tc>
        <w:tc>
          <w:tcPr>
            <w:tcW w:type="dxa" w:w="2600"/>
            <w:tcMar>
              <w:top w:type="dxa" w:w="40"/>
              <w:left w:type="dxa" w:w="100"/>
              <w:bottom w:type="dxa" w:w="40"/>
              <w:right w:type="dxa" w:w="100"/>
            </w:tcMar>
            <w:vAlign w:val="top"/>
          </w:tcPr>
          <w:p>
            <w:pPr>
              <w:spacing w:after="20" w:before="20" w:line="240"/>
            </w:pPr>
            <w:r>
              <w:t xml:space="preserve">POLISH</w:t>
            </w:r>
          </w:p>
        </w:tc>
        <w:tc>
          <w:tcPr>
            <w:tcW w:type="dxa" w:w="4700"/>
            <w:tcMar>
              <w:top w:type="dxa" w:w="40"/>
              <w:left w:type="dxa" w:w="100"/>
              <w:bottom w:type="dxa" w:w="40"/>
              <w:right w:type="dxa" w:w="100"/>
            </w:tcMar>
            <w:vAlign w:val="top"/>
          </w:tcPr>
          <w:p>
            <w:pPr>
              <w:spacing w:after="20" w:before="20" w:line="240"/>
            </w:pPr>
            <w:r>
              <w:t xml:space="preserve">Full-problem practice (1.5 / 2.5 / 3.4 / 4.4) → Section Test</w:t>
            </w:r>
          </w:p>
        </w:tc>
        <w:tc>
          <w:tcPr>
            <w:tcW w:type="dxa" w:w="4400"/>
            <w:tcMar>
              <w:top w:type="dxa" w:w="40"/>
              <w:left w:type="dxa" w:w="100"/>
              <w:bottom w:type="dxa" w:w="40"/>
              <w:right w:type="dxa" w:w="100"/>
            </w:tcMar>
            <w:vAlign w:val="top"/>
          </w:tcPr>
          <w:p>
            <w:pPr>
              <w:spacing w:after="20" w:before="20" w:line="240"/>
            </w:pPr>
            <w:r>
              <w:t xml:space="preserve">Teach, worked example, completion practice</w:t>
            </w:r>
          </w:p>
        </w:tc>
      </w:tr>
      <w:tr>
        <w:tc>
          <w:tcPr>
            <w:tcW w:type="dxa" w:w="1700"/>
            <w:tcMar>
              <w:top w:type="dxa" w:w="40"/>
              <w:left w:type="dxa" w:w="100"/>
              <w:bottom w:type="dxa" w:w="40"/>
              <w:right w:type="dxa" w:w="100"/>
            </w:tcMar>
            <w:vAlign w:val="top"/>
          </w:tcPr>
          <w:p>
            <w:pPr>
              <w:spacing w:after="20" w:before="20" w:line="240"/>
            </w:pPr>
            <w:r>
              <w:rPr>
                <w:b/>
                <w:bCs/>
              </w:rPr>
              <w:t xml:space="preserve">L1</w:t>
            </w:r>
          </w:p>
        </w:tc>
        <w:tc>
          <w:tcPr>
            <w:tcW w:type="dxa" w:w="2600"/>
            <w:tcMar>
              <w:top w:type="dxa" w:w="40"/>
              <w:left w:type="dxa" w:w="100"/>
              <w:bottom w:type="dxa" w:w="40"/>
              <w:right w:type="dxa" w:w="100"/>
            </w:tcMar>
            <w:vAlign w:val="top"/>
          </w:tcPr>
          <w:p>
            <w:pPr>
              <w:spacing w:after="20" w:before="20" w:line="240"/>
            </w:pPr>
            <w:r>
              <w:t xml:space="preserve">PRACTICE</w:t>
            </w:r>
          </w:p>
        </w:tc>
        <w:tc>
          <w:tcPr>
            <w:tcW w:type="dxa" w:w="4700"/>
            <w:tcMar>
              <w:top w:type="dxa" w:w="40"/>
              <w:left w:type="dxa" w:w="100"/>
              <w:bottom w:type="dxa" w:w="40"/>
              <w:right w:type="dxa" w:w="100"/>
            </w:tcMar>
            <w:vAlign w:val="top"/>
          </w:tcPr>
          <w:p>
            <w:pPr>
              <w:spacing w:after="20" w:before="20" w:line="240"/>
            </w:pPr>
            <w:r>
              <w:t xml:space="preserve">Completion practice (1.4 / 2.4 / 3.3 / 4.3) → full problem → Section Test</w:t>
            </w:r>
          </w:p>
        </w:tc>
        <w:tc>
          <w:tcPr>
            <w:tcW w:type="dxa" w:w="4400"/>
            <w:tcMar>
              <w:top w:type="dxa" w:w="40"/>
              <w:left w:type="dxa" w:w="100"/>
              <w:bottom w:type="dxa" w:w="40"/>
              <w:right w:type="dxa" w:w="100"/>
            </w:tcMar>
            <w:vAlign w:val="top"/>
          </w:tcPr>
          <w:p>
            <w:pPr>
              <w:spacing w:after="20" w:before="20" w:line="240"/>
            </w:pPr>
            <w:r>
              <w:t xml:space="preserve">Teach pages and worked example</w:t>
            </w:r>
          </w:p>
        </w:tc>
      </w:tr>
      <w:tr>
        <w:tc>
          <w:tcPr>
            <w:tcW w:type="dxa" w:w="1700"/>
            <w:tcMar>
              <w:top w:type="dxa" w:w="40"/>
              <w:left w:type="dxa" w:w="100"/>
              <w:bottom w:type="dxa" w:w="40"/>
              <w:right w:type="dxa" w:w="100"/>
            </w:tcMar>
            <w:vAlign w:val="top"/>
          </w:tcPr>
          <w:p>
            <w:pPr>
              <w:spacing w:after="20" w:before="20" w:line="240"/>
            </w:pPr>
            <w:r>
              <w:rPr>
                <w:b/>
                <w:bCs/>
              </w:rPr>
              <w:t xml:space="preserve">L0</w:t>
            </w:r>
          </w:p>
        </w:tc>
        <w:tc>
          <w:tcPr>
            <w:tcW w:type="dxa" w:w="2600"/>
            <w:tcMar>
              <w:top w:type="dxa" w:w="40"/>
              <w:left w:type="dxa" w:w="100"/>
              <w:bottom w:type="dxa" w:w="40"/>
              <w:right w:type="dxa" w:w="100"/>
            </w:tcMar>
            <w:vAlign w:val="top"/>
          </w:tcPr>
          <w:p>
            <w:pPr>
              <w:spacing w:after="20" w:before="20" w:line="240"/>
            </w:pPr>
            <w:r>
              <w:t xml:space="preserve">FULL</w:t>
            </w:r>
          </w:p>
        </w:tc>
        <w:tc>
          <w:tcPr>
            <w:tcW w:type="dxa" w:w="4700"/>
            <w:tcMar>
              <w:top w:type="dxa" w:w="40"/>
              <w:left w:type="dxa" w:w="100"/>
              <w:bottom w:type="dxa" w:w="40"/>
              <w:right w:type="dxa" w:w="100"/>
            </w:tcMar>
            <w:vAlign w:val="top"/>
          </w:tcPr>
          <w:p>
            <w:pPr>
              <w:spacing w:after="20" w:before="20" w:line="240"/>
            </w:pPr>
            <w:r>
              <w:t xml:space="preserve">Teach (1.1 / 2.1 / 3.1 / 4.1) → worked example → completion → full problem → Section Test</w:t>
            </w:r>
          </w:p>
        </w:tc>
        <w:tc>
          <w:tcPr>
            <w:tcW w:type="dxa" w:w="4400"/>
            <w:tcMar>
              <w:top w:type="dxa" w:w="40"/>
              <w:left w:type="dxa" w:w="100"/>
              <w:bottom w:type="dxa" w:w="40"/>
              <w:right w:type="dxa" w:w="100"/>
            </w:tcMar>
            <w:vAlign w:val="top"/>
          </w:tcPr>
          <w:p>
            <w:pPr>
              <w:spacing w:after="20" w:before="20" w:line="240"/>
            </w:pPr>
            <w:r>
              <w:t xml:space="preserve">Nothing</w:t>
            </w:r>
          </w:p>
        </w:tc>
      </w:tr>
    </w:tbl>
    <w:p>
      <w:pPr>
        <w:spacing w:after="120" w:before="120" w:line="259"/>
      </w:pPr>
      <w:r>
        <w:t xml:space="preserve">Refutation cards (1.R–4.R) are now triggered by the distractor chosen, not by confidence: each L-determining wrong answer carries a misconception tag, and if a tagged distractor was selected anywhere in the block, the matching refutation card opens the learner’s route. Section tests, remediation loop, spiral review and booster are unchanged from v4.</w:t>
      </w:r>
    </w:p>
    <w:p>
      <w:pPr>
        <w:pStyle w:val="Heading1"/>
        <w:spacing w:after="120" w:before="280"/>
      </w:pPr>
      <w:r>
        <w:t xml:space="preserve">5. The Placement Test — full content</w:t>
      </w:r>
    </w:p>
    <w:p>
      <w:pPr>
        <w:spacing w:after="120" w:before="40" w:line="259"/>
      </w:pPr>
      <w:r>
        <w:t xml:space="preserve">Item IDs use form p (placement). Section tests keep v4 form-b items, extended with the four Q3-level items in §6 so post-test mirrors the ladder. Distractor feedback lines shown here are used later as refutation/corrective content — never shown during placement.</w:t>
      </w:r>
    </w:p>
    <w:p>
      <w:pPr>
        <w:pStyle w:val="Heading2"/>
        <w:spacing w:after="100" w:before="220"/>
      </w:pPr>
      <w:r>
        <w:t xml:space="preserve">Scenario A — SO1 Annual In-Service Programs</w:t>
      </w:r>
    </w:p>
    <w:p>
      <w:pPr>
        <w:spacing w:after="120" w:before="40" w:line="259"/>
      </w:pPr>
      <w:r>
        <w:t xml:space="preserve">Scenario (on screen throughout the block): You are the BTL Manager. Three files arrive today: MCpl Arsenault, selected for UTPNCM; Pte Béland, selected VOT-T; Lt Cormier, a qualified member under CFRP.</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200"/>
        <w:gridCol w:w="5100"/>
        <w:gridCol w:w="4600"/>
        <w:gridCol w:w="2500"/>
      </w:tblGrid>
      <w:tr>
        <w:trPr>
          <w:tblHeader/>
        </w:trPr>
        <w:tc>
          <w:tcPr>
            <w:tcW w:type="dxa" w:w="1200"/>
            <w:shd w:fill="D9E2F3" w:val="clear"/>
            <w:tcMar>
              <w:top w:type="dxa" w:w="40"/>
              <w:left w:type="dxa" w:w="100"/>
              <w:bottom w:type="dxa" w:w="40"/>
              <w:right w:type="dxa" w:w="100"/>
            </w:tcMar>
            <w:vAlign w:val="top"/>
          </w:tcPr>
          <w:p>
            <w:pPr>
              <w:spacing w:after="20" w:before="20" w:line="240"/>
            </w:pPr>
            <w:r>
              <w:rPr>
                <w:b/>
                <w:bCs/>
              </w:rPr>
              <w:t xml:space="preserve">Q (Bloom)</w:t>
            </w:r>
          </w:p>
        </w:tc>
        <w:tc>
          <w:tcPr>
            <w:tcW w:type="dxa" w:w="5100"/>
            <w:shd w:fill="D9E2F3" w:val="clear"/>
            <w:tcMar>
              <w:top w:type="dxa" w:w="40"/>
              <w:left w:type="dxa" w:w="100"/>
              <w:bottom w:type="dxa" w:w="40"/>
              <w:right w:type="dxa" w:w="100"/>
            </w:tcMar>
            <w:vAlign w:val="top"/>
          </w:tcPr>
          <w:p>
            <w:pPr>
              <w:spacing w:after="20" w:before="20" w:line="240"/>
            </w:pPr>
            <w:r>
              <w:rPr>
                <w:b/>
                <w:bCs/>
              </w:rPr>
              <w:t xml:space="preserve">Question</w:t>
            </w:r>
          </w:p>
        </w:tc>
        <w:tc>
          <w:tcPr>
            <w:tcW w:type="dxa" w:w="4600"/>
            <w:shd w:fill="D9E2F3" w:val="clear"/>
            <w:tcMar>
              <w:top w:type="dxa" w:w="40"/>
              <w:left w:type="dxa" w:w="100"/>
              <w:bottom w:type="dxa" w:w="40"/>
              <w:right w:type="dxa" w:w="100"/>
            </w:tcMar>
            <w:vAlign w:val="top"/>
          </w:tcPr>
          <w:p>
            <w:pPr>
              <w:spacing w:after="20" w:before="20" w:line="240"/>
            </w:pPr>
            <w:r>
              <w:rPr>
                <w:b/>
                <w:bCs/>
              </w:rPr>
              <w:t xml:space="preserve">Options — correct (✓); misconception tags in brackets</w:t>
            </w:r>
          </w:p>
        </w:tc>
        <w:tc>
          <w:tcPr>
            <w:tcW w:type="dxa" w:w="2500"/>
            <w:shd w:fill="D9E2F3" w:val="clear"/>
            <w:tcMar>
              <w:top w:type="dxa" w:w="40"/>
              <w:left w:type="dxa" w:w="100"/>
              <w:bottom w:type="dxa" w:w="40"/>
              <w:right w:type="dxa" w:w="100"/>
            </w:tcMar>
            <w:vAlign w:val="top"/>
          </w:tcPr>
          <w:p>
            <w:pPr>
              <w:spacing w:after="20" w:before="20" w:line="240"/>
            </w:pPr>
            <w:r>
              <w:rPr>
                <w:b/>
                <w:bCs/>
              </w:rPr>
              <w:t xml:space="preserve">Measures</w:t>
            </w:r>
          </w:p>
        </w:tc>
      </w:tr>
      <w:tr>
        <w:tc>
          <w:tcPr>
            <w:tcW w:type="dxa" w:w="1200"/>
            <w:tcMar>
              <w:top w:type="dxa" w:w="40"/>
              <w:left w:type="dxa" w:w="100"/>
              <w:bottom w:type="dxa" w:w="40"/>
              <w:right w:type="dxa" w:w="100"/>
            </w:tcMar>
            <w:vAlign w:val="top"/>
          </w:tcPr>
          <w:p>
            <w:pPr>
              <w:spacing w:after="20" w:before="20" w:line="240"/>
            </w:pPr>
            <w:r>
              <w:rPr>
                <w:b/>
                <w:bCs/>
              </w:rPr>
              <w:t xml:space="preserve">A-Q1 (Understand)</w:t>
            </w:r>
          </w:p>
        </w:tc>
        <w:tc>
          <w:tcPr>
            <w:tcW w:type="dxa" w:w="5100"/>
            <w:tcMar>
              <w:top w:type="dxa" w:w="40"/>
              <w:left w:type="dxa" w:w="100"/>
              <w:bottom w:type="dxa" w:w="40"/>
              <w:right w:type="dxa" w:w="100"/>
            </w:tcMar>
            <w:vAlign w:val="top"/>
          </w:tcPr>
          <w:p>
            <w:pPr>
              <w:spacing w:after="20" w:before="20" w:line="240"/>
            </w:pPr>
            <w:r>
              <w:t xml:space="preserve">Which of the three members will be posted to an educational institution or ULO?</w:t>
            </w:r>
          </w:p>
        </w:tc>
        <w:tc>
          <w:tcPr>
            <w:tcW w:type="dxa" w:w="4600"/>
            <w:tcMar>
              <w:top w:type="dxa" w:w="40"/>
              <w:left w:type="dxa" w:w="100"/>
              <w:bottom w:type="dxa" w:w="40"/>
              <w:right w:type="dxa" w:w="100"/>
            </w:tcMar>
            <w:vAlign w:val="top"/>
          </w:tcPr>
          <w:p>
            <w:pPr>
              <w:spacing w:after="20" w:before="20" w:line="240"/>
            </w:pPr>
            <w:r>
              <w:t xml:space="preserve">A. MCpl Arsenault (UTPNCM) (✓)</w:t>
            </w:r>
          </w:p>
          <w:p>
            <w:pPr>
              <w:spacing w:after="20" w:before="20" w:line="240"/>
            </w:pPr>
            <w:r>
              <w:t xml:space="preserve">B. Pte Béland (VOT-T) — “VOT-T members are posted to the BTL to await training.” [all-wait-on-BTL]</w:t>
            </w:r>
          </w:p>
          <w:p>
            <w:pPr>
              <w:spacing w:after="20" w:before="20" w:line="240"/>
            </w:pPr>
            <w:r>
              <w:t xml:space="preserve">C. Lt Cormier (CFRP) — “CFRP members are usually skilled and posted to BTL.”</w:t>
            </w:r>
          </w:p>
          <w:p>
            <w:pPr>
              <w:spacing w:after="20" w:before="20" w:line="240"/>
            </w:pPr>
            <w:r>
              <w:t xml:space="preserve">D. All three — [all-wait-on-BTL]</w:t>
            </w:r>
          </w:p>
        </w:tc>
        <w:tc>
          <w:tcPr>
            <w:tcW w:type="dxa" w:w="2500"/>
            <w:tcMar>
              <w:top w:type="dxa" w:w="40"/>
              <w:left w:type="dxa" w:w="100"/>
              <w:bottom w:type="dxa" w:w="40"/>
              <w:right w:type="dxa" w:w="100"/>
            </w:tcMar>
            <w:vAlign w:val="top"/>
          </w:tcPr>
          <w:p>
            <w:pPr>
              <w:spacing w:after="20" w:before="20" w:line="240"/>
            </w:pPr>
            <w:r>
              <w:t xml:space="preserve">Identify management arrangement by program</w:t>
            </w:r>
          </w:p>
        </w:tc>
      </w:tr>
      <w:tr>
        <w:tc>
          <w:tcPr>
            <w:tcW w:type="dxa" w:w="1200"/>
            <w:tcMar>
              <w:top w:type="dxa" w:w="40"/>
              <w:left w:type="dxa" w:w="100"/>
              <w:bottom w:type="dxa" w:w="40"/>
              <w:right w:type="dxa" w:w="100"/>
            </w:tcMar>
            <w:vAlign w:val="top"/>
          </w:tcPr>
          <w:p>
            <w:pPr>
              <w:spacing w:after="20" w:before="20" w:line="240"/>
            </w:pPr>
            <w:r>
              <w:rPr>
                <w:b/>
                <w:bCs/>
              </w:rPr>
              <w:t xml:space="preserve">A-Q2 (Apply)</w:t>
            </w:r>
          </w:p>
        </w:tc>
        <w:tc>
          <w:tcPr>
            <w:tcW w:type="dxa" w:w="5100"/>
            <w:tcMar>
              <w:top w:type="dxa" w:w="40"/>
              <w:left w:type="dxa" w:w="100"/>
              <w:bottom w:type="dxa" w:w="40"/>
              <w:right w:type="dxa" w:w="100"/>
            </w:tcMar>
            <w:vAlign w:val="top"/>
          </w:tcPr>
          <w:p>
            <w:pPr>
              <w:spacing w:after="20" w:before="20" w:line="240"/>
            </w:pPr>
            <w:r>
              <w:t xml:space="preserve">Pte Béland asks who will course-load him while he awaits training. What do you tell him?</w:t>
            </w:r>
          </w:p>
        </w:tc>
        <w:tc>
          <w:tcPr>
            <w:tcW w:type="dxa" w:w="4600"/>
            <w:tcMar>
              <w:top w:type="dxa" w:w="40"/>
              <w:left w:type="dxa" w:w="100"/>
              <w:bottom w:type="dxa" w:w="40"/>
              <w:right w:type="dxa" w:w="100"/>
            </w:tcMar>
            <w:vAlign w:val="top"/>
          </w:tcPr>
          <w:p>
            <w:pPr>
              <w:spacing w:after="20" w:before="20" w:line="240"/>
            </w:pPr>
            <w:r>
              <w:t xml:space="preserve">A. The BTL Manager course-loads VOT-T members on the BTL (✓)</w:t>
            </w:r>
          </w:p>
          <w:p>
            <w:pPr>
              <w:spacing w:after="20" w:before="20" w:line="240"/>
            </w:pPr>
            <w:r>
              <w:t xml:space="preserve">B. The educational institution — “Applies to UTPNCM/specialist members.”</w:t>
            </w:r>
          </w:p>
          <w:p>
            <w:pPr>
              <w:spacing w:after="20" w:before="20" w:line="240"/>
            </w:pPr>
            <w:r>
              <w:t xml:space="preserve">C. DMCPG 5-3 — “DMCPG 5-3 does not manage members.” [DMCPG-manages]</w:t>
            </w:r>
          </w:p>
          <w:p>
            <w:pPr>
              <w:spacing w:after="20" w:before="20" w:line="240"/>
            </w:pPr>
            <w:r>
              <w:t xml:space="preserve">D. His career manager — “Career-manager control applies to qualified CFRP members.”</w:t>
            </w:r>
          </w:p>
        </w:tc>
        <w:tc>
          <w:tcPr>
            <w:tcW w:type="dxa" w:w="2500"/>
            <w:tcMar>
              <w:top w:type="dxa" w:w="40"/>
              <w:left w:type="dxa" w:w="100"/>
              <w:bottom w:type="dxa" w:w="40"/>
              <w:right w:type="dxa" w:w="100"/>
            </w:tcMar>
            <w:vAlign w:val="top"/>
          </w:tcPr>
          <w:p>
            <w:pPr>
              <w:spacing w:after="20" w:before="20" w:line="240"/>
            </w:pPr>
            <w:r>
              <w:t xml:space="preserve">Act on the arrangement in a routine case</w:t>
            </w:r>
          </w:p>
        </w:tc>
      </w:tr>
      <w:tr>
        <w:tc>
          <w:tcPr>
            <w:tcW w:type="dxa" w:w="1200"/>
            <w:tcMar>
              <w:top w:type="dxa" w:w="40"/>
              <w:left w:type="dxa" w:w="100"/>
              <w:bottom w:type="dxa" w:w="40"/>
              <w:right w:type="dxa" w:w="100"/>
            </w:tcMar>
            <w:vAlign w:val="top"/>
          </w:tcPr>
          <w:p>
            <w:pPr>
              <w:spacing w:after="20" w:before="20" w:line="240"/>
            </w:pPr>
            <w:r>
              <w:rPr>
                <w:b/>
                <w:bCs/>
              </w:rPr>
              <w:t xml:space="preserve">A-Q3 (Analyze)</w:t>
            </w:r>
          </w:p>
        </w:tc>
        <w:tc>
          <w:tcPr>
            <w:tcW w:type="dxa" w:w="5100"/>
            <w:tcMar>
              <w:top w:type="dxa" w:w="40"/>
              <w:left w:type="dxa" w:w="100"/>
              <w:bottom w:type="dxa" w:w="40"/>
              <w:right w:type="dxa" w:w="100"/>
            </w:tcMar>
            <w:vAlign w:val="top"/>
          </w:tcPr>
          <w:p>
            <w:pPr>
              <w:spacing w:after="20" w:before="20" w:line="240"/>
            </w:pPr>
            <w:r>
              <w:t xml:space="preserve">It is the break between academic years. MCpl Arsenault’s institution says military coursing “is not their responsibility,” and Lt Cormier asks why his file is being handled differently from the other two. Which handling is correct?</w:t>
            </w:r>
          </w:p>
        </w:tc>
        <w:tc>
          <w:tcPr>
            <w:tcW w:type="dxa" w:w="4600"/>
            <w:tcMar>
              <w:top w:type="dxa" w:w="40"/>
              <w:left w:type="dxa" w:w="100"/>
              <w:bottom w:type="dxa" w:w="40"/>
              <w:right w:type="dxa" w:w="100"/>
            </w:tcMar>
            <w:vAlign w:val="top"/>
          </w:tcPr>
          <w:p>
            <w:pPr>
              <w:spacing w:after="20" w:before="20" w:line="240"/>
            </w:pPr>
            <w:r>
              <w:t xml:space="preserve">A. The BTL Manager arranges Arsenault’s military coursing between academic years, and Cormier, being qualified, may return to career-manager control (✓)</w:t>
            </w:r>
          </w:p>
          <w:p>
            <w:pPr>
              <w:spacing w:after="20" w:before="20" w:line="240"/>
            </w:pPr>
            <w:r>
              <w:t xml:space="preserve">B. The institution must arrange the coursing — “Between academic years, coursing is the BTL Manager’s.”</w:t>
            </w:r>
          </w:p>
          <w:p>
            <w:pPr>
              <w:spacing w:after="20" w:before="20" w:line="240"/>
            </w:pPr>
            <w:r>
              <w:t xml:space="preserve">C. All three files are handled identically on the BTL — [all-wait-on-BTL]</w:t>
            </w:r>
          </w:p>
          <w:p>
            <w:pPr>
              <w:spacing w:after="20" w:before="20" w:line="240"/>
            </w:pPr>
            <w:r>
              <w:t xml:space="preserve">D. Arsenault transfers to the BTL for the break — “The member remains institution-managed; only coursing is arranged by the BTL Manager.”</w:t>
            </w:r>
          </w:p>
        </w:tc>
        <w:tc>
          <w:tcPr>
            <w:tcW w:type="dxa" w:w="2500"/>
            <w:tcMar>
              <w:top w:type="dxa" w:w="40"/>
              <w:left w:type="dxa" w:w="100"/>
              <w:bottom w:type="dxa" w:w="40"/>
              <w:right w:type="dxa" w:w="100"/>
            </w:tcMar>
            <w:vAlign w:val="top"/>
          </w:tcPr>
          <w:p>
            <w:pPr>
              <w:spacing w:after="20" w:before="20" w:line="240"/>
            </w:pPr>
            <w:r>
              <w:t xml:space="preserve">Resolve a complication across two arrangements</w:t>
            </w:r>
          </w:p>
        </w:tc>
      </w:tr>
    </w:tbl>
    <w:p>
      <w:pPr>
        <w:pStyle w:val="Heading2"/>
        <w:spacing w:after="100" w:before="220"/>
      </w:pPr>
      <w:r>
        <w:t xml:space="preserve">Scenario B — SO2 VOT-U, COT-U and CMOT</w:t>
      </w:r>
    </w:p>
    <w:p>
      <w:pPr>
        <w:spacing w:after="120" w:before="40" w:line="259"/>
      </w:pPr>
      <w:r>
        <w:t xml:space="preserve">Scenario: Three members, one week. Cpl Dion volunteered for a new occupation after completing BMQ and awaits board results. Pte Ellis failed an academic requirement; a PRB was held and a legitimate retention requirement identified. Sgt Fortin received an AR/MEL decision from DMCA with medical employment limitations.</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200"/>
        <w:gridCol w:w="5100"/>
        <w:gridCol w:w="4600"/>
        <w:gridCol w:w="2500"/>
      </w:tblGrid>
      <w:tr>
        <w:trPr>
          <w:tblHeader/>
        </w:trPr>
        <w:tc>
          <w:tcPr>
            <w:tcW w:type="dxa" w:w="1200"/>
            <w:shd w:fill="D9E2F3" w:val="clear"/>
            <w:tcMar>
              <w:top w:type="dxa" w:w="40"/>
              <w:left w:type="dxa" w:w="100"/>
              <w:bottom w:type="dxa" w:w="40"/>
              <w:right w:type="dxa" w:w="100"/>
            </w:tcMar>
            <w:vAlign w:val="top"/>
          </w:tcPr>
          <w:p>
            <w:pPr>
              <w:spacing w:after="20" w:before="20" w:line="240"/>
            </w:pPr>
            <w:r>
              <w:rPr>
                <w:b/>
                <w:bCs/>
              </w:rPr>
              <w:t xml:space="preserve">Q (Bloom)</w:t>
            </w:r>
          </w:p>
        </w:tc>
        <w:tc>
          <w:tcPr>
            <w:tcW w:type="dxa" w:w="5100"/>
            <w:shd w:fill="D9E2F3" w:val="clear"/>
            <w:tcMar>
              <w:top w:type="dxa" w:w="40"/>
              <w:left w:type="dxa" w:w="100"/>
              <w:bottom w:type="dxa" w:w="40"/>
              <w:right w:type="dxa" w:w="100"/>
            </w:tcMar>
            <w:vAlign w:val="top"/>
          </w:tcPr>
          <w:p>
            <w:pPr>
              <w:spacing w:after="20" w:before="20" w:line="240"/>
            </w:pPr>
            <w:r>
              <w:rPr>
                <w:b/>
                <w:bCs/>
              </w:rPr>
              <w:t xml:space="preserve">Question</w:t>
            </w:r>
          </w:p>
        </w:tc>
        <w:tc>
          <w:tcPr>
            <w:tcW w:type="dxa" w:w="4600"/>
            <w:shd w:fill="D9E2F3" w:val="clear"/>
            <w:tcMar>
              <w:top w:type="dxa" w:w="40"/>
              <w:left w:type="dxa" w:w="100"/>
              <w:bottom w:type="dxa" w:w="40"/>
              <w:right w:type="dxa" w:w="100"/>
            </w:tcMar>
            <w:vAlign w:val="top"/>
          </w:tcPr>
          <w:p>
            <w:pPr>
              <w:spacing w:after="20" w:before="20" w:line="240"/>
            </w:pPr>
            <w:r>
              <w:rPr>
                <w:b/>
                <w:bCs/>
              </w:rPr>
              <w:t xml:space="preserve">Options — correct (✓); misconception tags in brackets</w:t>
            </w:r>
          </w:p>
        </w:tc>
        <w:tc>
          <w:tcPr>
            <w:tcW w:type="dxa" w:w="2500"/>
            <w:shd w:fill="D9E2F3" w:val="clear"/>
            <w:tcMar>
              <w:top w:type="dxa" w:w="40"/>
              <w:left w:type="dxa" w:w="100"/>
              <w:bottom w:type="dxa" w:w="40"/>
              <w:right w:type="dxa" w:w="100"/>
            </w:tcMar>
            <w:vAlign w:val="top"/>
          </w:tcPr>
          <w:p>
            <w:pPr>
              <w:spacing w:after="20" w:before="20" w:line="240"/>
            </w:pPr>
            <w:r>
              <w:rPr>
                <w:b/>
                <w:bCs/>
              </w:rPr>
              <w:t xml:space="preserve">Measures</w:t>
            </w:r>
          </w:p>
        </w:tc>
      </w:tr>
      <w:tr>
        <w:tc>
          <w:tcPr>
            <w:tcW w:type="dxa" w:w="1200"/>
            <w:tcMar>
              <w:top w:type="dxa" w:w="40"/>
              <w:left w:type="dxa" w:w="100"/>
              <w:bottom w:type="dxa" w:w="40"/>
              <w:right w:type="dxa" w:w="100"/>
            </w:tcMar>
            <w:vAlign w:val="top"/>
          </w:tcPr>
          <w:p>
            <w:pPr>
              <w:spacing w:after="20" w:before="20" w:line="240"/>
            </w:pPr>
            <w:r>
              <w:rPr>
                <w:b/>
                <w:bCs/>
              </w:rPr>
              <w:t xml:space="preserve">B-Q1 (Understand)</w:t>
            </w:r>
          </w:p>
        </w:tc>
        <w:tc>
          <w:tcPr>
            <w:tcW w:type="dxa" w:w="5100"/>
            <w:tcMar>
              <w:top w:type="dxa" w:w="40"/>
              <w:left w:type="dxa" w:w="100"/>
              <w:bottom w:type="dxa" w:w="40"/>
              <w:right w:type="dxa" w:w="100"/>
            </w:tcMar>
            <w:vAlign w:val="top"/>
          </w:tcPr>
          <w:p>
            <w:pPr>
              <w:spacing w:after="20" w:before="20" w:line="240"/>
            </w:pPr>
            <w:r>
              <w:t xml:space="preserve">Which pathway applies to Cpl Dion?</w:t>
            </w:r>
          </w:p>
        </w:tc>
        <w:tc>
          <w:tcPr>
            <w:tcW w:type="dxa" w:w="4600"/>
            <w:tcMar>
              <w:top w:type="dxa" w:w="40"/>
              <w:left w:type="dxa" w:w="100"/>
              <w:bottom w:type="dxa" w:w="40"/>
              <w:right w:type="dxa" w:w="100"/>
            </w:tcMar>
            <w:vAlign w:val="top"/>
          </w:tcPr>
          <w:p>
            <w:pPr>
              <w:spacing w:after="20" w:before="20" w:line="240"/>
            </w:pPr>
            <w:r>
              <w:t xml:space="preserve">A. VOT-U (✓)</w:t>
            </w:r>
          </w:p>
          <w:p>
            <w:pPr>
              <w:spacing w:after="20" w:before="20" w:line="240"/>
            </w:pPr>
            <w:r>
              <w:t xml:space="preserve">B. COT-U — “COT-U is non-voluntary.”</w:t>
            </w:r>
          </w:p>
          <w:p>
            <w:pPr>
              <w:spacing w:after="20" w:before="20" w:line="240"/>
            </w:pPr>
            <w:r>
              <w:t xml:space="preserve">C. CMOT — “CMOT follows an AR/MEL decision.”</w:t>
            </w:r>
          </w:p>
          <w:p>
            <w:pPr>
              <w:spacing w:after="20" w:before="20" w:line="240"/>
            </w:pPr>
            <w:r>
              <w:t xml:space="preserve">D. VOT-T — “VOT-T is a selection program, not this volunteer transfer process.”</w:t>
            </w:r>
          </w:p>
        </w:tc>
        <w:tc>
          <w:tcPr>
            <w:tcW w:type="dxa" w:w="2500"/>
            <w:tcMar>
              <w:top w:type="dxa" w:w="40"/>
              <w:left w:type="dxa" w:w="100"/>
              <w:bottom w:type="dxa" w:w="40"/>
              <w:right w:type="dxa" w:w="100"/>
            </w:tcMar>
            <w:vAlign w:val="top"/>
          </w:tcPr>
          <w:p>
            <w:pPr>
              <w:spacing w:after="20" w:before="20" w:line="240"/>
            </w:pPr>
            <w:r>
              <w:t xml:space="preserve">Identify pathway from trigger</w:t>
            </w:r>
          </w:p>
        </w:tc>
      </w:tr>
      <w:tr>
        <w:tc>
          <w:tcPr>
            <w:tcW w:type="dxa" w:w="1200"/>
            <w:tcMar>
              <w:top w:type="dxa" w:w="40"/>
              <w:left w:type="dxa" w:w="100"/>
              <w:bottom w:type="dxa" w:w="40"/>
              <w:right w:type="dxa" w:w="100"/>
            </w:tcMar>
            <w:vAlign w:val="top"/>
          </w:tcPr>
          <w:p>
            <w:pPr>
              <w:spacing w:after="20" w:before="20" w:line="240"/>
            </w:pPr>
            <w:r>
              <w:rPr>
                <w:b/>
                <w:bCs/>
              </w:rPr>
              <w:t xml:space="preserve">B-Q2 (Apply)</w:t>
            </w:r>
          </w:p>
        </w:tc>
        <w:tc>
          <w:tcPr>
            <w:tcW w:type="dxa" w:w="5100"/>
            <w:tcMar>
              <w:top w:type="dxa" w:w="40"/>
              <w:left w:type="dxa" w:w="100"/>
              <w:bottom w:type="dxa" w:w="40"/>
              <w:right w:type="dxa" w:w="100"/>
            </w:tcMar>
            <w:vAlign w:val="top"/>
          </w:tcPr>
          <w:p>
            <w:pPr>
              <w:spacing w:after="20" w:before="20" w:line="240"/>
            </w:pPr>
            <w:r>
              <w:t xml:space="preserve">Cpl Dion’s supervisor expects the board will select him and proposes removing him from current training now. What is the correct action?</w:t>
            </w:r>
          </w:p>
        </w:tc>
        <w:tc>
          <w:tcPr>
            <w:tcW w:type="dxa" w:w="4600"/>
            <w:tcMar>
              <w:top w:type="dxa" w:w="40"/>
              <w:left w:type="dxa" w:w="100"/>
              <w:bottom w:type="dxa" w:w="40"/>
              <w:right w:type="dxa" w:w="100"/>
            </w:tcMar>
            <w:vAlign w:val="top"/>
          </w:tcPr>
          <w:p>
            <w:pPr>
              <w:spacing w:after="20" w:before="20" w:line="240"/>
            </w:pPr>
            <w:r>
              <w:t xml:space="preserve">A. Keep Dion on his current course; VOT-U is competitive and selection is not guaranteed (✓)</w:t>
            </w:r>
          </w:p>
          <w:p>
            <w:pPr>
              <w:spacing w:after="20" w:before="20" w:line="240"/>
            </w:pPr>
            <w:r>
              <w:t xml:space="preserve">B. Remove him to prepare for the new occupation — [anticipating-outcome]</w:t>
            </w:r>
          </w:p>
          <w:p>
            <w:pPr>
              <w:spacing w:after="20" w:before="20" w:line="240"/>
            </w:pPr>
            <w:r>
              <w:t xml:space="preserve">C. Pause his course until the board reports — [anticipating-outcome]</w:t>
            </w:r>
          </w:p>
          <w:p>
            <w:pPr>
              <w:spacing w:after="20" w:before="20" w:line="240"/>
            </w:pPr>
            <w:r>
              <w:t xml:space="preserve">D. Request early posting — [anticipating-outcome]</w:t>
            </w:r>
          </w:p>
        </w:tc>
        <w:tc>
          <w:tcPr>
            <w:tcW w:type="dxa" w:w="2500"/>
            <w:tcMar>
              <w:top w:type="dxa" w:w="40"/>
              <w:left w:type="dxa" w:w="100"/>
              <w:bottom w:type="dxa" w:w="40"/>
              <w:right w:type="dxa" w:w="100"/>
            </w:tcMar>
            <w:vAlign w:val="top"/>
          </w:tcPr>
          <w:p>
            <w:pPr>
              <w:spacing w:after="20" w:before="20" w:line="240"/>
            </w:pPr>
            <w:r>
              <w:t xml:space="preserve">Apply the remain-on-course rule</w:t>
            </w:r>
          </w:p>
        </w:tc>
      </w:tr>
      <w:tr>
        <w:tc>
          <w:tcPr>
            <w:tcW w:type="dxa" w:w="1200"/>
            <w:tcMar>
              <w:top w:type="dxa" w:w="40"/>
              <w:left w:type="dxa" w:w="100"/>
              <w:bottom w:type="dxa" w:w="40"/>
              <w:right w:type="dxa" w:w="100"/>
            </w:tcMar>
            <w:vAlign w:val="top"/>
          </w:tcPr>
          <w:p>
            <w:pPr>
              <w:spacing w:after="20" w:before="20" w:line="240"/>
            </w:pPr>
            <w:r>
              <w:rPr>
                <w:b/>
                <w:bCs/>
              </w:rPr>
              <w:t xml:space="preserve">B-Q3 (Evaluate)</w:t>
            </w:r>
          </w:p>
        </w:tc>
        <w:tc>
          <w:tcPr>
            <w:tcW w:type="dxa" w:w="5100"/>
            <w:tcMar>
              <w:top w:type="dxa" w:w="40"/>
              <w:left w:type="dxa" w:w="100"/>
              <w:bottom w:type="dxa" w:w="40"/>
              <w:right w:type="dxa" w:w="100"/>
            </w:tcMar>
            <w:vAlign w:val="top"/>
          </w:tcPr>
          <w:p>
            <w:pPr>
              <w:spacing w:after="20" w:before="20" w:line="240"/>
            </w:pPr>
            <w:r>
              <w:t xml:space="preserve">A staff note describes Ellis and Fortin as “two identical compulsory transfers with the same pay protection.” Evaluate the note.</w:t>
            </w:r>
          </w:p>
        </w:tc>
        <w:tc>
          <w:tcPr>
            <w:tcW w:type="dxa" w:w="4600"/>
            <w:tcMar>
              <w:top w:type="dxa" w:w="40"/>
              <w:left w:type="dxa" w:w="100"/>
              <w:bottom w:type="dxa" w:w="40"/>
              <w:right w:type="dxa" w:w="100"/>
            </w:tcMar>
            <w:vAlign w:val="top"/>
          </w:tcPr>
          <w:p>
            <w:pPr>
              <w:spacing w:after="20" w:before="20" w:line="240"/>
            </w:pPr>
            <w:r>
              <w:t xml:space="preserve">A. Wrong twice: Ellis is COT-U (retention requirement after a PRB) and Fortin is CMOT (AR/MEL decision) — different triggers and controlling processes — and CBI 204.03 defines compulsory differently for pay protection, so the definition must be checked (✓)</w:t>
            </w:r>
          </w:p>
          <w:p>
            <w:pPr>
              <w:spacing w:after="20" w:before="20" w:line="240"/>
            </w:pPr>
            <w:r>
              <w:t xml:space="preserve">B. Correct: both are compulsory, so identical — [compulsory-is-one-thing]</w:t>
            </w:r>
          </w:p>
          <w:p>
            <w:pPr>
              <w:spacing w:after="20" w:before="20" w:line="240"/>
            </w:pPr>
            <w:r>
              <w:t xml:space="preserve">C. Wrong only about pay protection — “The triggers and processes also differ.”</w:t>
            </w:r>
          </w:p>
          <w:p>
            <w:pPr>
              <w:spacing w:after="20" w:before="20" w:line="240"/>
            </w:pPr>
            <w:r>
              <w:t xml:space="preserve">D. Wrong only about the pathways — “Pay protection also follows the CBI 204.03 definition.” [compulsory-is-one-thing]</w:t>
            </w:r>
          </w:p>
        </w:tc>
        <w:tc>
          <w:tcPr>
            <w:tcW w:type="dxa" w:w="2500"/>
            <w:tcMar>
              <w:top w:type="dxa" w:w="40"/>
              <w:left w:type="dxa" w:w="100"/>
              <w:bottom w:type="dxa" w:w="40"/>
              <w:right w:type="dxa" w:w="100"/>
            </w:tcMar>
            <w:vAlign w:val="top"/>
          </w:tcPr>
          <w:p>
            <w:pPr>
              <w:spacing w:after="20" w:before="20" w:line="240"/>
            </w:pPr>
            <w:r>
              <w:t xml:space="preserve">Distinguish pathways + pay-protection trap</w:t>
            </w:r>
          </w:p>
        </w:tc>
      </w:tr>
    </w:tbl>
    <w:p>
      <w:pPr>
        <w:pStyle w:val="Heading2"/>
        <w:spacing w:after="100" w:before="220"/>
      </w:pPr>
      <w:r>
        <w:t xml:space="preserve">Scenario C — SO3 CMOT Processing Steps</w:t>
      </w:r>
    </w:p>
    <w:p>
      <w:pPr>
        <w:spacing w:after="120" w:before="40" w:line="259"/>
      </w:pPr>
      <w:r>
        <w:t xml:space="preserve">Scenario: Sgt Fortin’s CMOT file. So far: DMCA 3 issued the AR/MEL advisory to the CO and PSO office; the Chain of Command referred Fortin to the PSO; the PSO completed the abbreviated interview and required processing.</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200"/>
        <w:gridCol w:w="5100"/>
        <w:gridCol w:w="4600"/>
        <w:gridCol w:w="2500"/>
      </w:tblGrid>
      <w:tr>
        <w:trPr>
          <w:tblHeader/>
        </w:trPr>
        <w:tc>
          <w:tcPr>
            <w:tcW w:type="dxa" w:w="1200"/>
            <w:shd w:fill="D9E2F3" w:val="clear"/>
            <w:tcMar>
              <w:top w:type="dxa" w:w="40"/>
              <w:left w:type="dxa" w:w="100"/>
              <w:bottom w:type="dxa" w:w="40"/>
              <w:right w:type="dxa" w:w="100"/>
            </w:tcMar>
            <w:vAlign w:val="top"/>
          </w:tcPr>
          <w:p>
            <w:pPr>
              <w:spacing w:after="20" w:before="20" w:line="240"/>
            </w:pPr>
            <w:r>
              <w:rPr>
                <w:b/>
                <w:bCs/>
              </w:rPr>
              <w:t xml:space="preserve">Q (Bloom)</w:t>
            </w:r>
          </w:p>
        </w:tc>
        <w:tc>
          <w:tcPr>
            <w:tcW w:type="dxa" w:w="5100"/>
            <w:shd w:fill="D9E2F3" w:val="clear"/>
            <w:tcMar>
              <w:top w:type="dxa" w:w="40"/>
              <w:left w:type="dxa" w:w="100"/>
              <w:bottom w:type="dxa" w:w="40"/>
              <w:right w:type="dxa" w:w="100"/>
            </w:tcMar>
            <w:vAlign w:val="top"/>
          </w:tcPr>
          <w:p>
            <w:pPr>
              <w:spacing w:after="20" w:before="20" w:line="240"/>
            </w:pPr>
            <w:r>
              <w:rPr>
                <w:b/>
                <w:bCs/>
              </w:rPr>
              <w:t xml:space="preserve">Question</w:t>
            </w:r>
          </w:p>
        </w:tc>
        <w:tc>
          <w:tcPr>
            <w:tcW w:type="dxa" w:w="4600"/>
            <w:shd w:fill="D9E2F3" w:val="clear"/>
            <w:tcMar>
              <w:top w:type="dxa" w:w="40"/>
              <w:left w:type="dxa" w:w="100"/>
              <w:bottom w:type="dxa" w:w="40"/>
              <w:right w:type="dxa" w:w="100"/>
            </w:tcMar>
            <w:vAlign w:val="top"/>
          </w:tcPr>
          <w:p>
            <w:pPr>
              <w:spacing w:after="20" w:before="20" w:line="240"/>
            </w:pPr>
            <w:r>
              <w:rPr>
                <w:b/>
                <w:bCs/>
              </w:rPr>
              <w:t xml:space="preserve">Options — correct (✓); misconception tags in brackets</w:t>
            </w:r>
          </w:p>
        </w:tc>
        <w:tc>
          <w:tcPr>
            <w:tcW w:type="dxa" w:w="2500"/>
            <w:shd w:fill="D9E2F3" w:val="clear"/>
            <w:tcMar>
              <w:top w:type="dxa" w:w="40"/>
              <w:left w:type="dxa" w:w="100"/>
              <w:bottom w:type="dxa" w:w="40"/>
              <w:right w:type="dxa" w:w="100"/>
            </w:tcMar>
            <w:vAlign w:val="top"/>
          </w:tcPr>
          <w:p>
            <w:pPr>
              <w:spacing w:after="20" w:before="20" w:line="240"/>
            </w:pPr>
            <w:r>
              <w:rPr>
                <w:b/>
                <w:bCs/>
              </w:rPr>
              <w:t xml:space="preserve">Measures</w:t>
            </w:r>
          </w:p>
        </w:tc>
      </w:tr>
      <w:tr>
        <w:tc>
          <w:tcPr>
            <w:tcW w:type="dxa" w:w="1200"/>
            <w:tcMar>
              <w:top w:type="dxa" w:w="40"/>
              <w:left w:type="dxa" w:w="100"/>
              <w:bottom w:type="dxa" w:w="40"/>
              <w:right w:type="dxa" w:w="100"/>
            </w:tcMar>
            <w:vAlign w:val="top"/>
          </w:tcPr>
          <w:p>
            <w:pPr>
              <w:spacing w:after="20" w:before="20" w:line="240"/>
            </w:pPr>
            <w:r>
              <w:rPr>
                <w:b/>
                <w:bCs/>
              </w:rPr>
              <w:t xml:space="preserve">C-Q1 (Remember)</w:t>
            </w:r>
          </w:p>
        </w:tc>
        <w:tc>
          <w:tcPr>
            <w:tcW w:type="dxa" w:w="5100"/>
            <w:tcMar>
              <w:top w:type="dxa" w:w="40"/>
              <w:left w:type="dxa" w:w="100"/>
              <w:bottom w:type="dxa" w:w="40"/>
              <w:right w:type="dxa" w:w="100"/>
            </w:tcMar>
            <w:vAlign w:val="top"/>
          </w:tcPr>
          <w:p>
            <w:pPr>
              <w:spacing w:after="20" w:before="20" w:line="240"/>
            </w:pPr>
            <w:r>
              <w:t xml:space="preserve">Who started this process, and with what?</w:t>
            </w:r>
          </w:p>
        </w:tc>
        <w:tc>
          <w:tcPr>
            <w:tcW w:type="dxa" w:w="4600"/>
            <w:tcMar>
              <w:top w:type="dxa" w:w="40"/>
              <w:left w:type="dxa" w:w="100"/>
              <w:bottom w:type="dxa" w:w="40"/>
              <w:right w:type="dxa" w:w="100"/>
            </w:tcMar>
            <w:vAlign w:val="top"/>
          </w:tcPr>
          <w:p>
            <w:pPr>
              <w:spacing w:after="20" w:before="20" w:line="240"/>
            </w:pPr>
            <w:r>
              <w:t xml:space="preserve">A. DMCA 3, by issuing the AR/MEL advisory to the CO and PSO office (✓)</w:t>
            </w:r>
          </w:p>
          <w:p>
            <w:pPr>
              <w:spacing w:after="20" w:before="20" w:line="240"/>
            </w:pPr>
            <w:r>
              <w:t xml:space="preserve">B. The CoC, by referring Fortin — “That is step 2, after the trigger.”</w:t>
            </w:r>
          </w:p>
          <w:p>
            <w:pPr>
              <w:spacing w:after="20" w:before="20" w:line="240"/>
            </w:pPr>
            <w:r>
              <w:t xml:space="preserve">C. The PSO, by opening the interview — “PSO acts on the referral.”</w:t>
            </w:r>
          </w:p>
          <w:p>
            <w:pPr>
              <w:spacing w:after="20" w:before="20" w:line="240"/>
            </w:pPr>
            <w:r>
              <w:t xml:space="preserve">D. DMCPG 5-3, by issuing an instruction — “DMCPG 5-3 acts at the end of the process.” [authority-sequence]</w:t>
            </w:r>
          </w:p>
        </w:tc>
        <w:tc>
          <w:tcPr>
            <w:tcW w:type="dxa" w:w="2500"/>
            <w:tcMar>
              <w:top w:type="dxa" w:w="40"/>
              <w:left w:type="dxa" w:w="100"/>
              <w:bottom w:type="dxa" w:w="40"/>
              <w:right w:type="dxa" w:w="100"/>
            </w:tcMar>
            <w:vAlign w:val="top"/>
          </w:tcPr>
          <w:p>
            <w:pPr>
              <w:spacing w:after="20" w:before="20" w:line="240"/>
            </w:pPr>
            <w:r>
              <w:t xml:space="preserve">Recall trigger + responsible organization</w:t>
            </w:r>
          </w:p>
        </w:tc>
      </w:tr>
      <w:tr>
        <w:tc>
          <w:tcPr>
            <w:tcW w:type="dxa" w:w="1200"/>
            <w:tcMar>
              <w:top w:type="dxa" w:w="40"/>
              <w:left w:type="dxa" w:w="100"/>
              <w:bottom w:type="dxa" w:w="40"/>
              <w:right w:type="dxa" w:w="100"/>
            </w:tcMar>
            <w:vAlign w:val="top"/>
          </w:tcPr>
          <w:p>
            <w:pPr>
              <w:spacing w:after="20" w:before="20" w:line="240"/>
            </w:pPr>
            <w:r>
              <w:rPr>
                <w:b/>
                <w:bCs/>
              </w:rPr>
              <w:t xml:space="preserve">C-Q2 (Apply)</w:t>
            </w:r>
          </w:p>
        </w:tc>
        <w:tc>
          <w:tcPr>
            <w:tcW w:type="dxa" w:w="5100"/>
            <w:tcMar>
              <w:top w:type="dxa" w:w="40"/>
              <w:left w:type="dxa" w:w="100"/>
              <w:bottom w:type="dxa" w:w="40"/>
              <w:right w:type="dxa" w:w="100"/>
            </w:tcMar>
            <w:vAlign w:val="top"/>
          </w:tcPr>
          <w:p>
            <w:pPr>
              <w:spacing w:after="20" w:before="20" w:line="240"/>
            </w:pPr>
            <w:r>
              <w:t xml:space="preserve">What happens next with Fortin’s file?</w:t>
            </w:r>
          </w:p>
        </w:tc>
        <w:tc>
          <w:tcPr>
            <w:tcW w:type="dxa" w:w="4600"/>
            <w:tcMar>
              <w:top w:type="dxa" w:w="40"/>
              <w:left w:type="dxa" w:w="100"/>
              <w:bottom w:type="dxa" w:w="40"/>
              <w:right w:type="dxa" w:w="100"/>
            </w:tcMar>
            <w:vAlign w:val="top"/>
          </w:tcPr>
          <w:p>
            <w:pPr>
              <w:spacing w:after="20" w:before="20" w:line="240"/>
            </w:pPr>
            <w:r>
              <w:t xml:space="preserve">A. DMCA 3 issues the decision letter — “The decision letter cannot precede DMCA 3’s review of the completed file.” [review-skipped]</w:t>
            </w:r>
          </w:p>
          <w:p>
            <w:pPr>
              <w:spacing w:after="20" w:before="20" w:line="240"/>
            </w:pPr>
            <w:r>
              <w:t xml:space="preserve">B. The PSO sends DND 2790 and required documents to DMCA 3 (✓)</w:t>
            </w:r>
          </w:p>
          <w:p>
            <w:pPr>
              <w:spacing w:after="20" w:before="20" w:line="240"/>
            </w:pPr>
            <w:r>
              <w:t xml:space="preserve">C. DMCPG 5-3 issues the COT instruction — [authority-sequence]</w:t>
            </w:r>
          </w:p>
          <w:p>
            <w:pPr>
              <w:spacing w:after="20" w:before="20" w:line="240"/>
            </w:pPr>
            <w:r>
              <w:t xml:space="preserve">D. The CoC selects the effective date — “The effective date is consulted between DMCA 3 and DMCPG 5-3.”</w:t>
            </w:r>
          </w:p>
        </w:tc>
        <w:tc>
          <w:tcPr>
            <w:tcW w:type="dxa" w:w="2500"/>
            <w:tcMar>
              <w:top w:type="dxa" w:w="40"/>
              <w:left w:type="dxa" w:w="100"/>
              <w:bottom w:type="dxa" w:w="40"/>
              <w:right w:type="dxa" w:w="100"/>
            </w:tcMar>
            <w:vAlign w:val="top"/>
          </w:tcPr>
          <w:p>
            <w:pPr>
              <w:spacing w:after="20" w:before="20" w:line="240"/>
            </w:pPr>
            <w:r>
              <w:t xml:space="preserve">Determine next action mid-process</w:t>
            </w:r>
          </w:p>
        </w:tc>
      </w:tr>
      <w:tr>
        <w:tc>
          <w:tcPr>
            <w:tcW w:type="dxa" w:w="1200"/>
            <w:tcMar>
              <w:top w:type="dxa" w:w="40"/>
              <w:left w:type="dxa" w:w="100"/>
              <w:bottom w:type="dxa" w:w="40"/>
              <w:right w:type="dxa" w:w="100"/>
            </w:tcMar>
            <w:vAlign w:val="top"/>
          </w:tcPr>
          <w:p>
            <w:pPr>
              <w:spacing w:after="20" w:before="20" w:line="240"/>
            </w:pPr>
            <w:r>
              <w:rPr>
                <w:b/>
                <w:bCs/>
              </w:rPr>
              <w:t xml:space="preserve">C-Q3 (Analyze, Sequence)</w:t>
            </w:r>
          </w:p>
        </w:tc>
        <w:tc>
          <w:tcPr>
            <w:tcW w:type="dxa" w:w="5100"/>
            <w:tcMar>
              <w:top w:type="dxa" w:w="40"/>
              <w:left w:type="dxa" w:w="100"/>
              <w:bottom w:type="dxa" w:w="40"/>
              <w:right w:type="dxa" w:w="100"/>
            </w:tcMar>
            <w:vAlign w:val="top"/>
          </w:tcPr>
          <w:p>
            <w:pPr>
              <w:spacing w:after="20" w:before="20" w:line="240"/>
            </w:pPr>
            <w:r>
              <w:t xml:space="preserve">DMCA 3 has now received the file. Place the remaining steps in order: [DMCA 3 issues decision letter] [DMCPG 5-3 issues COT instruction] [DMCA 3 reviews and consults DMCPG 5-3 on effective date]</w:t>
            </w:r>
          </w:p>
        </w:tc>
        <w:tc>
          <w:tcPr>
            <w:tcW w:type="dxa" w:w="4600"/>
            <w:tcMar>
              <w:top w:type="dxa" w:w="40"/>
              <w:left w:type="dxa" w:w="100"/>
              <w:bottom w:type="dxa" w:w="40"/>
              <w:right w:type="dxa" w:w="100"/>
            </w:tcMar>
            <w:vAlign w:val="top"/>
          </w:tcPr>
          <w:p>
            <w:pPr>
              <w:spacing w:after="20" w:before="20" w:line="240"/>
            </w:pPr>
            <w:r>
              <w:t xml:space="preserve">Correct: reviews/consults → decision letter → COT instruction (✓)</w:t>
            </w:r>
          </w:p>
          <w:p>
            <w:pPr>
              <w:spacing w:after="20" w:before="20" w:line="240"/>
            </w:pPr>
            <w:r>
              <w:t xml:space="preserve">Instruction before letter — [authority-sequence]</w:t>
            </w:r>
          </w:p>
          <w:p>
            <w:pPr>
              <w:spacing w:after="20" w:before="20" w:line="240"/>
            </w:pPr>
            <w:r>
              <w:t xml:space="preserve">Letter before review — [review-skipped]</w:t>
            </w:r>
          </w:p>
        </w:tc>
        <w:tc>
          <w:tcPr>
            <w:tcW w:type="dxa" w:w="2500"/>
            <w:tcMar>
              <w:top w:type="dxa" w:w="40"/>
              <w:left w:type="dxa" w:w="100"/>
              <w:bottom w:type="dxa" w:w="40"/>
              <w:right w:type="dxa" w:w="100"/>
            </w:tcMar>
            <w:vAlign w:val="top"/>
          </w:tcPr>
          <w:p>
            <w:pPr>
              <w:spacing w:after="20" w:before="20" w:line="240"/>
            </w:pPr>
            <w:r>
              <w:t xml:space="preserve">Sequence the closing stages</w:t>
            </w:r>
          </w:p>
        </w:tc>
      </w:tr>
    </w:tbl>
    <w:p>
      <w:pPr>
        <w:pStyle w:val="Heading2"/>
        <w:spacing w:after="100" w:before="220"/>
      </w:pPr>
      <w:r>
        <w:t xml:space="preserve">Scenario D — SO4 Protect the Process</w:t>
      </w:r>
    </w:p>
    <w:p>
      <w:pPr>
        <w:spacing w:after="120" w:before="40" w:line="259"/>
      </w:pPr>
      <w:r>
        <w:t xml:space="preserve">Scenario: Back to Cpl Dion (VOT-U pending). His supervisor has told the orderly room “it’s basically approved.” Days later an OT message arrives naming a gaining unit and a losing unit; your (losing) unit reads and actions its part.</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200"/>
        <w:gridCol w:w="5100"/>
        <w:gridCol w:w="4600"/>
        <w:gridCol w:w="2500"/>
      </w:tblGrid>
      <w:tr>
        <w:trPr>
          <w:tblHeader/>
        </w:trPr>
        <w:tc>
          <w:tcPr>
            <w:tcW w:type="dxa" w:w="1200"/>
            <w:shd w:fill="D9E2F3" w:val="clear"/>
            <w:tcMar>
              <w:top w:type="dxa" w:w="40"/>
              <w:left w:type="dxa" w:w="100"/>
              <w:bottom w:type="dxa" w:w="40"/>
              <w:right w:type="dxa" w:w="100"/>
            </w:tcMar>
            <w:vAlign w:val="top"/>
          </w:tcPr>
          <w:p>
            <w:pPr>
              <w:spacing w:after="20" w:before="20" w:line="240"/>
            </w:pPr>
            <w:r>
              <w:rPr>
                <w:b/>
                <w:bCs/>
              </w:rPr>
              <w:t xml:space="preserve">Q (Bloom)</w:t>
            </w:r>
          </w:p>
        </w:tc>
        <w:tc>
          <w:tcPr>
            <w:tcW w:type="dxa" w:w="5100"/>
            <w:shd w:fill="D9E2F3" w:val="clear"/>
            <w:tcMar>
              <w:top w:type="dxa" w:w="40"/>
              <w:left w:type="dxa" w:w="100"/>
              <w:bottom w:type="dxa" w:w="40"/>
              <w:right w:type="dxa" w:w="100"/>
            </w:tcMar>
            <w:vAlign w:val="top"/>
          </w:tcPr>
          <w:p>
            <w:pPr>
              <w:spacing w:after="20" w:before="20" w:line="240"/>
            </w:pPr>
            <w:r>
              <w:rPr>
                <w:b/>
                <w:bCs/>
              </w:rPr>
              <w:t xml:space="preserve">Question</w:t>
            </w:r>
          </w:p>
        </w:tc>
        <w:tc>
          <w:tcPr>
            <w:tcW w:type="dxa" w:w="4600"/>
            <w:shd w:fill="D9E2F3" w:val="clear"/>
            <w:tcMar>
              <w:top w:type="dxa" w:w="40"/>
              <w:left w:type="dxa" w:w="100"/>
              <w:bottom w:type="dxa" w:w="40"/>
              <w:right w:type="dxa" w:w="100"/>
            </w:tcMar>
            <w:vAlign w:val="top"/>
          </w:tcPr>
          <w:p>
            <w:pPr>
              <w:spacing w:after="20" w:before="20" w:line="240"/>
            </w:pPr>
            <w:r>
              <w:rPr>
                <w:b/>
                <w:bCs/>
              </w:rPr>
              <w:t xml:space="preserve">Options — correct (✓); misconception tags in brackets</w:t>
            </w:r>
          </w:p>
        </w:tc>
        <w:tc>
          <w:tcPr>
            <w:tcW w:type="dxa" w:w="2500"/>
            <w:shd w:fill="D9E2F3" w:val="clear"/>
            <w:tcMar>
              <w:top w:type="dxa" w:w="40"/>
              <w:left w:type="dxa" w:w="100"/>
              <w:bottom w:type="dxa" w:w="40"/>
              <w:right w:type="dxa" w:w="100"/>
            </w:tcMar>
            <w:vAlign w:val="top"/>
          </w:tcPr>
          <w:p>
            <w:pPr>
              <w:spacing w:after="20" w:before="20" w:line="240"/>
            </w:pPr>
            <w:r>
              <w:rPr>
                <w:b/>
                <w:bCs/>
              </w:rPr>
              <w:t xml:space="preserve">Measures</w:t>
            </w:r>
          </w:p>
        </w:tc>
      </w:tr>
      <w:tr>
        <w:tc>
          <w:tcPr>
            <w:tcW w:type="dxa" w:w="1200"/>
            <w:tcMar>
              <w:top w:type="dxa" w:w="40"/>
              <w:left w:type="dxa" w:w="100"/>
              <w:bottom w:type="dxa" w:w="40"/>
              <w:right w:type="dxa" w:w="100"/>
            </w:tcMar>
            <w:vAlign w:val="top"/>
          </w:tcPr>
          <w:p>
            <w:pPr>
              <w:spacing w:after="20" w:before="20" w:line="240"/>
            </w:pPr>
            <w:r>
              <w:rPr>
                <w:b/>
                <w:bCs/>
              </w:rPr>
              <w:t xml:space="preserve">D-Q1 (Understand)</w:t>
            </w:r>
          </w:p>
        </w:tc>
        <w:tc>
          <w:tcPr>
            <w:tcW w:type="dxa" w:w="5100"/>
            <w:tcMar>
              <w:top w:type="dxa" w:w="40"/>
              <w:left w:type="dxa" w:w="100"/>
              <w:bottom w:type="dxa" w:w="40"/>
              <w:right w:type="dxa" w:w="100"/>
            </w:tcMar>
            <w:vAlign w:val="top"/>
          </w:tcPr>
          <w:p>
            <w:pPr>
              <w:spacing w:after="20" w:before="20" w:line="240"/>
            </w:pPr>
            <w:r>
              <w:t xml:space="preserve">The supervisor proposes withdrawing Dion from his current course today. Which avoidable issue is this?</w:t>
            </w:r>
          </w:p>
        </w:tc>
        <w:tc>
          <w:tcPr>
            <w:tcW w:type="dxa" w:w="4600"/>
            <w:tcMar>
              <w:top w:type="dxa" w:w="40"/>
              <w:left w:type="dxa" w:w="100"/>
              <w:bottom w:type="dxa" w:w="40"/>
              <w:right w:type="dxa" w:w="100"/>
            </w:tcMar>
            <w:vAlign w:val="top"/>
          </w:tcPr>
          <w:p>
            <w:pPr>
              <w:spacing w:after="20" w:before="20" w:line="240"/>
            </w:pPr>
            <w:r>
              <w:t xml:space="preserve">A. Withdrawing a member before an authorized decision (✓)</w:t>
            </w:r>
          </w:p>
          <w:p>
            <w:pPr>
              <w:spacing w:after="20" w:before="20" w:line="240"/>
            </w:pPr>
            <w:r>
              <w:t xml:space="preserve">B. Failing to action a transfer message — “No message exists yet at this point.”</w:t>
            </w:r>
          </w:p>
          <w:p>
            <w:pPr>
              <w:spacing w:after="20" w:before="20" w:line="240"/>
            </w:pPr>
            <w:r>
              <w:t xml:space="preserve">C. Applying routine handling to a special case — “The issue here is timing, not case type.”</w:t>
            </w:r>
          </w:p>
          <w:p>
            <w:pPr>
              <w:spacing w:after="20" w:before="20" w:line="240"/>
            </w:pPr>
            <w:r>
              <w:t xml:space="preserve">D. It is not an issue — [informal-is-enough]</w:t>
            </w:r>
          </w:p>
        </w:tc>
        <w:tc>
          <w:tcPr>
            <w:tcW w:type="dxa" w:w="2500"/>
            <w:tcMar>
              <w:top w:type="dxa" w:w="40"/>
              <w:left w:type="dxa" w:w="100"/>
              <w:bottom w:type="dxa" w:w="40"/>
              <w:right w:type="dxa" w:w="100"/>
            </w:tcMar>
            <w:vAlign w:val="top"/>
          </w:tcPr>
          <w:p>
            <w:pPr>
              <w:spacing w:after="20" w:before="20" w:line="240"/>
            </w:pPr>
            <w:r>
              <w:t xml:space="preserve">Recognize the issue in context</w:t>
            </w:r>
          </w:p>
        </w:tc>
      </w:tr>
      <w:tr>
        <w:tc>
          <w:tcPr>
            <w:tcW w:type="dxa" w:w="1200"/>
            <w:tcMar>
              <w:top w:type="dxa" w:w="40"/>
              <w:left w:type="dxa" w:w="100"/>
              <w:bottom w:type="dxa" w:w="40"/>
              <w:right w:type="dxa" w:w="100"/>
            </w:tcMar>
            <w:vAlign w:val="top"/>
          </w:tcPr>
          <w:p>
            <w:pPr>
              <w:spacing w:after="20" w:before="20" w:line="240"/>
            </w:pPr>
            <w:r>
              <w:rPr>
                <w:b/>
                <w:bCs/>
              </w:rPr>
              <w:t xml:space="preserve">D-Q2 (Apply)</w:t>
            </w:r>
          </w:p>
        </w:tc>
        <w:tc>
          <w:tcPr>
            <w:tcW w:type="dxa" w:w="5100"/>
            <w:tcMar>
              <w:top w:type="dxa" w:w="40"/>
              <w:left w:type="dxa" w:w="100"/>
              <w:bottom w:type="dxa" w:w="40"/>
              <w:right w:type="dxa" w:w="100"/>
            </w:tcMar>
            <w:vAlign w:val="top"/>
          </w:tcPr>
          <w:p>
            <w:pPr>
              <w:spacing w:after="20" w:before="20" w:line="240"/>
            </w:pPr>
            <w:r>
              <w:t xml:space="preserve">What is the best action for Dion’s course right now?</w:t>
            </w:r>
          </w:p>
        </w:tc>
        <w:tc>
          <w:tcPr>
            <w:tcW w:type="dxa" w:w="4600"/>
            <w:tcMar>
              <w:top w:type="dxa" w:w="40"/>
              <w:left w:type="dxa" w:w="100"/>
              <w:bottom w:type="dxa" w:w="40"/>
              <w:right w:type="dxa" w:w="100"/>
            </w:tcMar>
            <w:vAlign w:val="top"/>
          </w:tcPr>
          <w:p>
            <w:pPr>
              <w:spacing w:after="20" w:before="20" w:line="240"/>
            </w:pPr>
            <w:r>
              <w:t xml:space="preserve">A. Keep him on the current course while awaiting the authorized decision (✓)</w:t>
            </w:r>
          </w:p>
          <w:p>
            <w:pPr>
              <w:spacing w:after="20" w:before="20" w:line="240"/>
            </w:pPr>
            <w:r>
              <w:t xml:space="preserve">B. Withdraw and begin preparation — [anticipating-outcome]</w:t>
            </w:r>
          </w:p>
          <w:p>
            <w:pPr>
              <w:spacing w:after="20" w:before="20" w:line="240"/>
            </w:pPr>
            <w:r>
              <w:t xml:space="preserve">C. Request a BTL posting before the board meets — [anticipating-outcome]</w:t>
            </w:r>
          </w:p>
          <w:p>
            <w:pPr>
              <w:spacing w:after="20" w:before="20" w:line="240"/>
            </w:pPr>
            <w:r>
              <w:t xml:space="preserve">D. Pause the course on the supervisor’s confirmation — [informal-is-enough]</w:t>
            </w:r>
          </w:p>
        </w:tc>
        <w:tc>
          <w:tcPr>
            <w:tcW w:type="dxa" w:w="2500"/>
            <w:tcMar>
              <w:top w:type="dxa" w:w="40"/>
              <w:left w:type="dxa" w:w="100"/>
              <w:bottom w:type="dxa" w:w="40"/>
              <w:right w:type="dxa" w:w="100"/>
            </w:tcMar>
            <w:vAlign w:val="top"/>
          </w:tcPr>
          <w:p>
            <w:pPr>
              <w:spacing w:after="20" w:before="20" w:line="240"/>
            </w:pPr>
            <w:r>
              <w:t xml:space="preserve">Apply the protect-the-process rule</w:t>
            </w:r>
          </w:p>
        </w:tc>
      </w:tr>
      <w:tr>
        <w:tc>
          <w:tcPr>
            <w:tcW w:type="dxa" w:w="1200"/>
            <w:tcMar>
              <w:top w:type="dxa" w:w="40"/>
              <w:left w:type="dxa" w:w="100"/>
              <w:bottom w:type="dxa" w:w="40"/>
              <w:right w:type="dxa" w:w="100"/>
            </w:tcMar>
            <w:vAlign w:val="top"/>
          </w:tcPr>
          <w:p>
            <w:pPr>
              <w:spacing w:after="20" w:before="20" w:line="240"/>
            </w:pPr>
            <w:r>
              <w:rPr>
                <w:b/>
                <w:bCs/>
              </w:rPr>
              <w:t xml:space="preserve">D-Q3 (Evaluate)</w:t>
            </w:r>
          </w:p>
        </w:tc>
        <w:tc>
          <w:tcPr>
            <w:tcW w:type="dxa" w:w="5100"/>
            <w:tcMar>
              <w:top w:type="dxa" w:w="40"/>
              <w:left w:type="dxa" w:w="100"/>
              <w:bottom w:type="dxa" w:w="40"/>
              <w:right w:type="dxa" w:w="100"/>
            </w:tcMar>
            <w:vAlign w:val="top"/>
          </w:tcPr>
          <w:p>
            <w:pPr>
              <w:spacing w:after="20" w:before="20" w:line="240"/>
            </w:pPr>
            <w:r>
              <w:t xml:space="preserve">Regarding the OT message: your unit has actioned its part; the gaining unit has not seen the message. Evaluate the state of the transfer actions.</w:t>
            </w:r>
          </w:p>
        </w:tc>
        <w:tc>
          <w:tcPr>
            <w:tcW w:type="dxa" w:w="4600"/>
            <w:tcMar>
              <w:top w:type="dxa" w:w="40"/>
              <w:left w:type="dxa" w:w="100"/>
              <w:bottom w:type="dxa" w:w="40"/>
              <w:right w:type="dxa" w:w="100"/>
            </w:tcMar>
            <w:vAlign w:val="top"/>
          </w:tcPr>
          <w:p>
            <w:pPr>
              <w:spacing w:after="20" w:before="20" w:line="240"/>
            </w:pPr>
            <w:r>
              <w:t xml:space="preserve">A. Incomplete — both gaining and losing units must read and action the message; confirm the gaining unit does so (✓)</w:t>
            </w:r>
          </w:p>
          <w:p>
            <w:pPr>
              <w:spacing w:after="20" w:before="20" w:line="240"/>
            </w:pPr>
            <w:r>
              <w:t xml:space="preserve">B. Complete — the losing unit actioned its part — [half-message]</w:t>
            </w:r>
          </w:p>
          <w:p>
            <w:pPr>
              <w:spacing w:after="20" w:before="20" w:line="240"/>
            </w:pPr>
            <w:r>
              <w:t xml:space="preserve">C. The member should relay it — “Message actions are unit responsibilities.”</w:t>
            </w:r>
          </w:p>
          <w:p>
            <w:pPr>
              <w:spacing w:after="20" w:before="20" w:line="240"/>
            </w:pPr>
            <w:r>
              <w:t xml:space="preserve">D. Wait for a further instruction — “The OT message already contains the required actions.” [half-message]</w:t>
            </w:r>
          </w:p>
        </w:tc>
        <w:tc>
          <w:tcPr>
            <w:tcW w:type="dxa" w:w="2500"/>
            <w:tcMar>
              <w:top w:type="dxa" w:w="40"/>
              <w:left w:type="dxa" w:w="100"/>
              <w:bottom w:type="dxa" w:w="40"/>
              <w:right w:type="dxa" w:w="100"/>
            </w:tcMar>
            <w:vAlign w:val="top"/>
          </w:tcPr>
          <w:p>
            <w:pPr>
              <w:spacing w:after="20" w:before="20" w:line="240"/>
            </w:pPr>
            <w:r>
              <w:t xml:space="preserve">Judge completeness of message actions</w:t>
            </w:r>
          </w:p>
        </w:tc>
      </w:tr>
    </w:tbl>
    <w:p>
      <w:pPr>
        <w:pStyle w:val="Heading1"/>
        <w:spacing w:after="120" w:before="280"/>
      </w:pPr>
      <w:r>
        <w:t xml:space="preserve">6. Post-test parallel form (added to v4 section tests)</w:t>
      </w:r>
    </w:p>
    <w:p>
      <w:pPr>
        <w:spacing w:after="120" w:before="40" w:line="259"/>
      </w:pPr>
      <w:r>
        <w:t xml:space="preserve">To make growth measurable on the same 0–3 scale, each section test becomes a three-question ladder: v4 items SOn-T1b (Q1 level) and SOn-T2b (Q2 level) plus one new Q3-level item below. Mastery level at exit is computed with the same consecutive-pass rule; pre/post is reported as level change per SO (e.g., SO2: L1 → L3). Pass standard for section completion: exit level ≥ L2, with L3 recommended for SO3 and SO4 (procedural and judgement objectives).</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700"/>
        <w:gridCol w:w="11700"/>
      </w:tblGrid>
      <w:tr>
        <w:trPr>
          <w:tblHeader/>
        </w:trPr>
        <w:tc>
          <w:tcPr>
            <w:tcW w:type="dxa" w:w="1700"/>
            <w:shd w:fill="D9E2F3" w:val="clear"/>
            <w:tcMar>
              <w:top w:type="dxa" w:w="40"/>
              <w:left w:type="dxa" w:w="100"/>
              <w:bottom w:type="dxa" w:w="40"/>
              <w:right w:type="dxa" w:w="100"/>
            </w:tcMar>
            <w:vAlign w:val="top"/>
          </w:tcPr>
          <w:p>
            <w:pPr>
              <w:spacing w:after="20" w:before="20" w:line="240"/>
            </w:pPr>
            <w:r>
              <w:rPr>
                <w:b/>
                <w:bCs/>
              </w:rPr>
              <w:t xml:space="preserve">ID</w:t>
            </w:r>
          </w:p>
        </w:tc>
        <w:tc>
          <w:tcPr>
            <w:tcW w:type="dxa" w:w="11700"/>
            <w:shd w:fill="D9E2F3" w:val="clear"/>
            <w:tcMar>
              <w:top w:type="dxa" w:w="40"/>
              <w:left w:type="dxa" w:w="100"/>
              <w:bottom w:type="dxa" w:w="40"/>
              <w:right w:type="dxa" w:w="100"/>
            </w:tcMar>
            <w:vAlign w:val="top"/>
          </w:tcPr>
          <w:p>
            <w:pPr>
              <w:spacing w:after="20" w:before="20" w:line="240"/>
            </w:pPr>
            <w:r>
              <w:rPr>
                <w:b/>
                <w:bCs/>
              </w:rPr>
              <w:t xml:space="preserve">New Q3-level section-test item</w:t>
            </w:r>
          </w:p>
        </w:tc>
      </w:tr>
      <w:tr>
        <w:tc>
          <w:tcPr>
            <w:tcW w:type="dxa" w:w="1700"/>
            <w:tcMar>
              <w:top w:type="dxa" w:w="40"/>
              <w:left w:type="dxa" w:w="100"/>
              <w:bottom w:type="dxa" w:w="40"/>
              <w:right w:type="dxa" w:w="100"/>
            </w:tcMar>
            <w:vAlign w:val="top"/>
          </w:tcPr>
          <w:p>
            <w:pPr>
              <w:spacing w:after="20" w:before="20" w:line="240"/>
            </w:pPr>
            <w:r>
              <w:rPr>
                <w:b/>
                <w:bCs/>
              </w:rPr>
              <w:t xml:space="preserve">SO1-Q3b</w:t>
            </w:r>
          </w:p>
        </w:tc>
        <w:tc>
          <w:tcPr>
            <w:tcW w:type="dxa" w:w="11700"/>
            <w:tcMar>
              <w:top w:type="dxa" w:w="40"/>
              <w:left w:type="dxa" w:w="100"/>
              <w:bottom w:type="dxa" w:w="40"/>
              <w:right w:type="dxa" w:w="100"/>
            </w:tcMar>
            <w:vAlign w:val="top"/>
          </w:tcPr>
          <w:p>
            <w:pPr>
              <w:spacing w:after="20" w:before="20" w:line="240"/>
            </w:pPr>
            <w:r>
              <w:t xml:space="preserve">It is late August. A UTPNCM member needs two weeks of military coursing before the academic year resumes, and a newly qualified CFRP member is still shown on the BTL. Which handling is correct for each? (✓ BTL Manager arranges the UTPNCM coursing between academic years; the qualified CFRP member may return to career-manager control. Distractors swap the arrangements or leave both on BTL [all-wait-on-BTL].)</w:t>
            </w:r>
          </w:p>
        </w:tc>
      </w:tr>
      <w:tr>
        <w:tc>
          <w:tcPr>
            <w:tcW w:type="dxa" w:w="1700"/>
            <w:tcMar>
              <w:top w:type="dxa" w:w="40"/>
              <w:left w:type="dxa" w:w="100"/>
              <w:bottom w:type="dxa" w:w="40"/>
              <w:right w:type="dxa" w:w="100"/>
            </w:tcMar>
            <w:vAlign w:val="top"/>
          </w:tcPr>
          <w:p>
            <w:pPr>
              <w:spacing w:after="20" w:before="20" w:line="240"/>
            </w:pPr>
            <w:r>
              <w:rPr>
                <w:b/>
                <w:bCs/>
              </w:rPr>
              <w:t xml:space="preserve">SO2-Q3b</w:t>
            </w:r>
          </w:p>
        </w:tc>
        <w:tc>
          <w:tcPr>
            <w:tcW w:type="dxa" w:w="11700"/>
            <w:tcMar>
              <w:top w:type="dxa" w:w="40"/>
              <w:left w:type="dxa" w:w="100"/>
              <w:bottom w:type="dxa" w:w="40"/>
              <w:right w:type="dxa" w:w="100"/>
            </w:tcMar>
            <w:vAlign w:val="top"/>
          </w:tcPr>
          <w:p>
            <w:pPr>
              <w:spacing w:after="20" w:before="20" w:line="240"/>
            </w:pPr>
            <w:r>
              <w:t xml:space="preserve">A briefing slide states: “Any compulsory transfer means pay protection under the general transfer meaning.” Evaluate. (✓ Wrong — CBI 204.03 defines compulsory differently for pay protection; check the applicable CBI definition before applying it. Distractors accept the slide [compulsory-is-one-thing] or limit the error to one pathway.)</w:t>
            </w:r>
          </w:p>
        </w:tc>
      </w:tr>
      <w:tr>
        <w:tc>
          <w:tcPr>
            <w:tcW w:type="dxa" w:w="1700"/>
            <w:tcMar>
              <w:top w:type="dxa" w:w="40"/>
              <w:left w:type="dxa" w:w="100"/>
              <w:bottom w:type="dxa" w:w="40"/>
              <w:right w:type="dxa" w:w="100"/>
            </w:tcMar>
            <w:vAlign w:val="top"/>
          </w:tcPr>
          <w:p>
            <w:pPr>
              <w:spacing w:after="20" w:before="20" w:line="240"/>
            </w:pPr>
            <w:r>
              <w:rPr>
                <w:b/>
                <w:bCs/>
              </w:rPr>
              <w:t xml:space="preserve">SO3-Q3b</w:t>
            </w:r>
          </w:p>
        </w:tc>
        <w:tc>
          <w:tcPr>
            <w:tcW w:type="dxa" w:w="11700"/>
            <w:tcMar>
              <w:top w:type="dxa" w:w="40"/>
              <w:left w:type="dxa" w:w="100"/>
              <w:bottom w:type="dxa" w:w="40"/>
              <w:right w:type="dxa" w:w="100"/>
            </w:tcMar>
            <w:vAlign w:val="top"/>
          </w:tcPr>
          <w:p>
            <w:pPr>
              <w:spacing w:after="20" w:before="20" w:line="240"/>
            </w:pPr>
            <w:r>
              <w:t xml:space="preserve">Sequence all seven CMOT steps for a new file, naming the responsible organization at each. (✓ advisory (DMCA 3) → CoC referral → PSO interview/processing → PSO sends DND 2790 to DMCA 3 → DMCA 3 reviews/consults DMCPG 5-3 → DMCA 3 decision letter → DMCPG 5-3 COT instruction. Tile-level feedback names the misplaced organization [authority-sequence / review-skipped].)</w:t>
            </w:r>
          </w:p>
        </w:tc>
      </w:tr>
      <w:tr>
        <w:tc>
          <w:tcPr>
            <w:tcW w:type="dxa" w:w="1700"/>
            <w:tcMar>
              <w:top w:type="dxa" w:w="40"/>
              <w:left w:type="dxa" w:w="100"/>
              <w:bottom w:type="dxa" w:w="40"/>
              <w:right w:type="dxa" w:w="100"/>
            </w:tcMar>
            <w:vAlign w:val="top"/>
          </w:tcPr>
          <w:p>
            <w:pPr>
              <w:spacing w:after="20" w:before="20" w:line="240"/>
            </w:pPr>
            <w:r>
              <w:rPr>
                <w:b/>
                <w:bCs/>
              </w:rPr>
              <w:t xml:space="preserve">SO4-Q3b</w:t>
            </w:r>
          </w:p>
        </w:tc>
        <w:tc>
          <w:tcPr>
            <w:tcW w:type="dxa" w:w="11700"/>
            <w:tcMar>
              <w:top w:type="dxa" w:w="40"/>
              <w:left w:type="dxa" w:w="100"/>
              <w:bottom w:type="dxa" w:w="40"/>
              <w:right w:type="dxa" w:w="100"/>
            </w:tcMar>
            <w:vAlign w:val="top"/>
          </w:tcPr>
          <w:p>
            <w:pPr>
              <w:spacing w:after="20" w:before="20" w:line="240"/>
            </w:pPr>
            <w:r>
              <w:t xml:space="preserve">A CT message was actioned at the losing unit only, and the member asks to pause the course based on the expected transfer. Judge the situation and pick the complete correct handling. (✓ Keep the member on course until direction is issued AND ensure the gaining unit reads and actions the CT message — both required. Distractors satisfy only one requirement [half-message / informal-is-enough].)</w:t>
            </w:r>
          </w:p>
        </w:tc>
      </w:tr>
    </w:tbl>
    <w:p>
      <w:pPr>
        <w:pStyle w:val="Heading1"/>
        <w:spacing w:after="120" w:before="280"/>
      </w:pPr>
      <w:r>
        <w:t xml:space="preserve">7. Reporting (what the LMS and the team see)</w:t>
      </w:r>
    </w:p>
    <w:p>
      <w:pPr>
        <w:spacing w:after="120" w:before="40" w:line="259"/>
      </w:pPr>
      <w:r>
        <w:t xml:space="preserve">Per learner: a 4-cell profile of placement level and exit level per SO (e.g., SO1 L3→skip; SO2 L1→L3; SO3 L0→L2; SO4 L2→L3), plus time saved by skipped content.</w:t>
      </w:r>
    </w:p>
    <w:p>
      <w:pPr>
        <w:spacing w:after="120" w:before="40" w:line="259"/>
      </w:pPr>
      <w:r>
        <w:t xml:space="preserve">Course score for SCORM: mean of section-test ladders (L/3 per SO), skipped SOs credited L3.</w:t>
      </w:r>
    </w:p>
    <w:p>
      <w:pPr>
        <w:spacing w:after="120" w:before="40" w:line="259"/>
      </w:pPr>
      <w:r>
        <w:t xml:space="preserve">Cohort view (xAPI): distribution of placement levels per SO — tells the team which topics the audience already owns (candidates for pruning) and which misconception tags fire most (candidates for stronger refutation content).</w:t>
      </w:r>
    </w:p>
    <w:p>
      <w:pPr>
        <w:spacing w:after="120" w:before="40" w:line="259"/>
      </w:pPr>
      <w:r>
        <w:t xml:space="preserve">QA validation of the ladder itself: after Alpha, check that pass rates decrease monotonically Q1 ≥ Q2 ≥ Q3 within each scenario; any inversion means a mis-levelled item to rewrite.</w:t>
      </w:r>
    </w:p>
    <w:p>
      <w:pPr>
        <w:pStyle w:val="Heading1"/>
        <w:spacing w:after="120" w:before="280"/>
      </w:pPr>
      <w:r>
        <w:t xml:space="preserve">8. Change control vs v4</w:t>
      </w:r>
    </w:p>
    <w:p>
      <w:pPr>
        <w:spacing w:after="120" w:before="40" w:line="259"/>
      </w:pPr>
      <w:r>
        <w:t xml:space="preserve">Removed: confidence follow-up taps, correctness × confidence matrix, variables v_*conf.</w:t>
      </w:r>
    </w:p>
    <w:p>
      <w:pPr>
        <w:spacing w:after="120" w:before="40" w:line="259"/>
      </w:pPr>
      <w:r>
        <w:t xml:space="preserve">Replaced: four 2-item gates (1.G–4.G) → one placement module M-P of four 3-question scenario blocks; routing table §4 replaces v4 Routing Rules.</w:t>
      </w:r>
    </w:p>
    <w:p>
      <w:pPr>
        <w:spacing w:after="120" w:before="40" w:line="259"/>
      </w:pPr>
      <w:r>
        <w:t xml:space="preserve">Retriggered: refutation cards now fire on tagged distractors instead of Wrong+Sure.</w:t>
      </w:r>
    </w:p>
    <w:p>
      <w:pPr>
        <w:spacing w:after="120" w:before="40" w:line="259"/>
      </w:pPr>
      <w:r>
        <w:t xml:space="preserve">Extended: section tests gain one Q3-level item each (§6); exit standard = level ≥ L2 (L3 for SO3/SO4).</w:t>
      </w:r>
    </w:p>
    <w:p>
      <w:pPr>
        <w:spacing w:after="120" w:before="40" w:line="259"/>
      </w:pPr>
      <w:r>
        <w:t xml:space="preserve">Unchanged: all teach, worked-example, practice and close slides; item bank forms b/c; spiral review; booster; accessibility and design specs.</w:t>
      </w:r>
    </w:p>
    <w:p>
      <w:pPr>
        <w:spacing w:after="120" w:before="40" w:line="259"/>
      </w:pPr>
      <w:r>
        <w:t xml:space="preserve">v5 → v6: design and item wording unchanged; added §9–§12 (tag registry, refutation-card copy, build spec, acceptance checklist) and the companion interactive prototype.</w:t>
      </w:r>
    </w:p>
    <w:p>
      <w:pPr>
        <w:pStyle w:val="Heading1"/>
        <w:spacing w:after="120" w:before="280"/>
      </w:pPr>
      <w:r>
        <w:t xml:space="preserve">9. Misconception-tag registry</w:t>
      </w:r>
    </w:p>
    <w:p>
      <w:pPr>
        <w:spacing w:after="120" w:before="40" w:line="259"/>
      </w:pPr>
      <w:r>
        <w:t xml:space="preserve">One vocabulary shared by item authoring, refutation cards and analytics. Each tag becomes one boolean variable (§11).</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2900"/>
        <w:gridCol w:w="5100"/>
        <w:gridCol w:w="3300"/>
        <w:gridCol w:w="2100"/>
      </w:tblGrid>
      <w:tr>
        <w:trPr>
          <w:tblHeader/>
        </w:trPr>
        <w:tc>
          <w:tcPr>
            <w:tcW w:type="dxa" w:w="2900"/>
            <w:shd w:fill="D9E2F3" w:val="clear"/>
            <w:tcMar>
              <w:top w:type="dxa" w:w="40"/>
              <w:left w:type="dxa" w:w="100"/>
              <w:bottom w:type="dxa" w:w="40"/>
              <w:right w:type="dxa" w:w="100"/>
            </w:tcMar>
            <w:vAlign w:val="top"/>
          </w:tcPr>
          <w:p>
            <w:pPr>
              <w:spacing w:after="20" w:before="20" w:line="240"/>
            </w:pPr>
            <w:r>
              <w:rPr>
                <w:b/>
                <w:bCs/>
              </w:rPr>
              <w:t xml:space="preserve">Tag (variable suffix)</w:t>
            </w:r>
          </w:p>
        </w:tc>
        <w:tc>
          <w:tcPr>
            <w:tcW w:type="dxa" w:w="5100"/>
            <w:shd w:fill="D9E2F3" w:val="clear"/>
            <w:tcMar>
              <w:top w:type="dxa" w:w="40"/>
              <w:left w:type="dxa" w:w="100"/>
              <w:bottom w:type="dxa" w:w="40"/>
              <w:right w:type="dxa" w:w="100"/>
            </w:tcMar>
            <w:vAlign w:val="top"/>
          </w:tcPr>
          <w:p>
            <w:pPr>
              <w:spacing w:after="20" w:before="20" w:line="240"/>
            </w:pPr>
            <w:r>
              <w:rPr>
                <w:b/>
                <w:bCs/>
              </w:rPr>
              <w:t xml:space="preserve">Misconception it marks</w:t>
            </w:r>
          </w:p>
        </w:tc>
        <w:tc>
          <w:tcPr>
            <w:tcW w:type="dxa" w:w="3300"/>
            <w:shd w:fill="D9E2F3" w:val="clear"/>
            <w:tcMar>
              <w:top w:type="dxa" w:w="40"/>
              <w:left w:type="dxa" w:w="100"/>
              <w:bottom w:type="dxa" w:w="40"/>
              <w:right w:type="dxa" w:w="100"/>
            </w:tcMar>
            <w:vAlign w:val="top"/>
          </w:tcPr>
          <w:p>
            <w:pPr>
              <w:spacing w:after="20" w:before="20" w:line="240"/>
            </w:pPr>
            <w:r>
              <w:rPr>
                <w:b/>
                <w:bCs/>
              </w:rPr>
              <w:t xml:space="preserve">Fires in items</w:t>
            </w:r>
          </w:p>
        </w:tc>
        <w:tc>
          <w:tcPr>
            <w:tcW w:type="dxa" w:w="2100"/>
            <w:shd w:fill="D9E2F3" w:val="clear"/>
            <w:tcMar>
              <w:top w:type="dxa" w:w="40"/>
              <w:left w:type="dxa" w:w="100"/>
              <w:bottom w:type="dxa" w:w="40"/>
              <w:right w:type="dxa" w:w="100"/>
            </w:tcMar>
            <w:vAlign w:val="top"/>
          </w:tcPr>
          <w:p>
            <w:pPr>
              <w:spacing w:after="20" w:before="20" w:line="240"/>
            </w:pPr>
            <w:r>
              <w:rPr>
                <w:b/>
                <w:bCs/>
              </w:rPr>
              <w:t xml:space="preserve">Card</w:t>
            </w:r>
          </w:p>
        </w:tc>
      </w:tr>
      <w:tr>
        <w:tc>
          <w:tcPr>
            <w:tcW w:type="dxa" w:w="2900"/>
            <w:tcMar>
              <w:top w:type="dxa" w:w="40"/>
              <w:left w:type="dxa" w:w="100"/>
              <w:bottom w:type="dxa" w:w="40"/>
              <w:right w:type="dxa" w:w="100"/>
            </w:tcMar>
            <w:vAlign w:val="top"/>
          </w:tcPr>
          <w:p>
            <w:pPr>
              <w:spacing w:after="20" w:before="20" w:line="240"/>
            </w:pPr>
            <w:r>
              <w:t xml:space="preserve">all-wait-on-BTL</w:t>
            </w:r>
          </w:p>
        </w:tc>
        <w:tc>
          <w:tcPr>
            <w:tcW w:type="dxa" w:w="5100"/>
            <w:tcMar>
              <w:top w:type="dxa" w:w="40"/>
              <w:left w:type="dxa" w:w="100"/>
              <w:bottom w:type="dxa" w:w="40"/>
              <w:right w:type="dxa" w:w="100"/>
            </w:tcMar>
            <w:vAlign w:val="top"/>
          </w:tcPr>
          <w:p>
            <w:pPr>
              <w:spacing w:after="20" w:before="20" w:line="240"/>
            </w:pPr>
            <w:r>
              <w:t xml:space="preserve">“Every selected/transferring member just sits on the BTL”</w:t>
            </w:r>
          </w:p>
        </w:tc>
        <w:tc>
          <w:tcPr>
            <w:tcW w:type="dxa" w:w="3300"/>
            <w:tcMar>
              <w:top w:type="dxa" w:w="40"/>
              <w:left w:type="dxa" w:w="100"/>
              <w:bottom w:type="dxa" w:w="40"/>
              <w:right w:type="dxa" w:w="100"/>
            </w:tcMar>
            <w:vAlign w:val="top"/>
          </w:tcPr>
          <w:p>
            <w:pPr>
              <w:spacing w:after="20" w:before="20" w:line="240"/>
            </w:pPr>
            <w:r>
              <w:t xml:space="preserve">A-Q1, A-Q3, SO1-Q3b</w:t>
            </w:r>
          </w:p>
        </w:tc>
        <w:tc>
          <w:tcPr>
            <w:tcW w:type="dxa" w:w="2100"/>
            <w:tcMar>
              <w:top w:type="dxa" w:w="40"/>
              <w:left w:type="dxa" w:w="100"/>
              <w:bottom w:type="dxa" w:w="40"/>
              <w:right w:type="dxa" w:w="100"/>
            </w:tcMar>
            <w:vAlign w:val="top"/>
          </w:tcPr>
          <w:p>
            <w:pPr>
              <w:spacing w:after="20" w:before="20" w:line="240"/>
            </w:pPr>
            <w:r>
              <w:t xml:space="preserve">1.R</w:t>
            </w:r>
          </w:p>
        </w:tc>
      </w:tr>
      <w:tr>
        <w:tc>
          <w:tcPr>
            <w:tcW w:type="dxa" w:w="2900"/>
            <w:tcMar>
              <w:top w:type="dxa" w:w="40"/>
              <w:left w:type="dxa" w:w="100"/>
              <w:bottom w:type="dxa" w:w="40"/>
              <w:right w:type="dxa" w:w="100"/>
            </w:tcMar>
            <w:vAlign w:val="top"/>
          </w:tcPr>
          <w:p>
            <w:pPr>
              <w:spacing w:after="20" w:before="20" w:line="240"/>
            </w:pPr>
            <w:r>
              <w:t xml:space="preserve">DMCPG-manages</w:t>
            </w:r>
          </w:p>
        </w:tc>
        <w:tc>
          <w:tcPr>
            <w:tcW w:type="dxa" w:w="5100"/>
            <w:tcMar>
              <w:top w:type="dxa" w:w="40"/>
              <w:left w:type="dxa" w:w="100"/>
              <w:bottom w:type="dxa" w:w="40"/>
              <w:right w:type="dxa" w:w="100"/>
            </w:tcMar>
            <w:vAlign w:val="top"/>
          </w:tcPr>
          <w:p>
            <w:pPr>
              <w:spacing w:after="20" w:before="20" w:line="240"/>
            </w:pPr>
            <w:r>
              <w:t xml:space="preserve">“DMCPG 5-3 manages members directly”</w:t>
            </w:r>
          </w:p>
        </w:tc>
        <w:tc>
          <w:tcPr>
            <w:tcW w:type="dxa" w:w="3300"/>
            <w:tcMar>
              <w:top w:type="dxa" w:w="40"/>
              <w:left w:type="dxa" w:w="100"/>
              <w:bottom w:type="dxa" w:w="40"/>
              <w:right w:type="dxa" w:w="100"/>
            </w:tcMar>
            <w:vAlign w:val="top"/>
          </w:tcPr>
          <w:p>
            <w:pPr>
              <w:spacing w:after="20" w:before="20" w:line="240"/>
            </w:pPr>
            <w:r>
              <w:t xml:space="preserve">A-Q2</w:t>
            </w:r>
          </w:p>
        </w:tc>
        <w:tc>
          <w:tcPr>
            <w:tcW w:type="dxa" w:w="2100"/>
            <w:tcMar>
              <w:top w:type="dxa" w:w="40"/>
              <w:left w:type="dxa" w:w="100"/>
              <w:bottom w:type="dxa" w:w="40"/>
              <w:right w:type="dxa" w:w="100"/>
            </w:tcMar>
            <w:vAlign w:val="top"/>
          </w:tcPr>
          <w:p>
            <w:pPr>
              <w:spacing w:after="20" w:before="20" w:line="240"/>
            </w:pPr>
            <w:r>
              <w:t xml:space="preserve">1.R</w:t>
            </w:r>
          </w:p>
        </w:tc>
      </w:tr>
      <w:tr>
        <w:tc>
          <w:tcPr>
            <w:tcW w:type="dxa" w:w="2900"/>
            <w:tcMar>
              <w:top w:type="dxa" w:w="40"/>
              <w:left w:type="dxa" w:w="100"/>
              <w:bottom w:type="dxa" w:w="40"/>
              <w:right w:type="dxa" w:w="100"/>
            </w:tcMar>
            <w:vAlign w:val="top"/>
          </w:tcPr>
          <w:p>
            <w:pPr>
              <w:spacing w:after="20" w:before="20" w:line="240"/>
            </w:pPr>
            <w:r>
              <w:t xml:space="preserve">anticipating-outcome</w:t>
            </w:r>
          </w:p>
        </w:tc>
        <w:tc>
          <w:tcPr>
            <w:tcW w:type="dxa" w:w="5100"/>
            <w:tcMar>
              <w:top w:type="dxa" w:w="40"/>
              <w:left w:type="dxa" w:w="100"/>
              <w:bottom w:type="dxa" w:w="40"/>
              <w:right w:type="dxa" w:w="100"/>
            </w:tcMar>
            <w:vAlign w:val="top"/>
          </w:tcPr>
          <w:p>
            <w:pPr>
              <w:spacing w:after="20" w:before="20" w:line="240"/>
            </w:pPr>
            <w:r>
              <w:t xml:space="preserve">“Act on an expected decision before it is authorized”</w:t>
            </w:r>
          </w:p>
        </w:tc>
        <w:tc>
          <w:tcPr>
            <w:tcW w:type="dxa" w:w="3300"/>
            <w:tcMar>
              <w:top w:type="dxa" w:w="40"/>
              <w:left w:type="dxa" w:w="100"/>
              <w:bottom w:type="dxa" w:w="40"/>
              <w:right w:type="dxa" w:w="100"/>
            </w:tcMar>
            <w:vAlign w:val="top"/>
          </w:tcPr>
          <w:p>
            <w:pPr>
              <w:spacing w:after="20" w:before="20" w:line="240"/>
            </w:pPr>
            <w:r>
              <w:t xml:space="preserve">B-Q2, D-Q2</w:t>
            </w:r>
          </w:p>
        </w:tc>
        <w:tc>
          <w:tcPr>
            <w:tcW w:type="dxa" w:w="2100"/>
            <w:tcMar>
              <w:top w:type="dxa" w:w="40"/>
              <w:left w:type="dxa" w:w="100"/>
              <w:bottom w:type="dxa" w:w="40"/>
              <w:right w:type="dxa" w:w="100"/>
            </w:tcMar>
            <w:vAlign w:val="top"/>
          </w:tcPr>
          <w:p>
            <w:pPr>
              <w:spacing w:after="20" w:before="20" w:line="240"/>
            </w:pPr>
            <w:r>
              <w:t xml:space="preserve">2.R / 4.R</w:t>
            </w:r>
          </w:p>
        </w:tc>
      </w:tr>
      <w:tr>
        <w:tc>
          <w:tcPr>
            <w:tcW w:type="dxa" w:w="2900"/>
            <w:tcMar>
              <w:top w:type="dxa" w:w="40"/>
              <w:left w:type="dxa" w:w="100"/>
              <w:bottom w:type="dxa" w:w="40"/>
              <w:right w:type="dxa" w:w="100"/>
            </w:tcMar>
            <w:vAlign w:val="top"/>
          </w:tcPr>
          <w:p>
            <w:pPr>
              <w:spacing w:after="20" w:before="20" w:line="240"/>
            </w:pPr>
            <w:r>
              <w:t xml:space="preserve">compulsory-is-one-thing</w:t>
            </w:r>
          </w:p>
        </w:tc>
        <w:tc>
          <w:tcPr>
            <w:tcW w:type="dxa" w:w="5100"/>
            <w:tcMar>
              <w:top w:type="dxa" w:w="40"/>
              <w:left w:type="dxa" w:w="100"/>
              <w:bottom w:type="dxa" w:w="40"/>
              <w:right w:type="dxa" w:w="100"/>
            </w:tcMar>
            <w:vAlign w:val="top"/>
          </w:tcPr>
          <w:p>
            <w:pPr>
              <w:spacing w:after="20" w:before="20" w:line="240"/>
            </w:pPr>
            <w:r>
              <w:t xml:space="preserve">“All compulsory transfers are identical, incl. pay protection”</w:t>
            </w:r>
          </w:p>
        </w:tc>
        <w:tc>
          <w:tcPr>
            <w:tcW w:type="dxa" w:w="3300"/>
            <w:tcMar>
              <w:top w:type="dxa" w:w="40"/>
              <w:left w:type="dxa" w:w="100"/>
              <w:bottom w:type="dxa" w:w="40"/>
              <w:right w:type="dxa" w:w="100"/>
            </w:tcMar>
            <w:vAlign w:val="top"/>
          </w:tcPr>
          <w:p>
            <w:pPr>
              <w:spacing w:after="20" w:before="20" w:line="240"/>
            </w:pPr>
            <w:r>
              <w:t xml:space="preserve">B-Q3, SO2-Q3b</w:t>
            </w:r>
          </w:p>
        </w:tc>
        <w:tc>
          <w:tcPr>
            <w:tcW w:type="dxa" w:w="2100"/>
            <w:tcMar>
              <w:top w:type="dxa" w:w="40"/>
              <w:left w:type="dxa" w:w="100"/>
              <w:bottom w:type="dxa" w:w="40"/>
              <w:right w:type="dxa" w:w="100"/>
            </w:tcMar>
            <w:vAlign w:val="top"/>
          </w:tcPr>
          <w:p>
            <w:pPr>
              <w:spacing w:after="20" w:before="20" w:line="240"/>
            </w:pPr>
            <w:r>
              <w:t xml:space="preserve">2.R</w:t>
            </w:r>
          </w:p>
        </w:tc>
      </w:tr>
      <w:tr>
        <w:tc>
          <w:tcPr>
            <w:tcW w:type="dxa" w:w="2900"/>
            <w:tcMar>
              <w:top w:type="dxa" w:w="40"/>
              <w:left w:type="dxa" w:w="100"/>
              <w:bottom w:type="dxa" w:w="40"/>
              <w:right w:type="dxa" w:w="100"/>
            </w:tcMar>
            <w:vAlign w:val="top"/>
          </w:tcPr>
          <w:p>
            <w:pPr>
              <w:spacing w:after="20" w:before="20" w:line="240"/>
            </w:pPr>
            <w:r>
              <w:t xml:space="preserve">authority-sequence</w:t>
            </w:r>
          </w:p>
        </w:tc>
        <w:tc>
          <w:tcPr>
            <w:tcW w:type="dxa" w:w="5100"/>
            <w:tcMar>
              <w:top w:type="dxa" w:w="40"/>
              <w:left w:type="dxa" w:w="100"/>
              <w:bottom w:type="dxa" w:w="40"/>
              <w:right w:type="dxa" w:w="100"/>
            </w:tcMar>
            <w:vAlign w:val="top"/>
          </w:tcPr>
          <w:p>
            <w:pPr>
              <w:spacing w:after="20" w:before="20" w:line="240"/>
            </w:pPr>
            <w:r>
              <w:t xml:space="preserve">“Wrong organization/order at the end of CMOT”</w:t>
            </w:r>
          </w:p>
        </w:tc>
        <w:tc>
          <w:tcPr>
            <w:tcW w:type="dxa" w:w="3300"/>
            <w:tcMar>
              <w:top w:type="dxa" w:w="40"/>
              <w:left w:type="dxa" w:w="100"/>
              <w:bottom w:type="dxa" w:w="40"/>
              <w:right w:type="dxa" w:w="100"/>
            </w:tcMar>
            <w:vAlign w:val="top"/>
          </w:tcPr>
          <w:p>
            <w:pPr>
              <w:spacing w:after="20" w:before="20" w:line="240"/>
            </w:pPr>
            <w:r>
              <w:t xml:space="preserve">C-Q1, C-Q2, C-Q3, SO3-Q3b</w:t>
            </w:r>
          </w:p>
        </w:tc>
        <w:tc>
          <w:tcPr>
            <w:tcW w:type="dxa" w:w="2100"/>
            <w:tcMar>
              <w:top w:type="dxa" w:w="40"/>
              <w:left w:type="dxa" w:w="100"/>
              <w:bottom w:type="dxa" w:w="40"/>
              <w:right w:type="dxa" w:w="100"/>
            </w:tcMar>
            <w:vAlign w:val="top"/>
          </w:tcPr>
          <w:p>
            <w:pPr>
              <w:spacing w:after="20" w:before="20" w:line="240"/>
            </w:pPr>
            <w:r>
              <w:t xml:space="preserve">3.R</w:t>
            </w:r>
          </w:p>
        </w:tc>
      </w:tr>
      <w:tr>
        <w:tc>
          <w:tcPr>
            <w:tcW w:type="dxa" w:w="2900"/>
            <w:tcMar>
              <w:top w:type="dxa" w:w="40"/>
              <w:left w:type="dxa" w:w="100"/>
              <w:bottom w:type="dxa" w:w="40"/>
              <w:right w:type="dxa" w:w="100"/>
            </w:tcMar>
            <w:vAlign w:val="top"/>
          </w:tcPr>
          <w:p>
            <w:pPr>
              <w:spacing w:after="20" w:before="20" w:line="240"/>
            </w:pPr>
            <w:r>
              <w:t xml:space="preserve">review-skipped</w:t>
            </w:r>
          </w:p>
        </w:tc>
        <w:tc>
          <w:tcPr>
            <w:tcW w:type="dxa" w:w="5100"/>
            <w:tcMar>
              <w:top w:type="dxa" w:w="40"/>
              <w:left w:type="dxa" w:w="100"/>
              <w:bottom w:type="dxa" w:w="40"/>
              <w:right w:type="dxa" w:w="100"/>
            </w:tcMar>
            <w:vAlign w:val="top"/>
          </w:tcPr>
          <w:p>
            <w:pPr>
              <w:spacing w:after="20" w:before="20" w:line="240"/>
            </w:pPr>
            <w:r>
              <w:t xml:space="preserve">“Decision letter can precede DMCA 3’s review”</w:t>
            </w:r>
          </w:p>
        </w:tc>
        <w:tc>
          <w:tcPr>
            <w:tcW w:type="dxa" w:w="3300"/>
            <w:tcMar>
              <w:top w:type="dxa" w:w="40"/>
              <w:left w:type="dxa" w:w="100"/>
              <w:bottom w:type="dxa" w:w="40"/>
              <w:right w:type="dxa" w:w="100"/>
            </w:tcMar>
            <w:vAlign w:val="top"/>
          </w:tcPr>
          <w:p>
            <w:pPr>
              <w:spacing w:after="20" w:before="20" w:line="240"/>
            </w:pPr>
            <w:r>
              <w:t xml:space="preserve">C-Q2, C-Q3, SO3-Q3b</w:t>
            </w:r>
          </w:p>
        </w:tc>
        <w:tc>
          <w:tcPr>
            <w:tcW w:type="dxa" w:w="2100"/>
            <w:tcMar>
              <w:top w:type="dxa" w:w="40"/>
              <w:left w:type="dxa" w:w="100"/>
              <w:bottom w:type="dxa" w:w="40"/>
              <w:right w:type="dxa" w:w="100"/>
            </w:tcMar>
            <w:vAlign w:val="top"/>
          </w:tcPr>
          <w:p>
            <w:pPr>
              <w:spacing w:after="20" w:before="20" w:line="240"/>
            </w:pPr>
            <w:r>
              <w:t xml:space="preserve">3.R</w:t>
            </w:r>
          </w:p>
        </w:tc>
      </w:tr>
      <w:tr>
        <w:tc>
          <w:tcPr>
            <w:tcW w:type="dxa" w:w="2900"/>
            <w:tcMar>
              <w:top w:type="dxa" w:w="40"/>
              <w:left w:type="dxa" w:w="100"/>
              <w:bottom w:type="dxa" w:w="40"/>
              <w:right w:type="dxa" w:w="100"/>
            </w:tcMar>
            <w:vAlign w:val="top"/>
          </w:tcPr>
          <w:p>
            <w:pPr>
              <w:spacing w:after="20" w:before="20" w:line="240"/>
            </w:pPr>
            <w:r>
              <w:t xml:space="preserve">informal-is-enough</w:t>
            </w:r>
          </w:p>
        </w:tc>
        <w:tc>
          <w:tcPr>
            <w:tcW w:type="dxa" w:w="5100"/>
            <w:tcMar>
              <w:top w:type="dxa" w:w="40"/>
              <w:left w:type="dxa" w:w="100"/>
              <w:bottom w:type="dxa" w:w="40"/>
              <w:right w:type="dxa" w:w="100"/>
            </w:tcMar>
            <w:vAlign w:val="top"/>
          </w:tcPr>
          <w:p>
            <w:pPr>
              <w:spacing w:after="20" w:before="20" w:line="240"/>
            </w:pPr>
            <w:r>
              <w:t xml:space="preserve">“A supervisor’s word substitutes for an authorized decision”</w:t>
            </w:r>
          </w:p>
        </w:tc>
        <w:tc>
          <w:tcPr>
            <w:tcW w:type="dxa" w:w="3300"/>
            <w:tcMar>
              <w:top w:type="dxa" w:w="40"/>
              <w:left w:type="dxa" w:w="100"/>
              <w:bottom w:type="dxa" w:w="40"/>
              <w:right w:type="dxa" w:w="100"/>
            </w:tcMar>
            <w:vAlign w:val="top"/>
          </w:tcPr>
          <w:p>
            <w:pPr>
              <w:spacing w:after="20" w:before="20" w:line="240"/>
            </w:pPr>
            <w:r>
              <w:t xml:space="preserve">D-Q1, D-Q2, SO4-Q3b</w:t>
            </w:r>
          </w:p>
        </w:tc>
        <w:tc>
          <w:tcPr>
            <w:tcW w:type="dxa" w:w="2100"/>
            <w:tcMar>
              <w:top w:type="dxa" w:w="40"/>
              <w:left w:type="dxa" w:w="100"/>
              <w:bottom w:type="dxa" w:w="40"/>
              <w:right w:type="dxa" w:w="100"/>
            </w:tcMar>
            <w:vAlign w:val="top"/>
          </w:tcPr>
          <w:p>
            <w:pPr>
              <w:spacing w:after="20" w:before="20" w:line="240"/>
            </w:pPr>
            <w:r>
              <w:t xml:space="preserve">4.R</w:t>
            </w:r>
          </w:p>
        </w:tc>
      </w:tr>
      <w:tr>
        <w:tc>
          <w:tcPr>
            <w:tcW w:type="dxa" w:w="2900"/>
            <w:tcMar>
              <w:top w:type="dxa" w:w="40"/>
              <w:left w:type="dxa" w:w="100"/>
              <w:bottom w:type="dxa" w:w="40"/>
              <w:right w:type="dxa" w:w="100"/>
            </w:tcMar>
            <w:vAlign w:val="top"/>
          </w:tcPr>
          <w:p>
            <w:pPr>
              <w:spacing w:after="20" w:before="20" w:line="240"/>
            </w:pPr>
            <w:r>
              <w:t xml:space="preserve">half-message</w:t>
            </w:r>
          </w:p>
        </w:tc>
        <w:tc>
          <w:tcPr>
            <w:tcW w:type="dxa" w:w="5100"/>
            <w:tcMar>
              <w:top w:type="dxa" w:w="40"/>
              <w:left w:type="dxa" w:w="100"/>
              <w:bottom w:type="dxa" w:w="40"/>
              <w:right w:type="dxa" w:w="100"/>
            </w:tcMar>
            <w:vAlign w:val="top"/>
          </w:tcPr>
          <w:p>
            <w:pPr>
              <w:spacing w:after="20" w:before="20" w:line="240"/>
            </w:pPr>
            <w:r>
              <w:t xml:space="preserve">“One unit actioning the OT/CT message completes it”</w:t>
            </w:r>
          </w:p>
        </w:tc>
        <w:tc>
          <w:tcPr>
            <w:tcW w:type="dxa" w:w="3300"/>
            <w:tcMar>
              <w:top w:type="dxa" w:w="40"/>
              <w:left w:type="dxa" w:w="100"/>
              <w:bottom w:type="dxa" w:w="40"/>
              <w:right w:type="dxa" w:w="100"/>
            </w:tcMar>
            <w:vAlign w:val="top"/>
          </w:tcPr>
          <w:p>
            <w:pPr>
              <w:spacing w:after="20" w:before="20" w:line="240"/>
            </w:pPr>
            <w:r>
              <w:t xml:space="preserve">D-Q3, SO4-Q3b</w:t>
            </w:r>
          </w:p>
        </w:tc>
        <w:tc>
          <w:tcPr>
            <w:tcW w:type="dxa" w:w="2100"/>
            <w:tcMar>
              <w:top w:type="dxa" w:w="40"/>
              <w:left w:type="dxa" w:w="100"/>
              <w:bottom w:type="dxa" w:w="40"/>
              <w:right w:type="dxa" w:w="100"/>
            </w:tcMar>
            <w:vAlign w:val="top"/>
          </w:tcPr>
          <w:p>
            <w:pPr>
              <w:spacing w:after="20" w:before="20" w:line="240"/>
            </w:pPr>
            <w:r>
              <w:t xml:space="preserve">4.R</w:t>
            </w:r>
          </w:p>
        </w:tc>
      </w:tr>
    </w:tbl>
    <w:p>
      <w:pPr>
        <w:pStyle w:val="Heading1"/>
        <w:spacing w:after="120" w:before="280"/>
      </w:pPr>
      <w:r>
        <w:t xml:space="preserve">10. Refutation cards 1.R–4.R — draft on-screen copy</w:t>
      </w:r>
    </w:p>
    <w:p>
      <w:pPr>
        <w:spacing w:after="120" w:before="40" w:line="259"/>
      </w:pPr>
      <w:r>
        <w:t xml:space="preserve">One card per SO, shown at the head of the learner’s route when any of that SO’s tags fired during the block (skipped L3 sections show no card). Frame: “one of your answers followed a common misconception — here is the rule.” Draft copy below is derived from the stored distractor-feedback lines; SME review required before build sign-off.</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1200"/>
        <w:gridCol w:w="3900"/>
        <w:gridCol w:w="8300"/>
      </w:tblGrid>
      <w:tr>
        <w:trPr>
          <w:tblHeader/>
        </w:trPr>
        <w:tc>
          <w:tcPr>
            <w:tcW w:type="dxa" w:w="1200"/>
            <w:shd w:fill="D9E2F3" w:val="clear"/>
            <w:tcMar>
              <w:top w:type="dxa" w:w="40"/>
              <w:left w:type="dxa" w:w="100"/>
              <w:bottom w:type="dxa" w:w="40"/>
              <w:right w:type="dxa" w:w="100"/>
            </w:tcMar>
            <w:vAlign w:val="top"/>
          </w:tcPr>
          <w:p>
            <w:pPr>
              <w:spacing w:after="20" w:before="20" w:line="240"/>
            </w:pPr>
            <w:r>
              <w:rPr>
                <w:b/>
                <w:bCs/>
              </w:rPr>
              <w:t xml:space="preserve">Card</w:t>
            </w:r>
          </w:p>
        </w:tc>
        <w:tc>
          <w:tcPr>
            <w:tcW w:type="dxa" w:w="3900"/>
            <w:shd w:fill="D9E2F3" w:val="clear"/>
            <w:tcMar>
              <w:top w:type="dxa" w:w="40"/>
              <w:left w:type="dxa" w:w="100"/>
              <w:bottom w:type="dxa" w:w="40"/>
              <w:right w:type="dxa" w:w="100"/>
            </w:tcMar>
            <w:vAlign w:val="top"/>
          </w:tcPr>
          <w:p>
            <w:pPr>
              <w:spacing w:after="20" w:before="20" w:line="240"/>
            </w:pPr>
            <w:r>
              <w:rPr>
                <w:b/>
                <w:bCs/>
              </w:rPr>
              <w:t xml:space="preserve">Fires on tags</w:t>
            </w:r>
          </w:p>
        </w:tc>
        <w:tc>
          <w:tcPr>
            <w:tcW w:type="dxa" w:w="8300"/>
            <w:shd w:fill="D9E2F3" w:val="clear"/>
            <w:tcMar>
              <w:top w:type="dxa" w:w="40"/>
              <w:left w:type="dxa" w:w="100"/>
              <w:bottom w:type="dxa" w:w="40"/>
              <w:right w:type="dxa" w:w="100"/>
            </w:tcMar>
            <w:vAlign w:val="top"/>
          </w:tcPr>
          <w:p>
            <w:pPr>
              <w:spacing w:after="20" w:before="20" w:line="240"/>
            </w:pPr>
            <w:r>
              <w:rPr>
                <w:b/>
                <w:bCs/>
              </w:rPr>
              <w:t xml:space="preserve">Draft card copy (SME to confirm)</w:t>
            </w:r>
          </w:p>
        </w:tc>
      </w:tr>
      <w:tr>
        <w:tc>
          <w:tcPr>
            <w:tcW w:type="dxa" w:w="1200"/>
            <w:tcMar>
              <w:top w:type="dxa" w:w="40"/>
              <w:left w:type="dxa" w:w="100"/>
              <w:bottom w:type="dxa" w:w="40"/>
              <w:right w:type="dxa" w:w="100"/>
            </w:tcMar>
            <w:vAlign w:val="top"/>
          </w:tcPr>
          <w:p>
            <w:pPr>
              <w:spacing w:after="20" w:before="20" w:line="240"/>
            </w:pPr>
            <w:r>
              <w:rPr>
                <w:b/>
                <w:bCs/>
              </w:rPr>
              <w:t xml:space="preserve">1.R</w:t>
            </w:r>
          </w:p>
        </w:tc>
        <w:tc>
          <w:tcPr>
            <w:tcW w:type="dxa" w:w="3900"/>
            <w:tcMar>
              <w:top w:type="dxa" w:w="40"/>
              <w:left w:type="dxa" w:w="100"/>
              <w:bottom w:type="dxa" w:w="40"/>
              <w:right w:type="dxa" w:w="100"/>
            </w:tcMar>
            <w:vAlign w:val="top"/>
          </w:tcPr>
          <w:p>
            <w:pPr>
              <w:spacing w:after="20" w:before="20" w:line="240"/>
            </w:pPr>
            <w:r>
              <w:t xml:space="preserve">all-wait-on-BTL / DMCPG-manages</w:t>
            </w:r>
          </w:p>
        </w:tc>
        <w:tc>
          <w:tcPr>
            <w:tcW w:type="dxa" w:w="8300"/>
            <w:tcMar>
              <w:top w:type="dxa" w:w="40"/>
              <w:left w:type="dxa" w:w="100"/>
              <w:bottom w:type="dxa" w:w="40"/>
              <w:right w:type="dxa" w:w="100"/>
            </w:tcMar>
            <w:vAlign w:val="top"/>
          </w:tcPr>
          <w:p>
            <w:pPr>
              <w:spacing w:after="20" w:before="20" w:line="240"/>
            </w:pPr>
            <w:r>
              <w:t xml:space="preserve">Not every selected or transferring member waits on the BTL — UTPNCM members are institution-managed and qualified CFRP members may return to career-manager control. DMCPG 5-3 issues instructions; it does not manage members directly.</w:t>
            </w:r>
          </w:p>
        </w:tc>
      </w:tr>
      <w:tr>
        <w:tc>
          <w:tcPr>
            <w:tcW w:type="dxa" w:w="1200"/>
            <w:tcMar>
              <w:top w:type="dxa" w:w="40"/>
              <w:left w:type="dxa" w:w="100"/>
              <w:bottom w:type="dxa" w:w="40"/>
              <w:right w:type="dxa" w:w="100"/>
            </w:tcMar>
            <w:vAlign w:val="top"/>
          </w:tcPr>
          <w:p>
            <w:pPr>
              <w:spacing w:after="20" w:before="20" w:line="240"/>
            </w:pPr>
            <w:r>
              <w:rPr>
                <w:b/>
                <w:bCs/>
              </w:rPr>
              <w:t xml:space="preserve">2.R</w:t>
            </w:r>
          </w:p>
        </w:tc>
        <w:tc>
          <w:tcPr>
            <w:tcW w:type="dxa" w:w="3900"/>
            <w:tcMar>
              <w:top w:type="dxa" w:w="40"/>
              <w:left w:type="dxa" w:w="100"/>
              <w:bottom w:type="dxa" w:w="40"/>
              <w:right w:type="dxa" w:w="100"/>
            </w:tcMar>
            <w:vAlign w:val="top"/>
          </w:tcPr>
          <w:p>
            <w:pPr>
              <w:spacing w:after="20" w:before="20" w:line="240"/>
            </w:pPr>
            <w:r>
              <w:t xml:space="preserve">anticipating-outcome / compulsory-is-one-thing</w:t>
            </w:r>
          </w:p>
        </w:tc>
        <w:tc>
          <w:tcPr>
            <w:tcW w:type="dxa" w:w="8300"/>
            <w:tcMar>
              <w:top w:type="dxa" w:w="40"/>
              <w:left w:type="dxa" w:w="100"/>
              <w:bottom w:type="dxa" w:w="40"/>
              <w:right w:type="dxa" w:w="100"/>
            </w:tcMar>
            <w:vAlign w:val="top"/>
          </w:tcPr>
          <w:p>
            <w:pPr>
              <w:spacing w:after="20" w:before="20" w:line="240"/>
            </w:pPr>
            <w:r>
              <w:t xml:space="preserve">Never act on an expected decision — members remain on their current course until an authorized decision is issued. Compulsory transfers are not one thing: COT-U and CMOT have different triggers and controlling processes, and CBI 204.03 defines compulsory differently for pay protection.</w:t>
            </w:r>
          </w:p>
        </w:tc>
      </w:tr>
      <w:tr>
        <w:tc>
          <w:tcPr>
            <w:tcW w:type="dxa" w:w="1200"/>
            <w:tcMar>
              <w:top w:type="dxa" w:w="40"/>
              <w:left w:type="dxa" w:w="100"/>
              <w:bottom w:type="dxa" w:w="40"/>
              <w:right w:type="dxa" w:w="100"/>
            </w:tcMar>
            <w:vAlign w:val="top"/>
          </w:tcPr>
          <w:p>
            <w:pPr>
              <w:spacing w:after="20" w:before="20" w:line="240"/>
            </w:pPr>
            <w:r>
              <w:rPr>
                <w:b/>
                <w:bCs/>
              </w:rPr>
              <w:t xml:space="preserve">3.R</w:t>
            </w:r>
          </w:p>
        </w:tc>
        <w:tc>
          <w:tcPr>
            <w:tcW w:type="dxa" w:w="3900"/>
            <w:tcMar>
              <w:top w:type="dxa" w:w="40"/>
              <w:left w:type="dxa" w:w="100"/>
              <w:bottom w:type="dxa" w:w="40"/>
              <w:right w:type="dxa" w:w="100"/>
            </w:tcMar>
            <w:vAlign w:val="top"/>
          </w:tcPr>
          <w:p>
            <w:pPr>
              <w:spacing w:after="20" w:before="20" w:line="240"/>
            </w:pPr>
            <w:r>
              <w:t xml:space="preserve">authority-sequence / review-skipped</w:t>
            </w:r>
          </w:p>
        </w:tc>
        <w:tc>
          <w:tcPr>
            <w:tcW w:type="dxa" w:w="8300"/>
            <w:tcMar>
              <w:top w:type="dxa" w:w="40"/>
              <w:left w:type="dxa" w:w="100"/>
              <w:bottom w:type="dxa" w:w="40"/>
              <w:right w:type="dxa" w:w="100"/>
            </w:tcMar>
            <w:vAlign w:val="top"/>
          </w:tcPr>
          <w:p>
            <w:pPr>
              <w:spacing w:after="20" w:before="20" w:line="240"/>
            </w:pPr>
            <w:r>
              <w:t xml:space="preserve">DMCA 3 decides; DMCPG 5-3 instructs last. The decision letter cannot precede DMCA 3’s review of the completed file and the effective-date consultation, and the COT instruction never precedes the decision letter.</w:t>
            </w:r>
          </w:p>
        </w:tc>
      </w:tr>
      <w:tr>
        <w:tc>
          <w:tcPr>
            <w:tcW w:type="dxa" w:w="1200"/>
            <w:tcMar>
              <w:top w:type="dxa" w:w="40"/>
              <w:left w:type="dxa" w:w="100"/>
              <w:bottom w:type="dxa" w:w="40"/>
              <w:right w:type="dxa" w:w="100"/>
            </w:tcMar>
            <w:vAlign w:val="top"/>
          </w:tcPr>
          <w:p>
            <w:pPr>
              <w:spacing w:after="20" w:before="20" w:line="240"/>
            </w:pPr>
            <w:r>
              <w:rPr>
                <w:b/>
                <w:bCs/>
              </w:rPr>
              <w:t xml:space="preserve">4.R</w:t>
            </w:r>
          </w:p>
        </w:tc>
        <w:tc>
          <w:tcPr>
            <w:tcW w:type="dxa" w:w="3900"/>
            <w:tcMar>
              <w:top w:type="dxa" w:w="40"/>
              <w:left w:type="dxa" w:w="100"/>
              <w:bottom w:type="dxa" w:w="40"/>
              <w:right w:type="dxa" w:w="100"/>
            </w:tcMar>
            <w:vAlign w:val="top"/>
          </w:tcPr>
          <w:p>
            <w:pPr>
              <w:spacing w:after="20" w:before="20" w:line="240"/>
            </w:pPr>
            <w:r>
              <w:t xml:space="preserve">informal-is-enough / half-message</w:t>
            </w:r>
          </w:p>
        </w:tc>
        <w:tc>
          <w:tcPr>
            <w:tcW w:type="dxa" w:w="8300"/>
            <w:tcMar>
              <w:top w:type="dxa" w:w="40"/>
              <w:left w:type="dxa" w:w="100"/>
              <w:bottom w:type="dxa" w:w="40"/>
              <w:right w:type="dxa" w:w="100"/>
            </w:tcMar>
            <w:vAlign w:val="top"/>
          </w:tcPr>
          <w:p>
            <w:pPr>
              <w:spacing w:after="20" w:before="20" w:line="240"/>
            </w:pPr>
            <w:r>
              <w:t xml:space="preserve">A supervisor’s word is not an authorized decision — only issued direction changes a member’s employment or training. An OT/CT message is complete only when both gaining and losing units have read and actioned it.</w:t>
            </w:r>
          </w:p>
        </w:tc>
      </w:tr>
    </w:tbl>
    <w:p>
      <w:pPr>
        <w:pStyle w:val="Heading1"/>
        <w:spacing w:after="120" w:before="280"/>
      </w:pPr>
      <w:r>
        <w:t xml:space="preserve">11. Build spec: screens, variables and logic</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2400"/>
        <w:gridCol w:w="4700"/>
        <w:gridCol w:w="6300"/>
      </w:tblGrid>
      <w:tr>
        <w:trPr>
          <w:tblHeader/>
        </w:trPr>
        <w:tc>
          <w:tcPr>
            <w:tcW w:type="dxa" w:w="2400"/>
            <w:shd w:fill="D9E2F3" w:val="clear"/>
            <w:tcMar>
              <w:top w:type="dxa" w:w="40"/>
              <w:left w:type="dxa" w:w="100"/>
              <w:bottom w:type="dxa" w:w="40"/>
              <w:right w:type="dxa" w:w="100"/>
            </w:tcMar>
            <w:vAlign w:val="top"/>
          </w:tcPr>
          <w:p>
            <w:pPr>
              <w:spacing w:after="20" w:before="20" w:line="240"/>
            </w:pPr>
            <w:r>
              <w:rPr>
                <w:b/>
                <w:bCs/>
              </w:rPr>
              <w:t xml:space="preserve">Screen</w:t>
            </w:r>
          </w:p>
        </w:tc>
        <w:tc>
          <w:tcPr>
            <w:tcW w:type="dxa" w:w="4700"/>
            <w:shd w:fill="D9E2F3" w:val="clear"/>
            <w:tcMar>
              <w:top w:type="dxa" w:w="40"/>
              <w:left w:type="dxa" w:w="100"/>
              <w:bottom w:type="dxa" w:w="40"/>
              <w:right w:type="dxa" w:w="100"/>
            </w:tcMar>
            <w:vAlign w:val="top"/>
          </w:tcPr>
          <w:p>
            <w:pPr>
              <w:spacing w:after="20" w:before="20" w:line="240"/>
            </w:pPr>
            <w:r>
              <w:rPr>
                <w:b/>
                <w:bCs/>
              </w:rPr>
              <w:t xml:space="preserve">What it shows</w:t>
            </w:r>
          </w:p>
        </w:tc>
        <w:tc>
          <w:tcPr>
            <w:tcW w:type="dxa" w:w="6300"/>
            <w:shd w:fill="D9E2F3" w:val="clear"/>
            <w:tcMar>
              <w:top w:type="dxa" w:w="40"/>
              <w:left w:type="dxa" w:w="100"/>
              <w:bottom w:type="dxa" w:w="40"/>
              <w:right w:type="dxa" w:w="100"/>
            </w:tcMar>
            <w:vAlign w:val="top"/>
          </w:tcPr>
          <w:p>
            <w:pPr>
              <w:spacing w:after="20" w:before="20" w:line="240"/>
            </w:pPr>
            <w:r>
              <w:rPr>
                <w:b/>
                <w:bCs/>
              </w:rPr>
              <w:t xml:space="preserve">Build notes</w:t>
            </w:r>
          </w:p>
        </w:tc>
      </w:tr>
      <w:tr>
        <w:tc>
          <w:tcPr>
            <w:tcW w:type="dxa" w:w="2400"/>
            <w:tcMar>
              <w:top w:type="dxa" w:w="40"/>
              <w:left w:type="dxa" w:w="100"/>
              <w:bottom w:type="dxa" w:w="40"/>
              <w:right w:type="dxa" w:w="100"/>
            </w:tcMar>
            <w:vAlign w:val="top"/>
          </w:tcPr>
          <w:p>
            <w:pPr>
              <w:spacing w:after="20" w:before="20" w:line="240"/>
            </w:pPr>
            <w:r>
              <w:rPr>
                <w:b/>
                <w:bCs/>
              </w:rPr>
              <w:t xml:space="preserve">MP-0</w:t>
            </w:r>
          </w:p>
        </w:tc>
        <w:tc>
          <w:tcPr>
            <w:tcW w:type="dxa" w:w="4700"/>
            <w:tcMar>
              <w:top w:type="dxa" w:w="40"/>
              <w:left w:type="dxa" w:w="100"/>
              <w:bottom w:type="dxa" w:w="40"/>
              <w:right w:type="dxa" w:w="100"/>
            </w:tcMar>
            <w:vAlign w:val="top"/>
          </w:tcPr>
          <w:p>
            <w:pPr>
              <w:spacing w:after="20" w:before="20" w:line="240"/>
            </w:pPr>
            <w:r>
              <w:t xml:space="preserve">Placement brief, immediately after slide 0.3. Copy (editable): “Before we teach you anything — show us what you already know. Four short scenarios, three questions each, about 6–8 minutes. One attempt per question and no feedback until the end.”</w:t>
            </w:r>
          </w:p>
        </w:tc>
        <w:tc>
          <w:tcPr>
            <w:tcW w:type="dxa" w:w="6300"/>
            <w:tcMar>
              <w:top w:type="dxa" w:w="40"/>
              <w:left w:type="dxa" w:w="100"/>
              <w:bottom w:type="dxa" w:w="40"/>
              <w:right w:type="dxa" w:w="100"/>
            </w:tcMar>
            <w:vAlign w:val="top"/>
          </w:tcPr>
          <w:p>
            <w:pPr>
              <w:spacing w:after="20" w:before="20" w:line="240"/>
            </w:pPr>
            <w:r>
              <w:t xml:space="preserve">Single “Begin placement” action. No back-navigation into or out of the placement once begun.</w:t>
            </w:r>
          </w:p>
        </w:tc>
      </w:tr>
      <w:tr>
        <w:tc>
          <w:tcPr>
            <w:tcW w:type="dxa" w:w="2400"/>
            <w:tcMar>
              <w:top w:type="dxa" w:w="40"/>
              <w:left w:type="dxa" w:w="100"/>
              <w:bottom w:type="dxa" w:w="40"/>
              <w:right w:type="dxa" w:w="100"/>
            </w:tcMar>
            <w:vAlign w:val="top"/>
          </w:tcPr>
          <w:p>
            <w:pPr>
              <w:spacing w:after="20" w:before="20" w:line="240"/>
            </w:pPr>
            <w:r>
              <w:rPr>
                <w:b/>
                <w:bCs/>
              </w:rPr>
              <w:t xml:space="preserve">MP-A0 … MP-D0</w:t>
            </w:r>
          </w:p>
        </w:tc>
        <w:tc>
          <w:tcPr>
            <w:tcW w:type="dxa" w:w="4700"/>
            <w:tcMar>
              <w:top w:type="dxa" w:w="40"/>
              <w:left w:type="dxa" w:w="100"/>
              <w:bottom w:type="dxa" w:w="40"/>
              <w:right w:type="dxa" w:w="100"/>
            </w:tcMar>
            <w:vAlign w:val="top"/>
          </w:tcPr>
          <w:p>
            <w:pPr>
              <w:spacing w:after="20" w:before="20" w:line="240"/>
            </w:pPr>
            <w:r>
              <w:t xml:space="preserve">Scenario stage for blocks A–D (§5 scenario text).</w:t>
            </w:r>
          </w:p>
        </w:tc>
        <w:tc>
          <w:tcPr>
            <w:tcW w:type="dxa" w:w="6300"/>
            <w:tcMar>
              <w:top w:type="dxa" w:w="40"/>
              <w:left w:type="dxa" w:w="100"/>
              <w:bottom w:type="dxa" w:w="40"/>
              <w:right w:type="dxa" w:w="100"/>
            </w:tcMar>
            <w:vAlign w:val="top"/>
          </w:tcPr>
          <w:p>
            <w:pPr>
              <w:spacing w:after="20" w:before="20" w:line="240"/>
            </w:pPr>
            <w:r>
              <w:t xml:space="preserve">Scenario stays on screen (or in a persistent panel) throughout the block’s three questions.</w:t>
            </w:r>
          </w:p>
        </w:tc>
      </w:tr>
      <w:tr>
        <w:tc>
          <w:tcPr>
            <w:tcW w:type="dxa" w:w="2400"/>
            <w:tcMar>
              <w:top w:type="dxa" w:w="40"/>
              <w:left w:type="dxa" w:w="100"/>
              <w:bottom w:type="dxa" w:w="40"/>
              <w:right w:type="dxa" w:w="100"/>
            </w:tcMar>
            <w:vAlign w:val="top"/>
          </w:tcPr>
          <w:p>
            <w:pPr>
              <w:spacing w:after="20" w:before="20" w:line="240"/>
            </w:pPr>
            <w:r>
              <w:rPr>
                <w:b/>
                <w:bCs/>
              </w:rPr>
              <w:t xml:space="preserve">MP-A1 … MP-D3</w:t>
            </w:r>
          </w:p>
        </w:tc>
        <w:tc>
          <w:tcPr>
            <w:tcW w:type="dxa" w:w="4700"/>
            <w:tcMar>
              <w:top w:type="dxa" w:w="40"/>
              <w:left w:type="dxa" w:w="100"/>
              <w:bottom w:type="dxa" w:w="40"/>
              <w:right w:type="dxa" w:w="100"/>
            </w:tcMar>
            <w:vAlign w:val="top"/>
          </w:tcPr>
          <w:p>
            <w:pPr>
              <w:spacing w:after="20" w:before="20" w:line="240"/>
            </w:pPr>
            <w:r>
              <w:t xml:space="preserve">The twelve §5 items, one per screen.</w:t>
            </w:r>
          </w:p>
        </w:tc>
        <w:tc>
          <w:tcPr>
            <w:tcW w:type="dxa" w:w="6300"/>
            <w:tcMar>
              <w:top w:type="dxa" w:w="40"/>
              <w:left w:type="dxa" w:w="100"/>
              <w:bottom w:type="dxa" w:w="40"/>
              <w:right w:type="dxa" w:w="100"/>
            </w:tcMar>
            <w:vAlign w:val="top"/>
          </w:tcPr>
          <w:p>
            <w:pPr>
              <w:spacing w:after="20" w:before="20" w:line="240"/>
            </w:pPr>
            <w:r>
              <w:t xml:space="preserve">Randomize option order (C-Q3 sequence item keeps fixed order). One attempt; no feedback of any kind — no color, sound, icon or score change. Record pass/fail toward v_SOn_L; on selecting a tagged option set its v_tag_* variable.</w:t>
            </w:r>
          </w:p>
        </w:tc>
      </w:tr>
      <w:tr>
        <w:tc>
          <w:tcPr>
            <w:tcW w:type="dxa" w:w="2400"/>
            <w:tcMar>
              <w:top w:type="dxa" w:w="40"/>
              <w:left w:type="dxa" w:w="100"/>
              <w:bottom w:type="dxa" w:w="40"/>
              <w:right w:type="dxa" w:w="100"/>
            </w:tcMar>
            <w:vAlign w:val="top"/>
          </w:tcPr>
          <w:p>
            <w:pPr>
              <w:spacing w:after="20" w:before="20" w:line="240"/>
            </w:pPr>
            <w:r>
              <w:rPr>
                <w:b/>
                <w:bCs/>
              </w:rPr>
              <w:t xml:space="preserve">RT-1</w:t>
            </w:r>
          </w:p>
        </w:tc>
        <w:tc>
          <w:tcPr>
            <w:tcW w:type="dxa" w:w="4700"/>
            <w:tcMar>
              <w:top w:type="dxa" w:w="40"/>
              <w:left w:type="dxa" w:w="100"/>
              <w:bottom w:type="dxa" w:w="40"/>
              <w:right w:type="dxa" w:w="100"/>
            </w:tcMar>
            <w:vAlign w:val="top"/>
          </w:tcPr>
          <w:p>
            <w:pPr>
              <w:spacing w:after="20" w:before="20" w:line="240"/>
            </w:pPr>
            <w:r>
              <w:t xml:space="preserve">Mastery profile after block D: per SO its level (L0–L3), route word and entry point (§4), plus estimated time returned (illustrative: teach 6 + worked 4 + completion 4 + full 4 min per SO).</w:t>
            </w:r>
          </w:p>
        </w:tc>
        <w:tc>
          <w:tcPr>
            <w:tcW w:type="dxa" w:w="6300"/>
            <w:tcMar>
              <w:top w:type="dxa" w:w="40"/>
              <w:left w:type="dxa" w:w="100"/>
              <w:bottom w:type="dxa" w:w="40"/>
              <w:right w:type="dxa" w:w="100"/>
            </w:tcMar>
            <w:vAlign w:val="top"/>
          </w:tcPr>
          <w:p>
            <w:pPr>
              <w:spacing w:after="20" w:before="20" w:line="240"/>
            </w:pPr>
            <w:r>
              <w:t xml:space="preserve">Then per SO in course order: show refutation card n.R if any of the SO’s tags fired (never on a skipped L3 section), then apply §4 conditional navigation. Level chips must not rely on color alone — pair “L” label with the route word.</w:t>
            </w:r>
          </w:p>
        </w:tc>
      </w:tr>
      <w:tr>
        <w:tc>
          <w:tcPr>
            <w:tcW w:type="dxa" w:w="2400"/>
            <w:tcMar>
              <w:top w:type="dxa" w:w="40"/>
              <w:left w:type="dxa" w:w="100"/>
              <w:bottom w:type="dxa" w:w="40"/>
              <w:right w:type="dxa" w:w="100"/>
            </w:tcMar>
            <w:vAlign w:val="top"/>
          </w:tcPr>
          <w:p>
            <w:pPr>
              <w:spacing w:after="20" w:before="20" w:line="240"/>
            </w:pPr>
            <w:r>
              <w:rPr>
                <w:b/>
                <w:bCs/>
              </w:rPr>
              <w:t xml:space="preserve">Section tests</w:t>
            </w:r>
          </w:p>
        </w:tc>
        <w:tc>
          <w:tcPr>
            <w:tcW w:type="dxa" w:w="4700"/>
            <w:tcMar>
              <w:top w:type="dxa" w:w="40"/>
              <w:left w:type="dxa" w:w="100"/>
              <w:bottom w:type="dxa" w:w="40"/>
              <w:right w:type="dxa" w:w="100"/>
            </w:tcMar>
            <w:vAlign w:val="top"/>
          </w:tcPr>
          <w:p>
            <w:pPr>
              <w:spacing w:after="20" w:before="20" w:line="240"/>
            </w:pPr>
            <w:r>
              <w:t xml:space="preserve">Three-question exit ladder per §6.</w:t>
            </w:r>
          </w:p>
        </w:tc>
        <w:tc>
          <w:tcPr>
            <w:tcW w:type="dxa" w:w="6300"/>
            <w:tcMar>
              <w:top w:type="dxa" w:w="40"/>
              <w:left w:type="dxa" w:w="100"/>
              <w:bottom w:type="dxa" w:w="40"/>
              <w:right w:type="dxa" w:w="100"/>
            </w:tcMar>
            <w:vAlign w:val="top"/>
          </w:tcPr>
          <w:p>
            <w:pPr>
              <w:spacing w:after="20" w:before="20" w:line="240"/>
            </w:pPr>
            <w:r>
              <w:t xml:space="preserve">Compute v_SOn_exit with the same consecutive-pass rule; gate ≥ L2 (L3 recommended SO3/SO4); below the gate the v4 remediation loop applies, unchanged.</w:t>
            </w:r>
          </w:p>
        </w:tc>
      </w:tr>
      <w:tr>
        <w:tc>
          <w:tcPr>
            <w:tcW w:type="dxa" w:w="2400"/>
            <w:tcMar>
              <w:top w:type="dxa" w:w="40"/>
              <w:left w:type="dxa" w:w="100"/>
              <w:bottom w:type="dxa" w:w="40"/>
              <w:right w:type="dxa" w:w="100"/>
            </w:tcMar>
            <w:vAlign w:val="top"/>
          </w:tcPr>
          <w:p>
            <w:pPr>
              <w:spacing w:after="20" w:before="20" w:line="240"/>
            </w:pPr>
            <w:r>
              <w:rPr>
                <w:b/>
                <w:bCs/>
              </w:rPr>
              <w:t xml:space="preserve">RPT-1</w:t>
            </w:r>
          </w:p>
        </w:tc>
        <w:tc>
          <w:tcPr>
            <w:tcW w:type="dxa" w:w="4700"/>
            <w:tcMar>
              <w:top w:type="dxa" w:w="40"/>
              <w:left w:type="dxa" w:w="100"/>
              <w:bottom w:type="dxa" w:w="40"/>
              <w:right w:type="dxa" w:w="100"/>
            </w:tcMar>
            <w:vAlign w:val="top"/>
          </w:tcPr>
          <w:p>
            <w:pPr>
              <w:spacing w:after="20" w:before="20" w:line="240"/>
            </w:pPr>
            <w:r>
              <w:t xml:space="preserve">Learner report per §7.</w:t>
            </w:r>
          </w:p>
        </w:tc>
        <w:tc>
          <w:tcPr>
            <w:tcW w:type="dxa" w:w="6300"/>
            <w:tcMar>
              <w:top w:type="dxa" w:w="40"/>
              <w:left w:type="dxa" w:w="100"/>
              <w:bottom w:type="dxa" w:w="40"/>
              <w:right w:type="dxa" w:w="100"/>
            </w:tcMar>
            <w:vAlign w:val="top"/>
          </w:tcPr>
          <w:p>
            <w:pPr>
              <w:spacing w:after="20" w:before="20" w:line="240"/>
            </w:pPr>
            <w:r>
              <w:t xml:space="preserve">SCORM score = mean over SOs of (exit level / 3); skipped SOs counted 3/3.</w:t>
            </w:r>
          </w:p>
        </w:tc>
      </w:tr>
    </w:tbl>
    <w:p>
      <w:pPr>
        <w:spacing w:after="120" w:before="40" w:line="259"/>
      </w:pPr>
      <w:r>
        <w:t xml:space="preserve"> </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800"/>
        <w:gridCol w:w="3400"/>
        <w:gridCol w:w="3300"/>
      </w:tblGrid>
      <w:tr>
        <w:trPr>
          <w:tblHeader/>
        </w:trPr>
        <w:tc>
          <w:tcPr>
            <w:tcW w:type="dxa" w:w="3400"/>
            <w:shd w:fill="D9E2F3" w:val="clear"/>
            <w:tcMar>
              <w:top w:type="dxa" w:w="40"/>
              <w:left w:type="dxa" w:w="100"/>
              <w:bottom w:type="dxa" w:w="40"/>
              <w:right w:type="dxa" w:w="100"/>
            </w:tcMar>
            <w:vAlign w:val="top"/>
          </w:tcPr>
          <w:p>
            <w:pPr>
              <w:spacing w:after="20" w:before="20" w:line="240"/>
            </w:pPr>
            <w:r>
              <w:rPr>
                <w:b/>
                <w:bCs/>
              </w:rPr>
              <w:t xml:space="preserve">Variable</w:t>
            </w:r>
          </w:p>
        </w:tc>
        <w:tc>
          <w:tcPr>
            <w:tcW w:type="dxa" w:w="1500"/>
            <w:shd w:fill="D9E2F3" w:val="clear"/>
            <w:tcMar>
              <w:top w:type="dxa" w:w="40"/>
              <w:left w:type="dxa" w:w="100"/>
              <w:bottom w:type="dxa" w:w="40"/>
              <w:right w:type="dxa" w:w="100"/>
            </w:tcMar>
            <w:vAlign w:val="top"/>
          </w:tcPr>
          <w:p>
            <w:pPr>
              <w:spacing w:after="20" w:before="20" w:line="240"/>
            </w:pPr>
            <w:r>
              <w:rPr>
                <w:b/>
                <w:bCs/>
              </w:rPr>
              <w:t xml:space="preserve">Type</w:t>
            </w:r>
          </w:p>
        </w:tc>
        <w:tc>
          <w:tcPr>
            <w:tcW w:type="dxa" w:w="1800"/>
            <w:shd w:fill="D9E2F3" w:val="clear"/>
            <w:tcMar>
              <w:top w:type="dxa" w:w="40"/>
              <w:left w:type="dxa" w:w="100"/>
              <w:bottom w:type="dxa" w:w="40"/>
              <w:right w:type="dxa" w:w="100"/>
            </w:tcMar>
            <w:vAlign w:val="top"/>
          </w:tcPr>
          <w:p>
            <w:pPr>
              <w:spacing w:after="20" w:before="20" w:line="240"/>
            </w:pPr>
            <w:r>
              <w:rPr>
                <w:b/>
                <w:bCs/>
              </w:rPr>
              <w:t xml:space="preserve">Values</w:t>
            </w:r>
          </w:p>
        </w:tc>
        <w:tc>
          <w:tcPr>
            <w:tcW w:type="dxa" w:w="3400"/>
            <w:shd w:fill="D9E2F3" w:val="clear"/>
            <w:tcMar>
              <w:top w:type="dxa" w:w="40"/>
              <w:left w:type="dxa" w:w="100"/>
              <w:bottom w:type="dxa" w:w="40"/>
              <w:right w:type="dxa" w:w="100"/>
            </w:tcMar>
            <w:vAlign w:val="top"/>
          </w:tcPr>
          <w:p>
            <w:pPr>
              <w:spacing w:after="20" w:before="20" w:line="240"/>
            </w:pPr>
            <w:r>
              <w:rPr>
                <w:b/>
                <w:bCs/>
              </w:rPr>
              <w:t xml:space="preserve">Written by</w:t>
            </w:r>
          </w:p>
        </w:tc>
        <w:tc>
          <w:tcPr>
            <w:tcW w:type="dxa" w:w="3300"/>
            <w:shd w:fill="D9E2F3" w:val="clear"/>
            <w:tcMar>
              <w:top w:type="dxa" w:w="40"/>
              <w:left w:type="dxa" w:w="100"/>
              <w:bottom w:type="dxa" w:w="40"/>
              <w:right w:type="dxa" w:w="100"/>
            </w:tcMar>
            <w:vAlign w:val="top"/>
          </w:tcPr>
          <w:p>
            <w:pPr>
              <w:spacing w:after="20" w:before="20" w:line="240"/>
            </w:pPr>
            <w:r>
              <w:rPr>
                <w:b/>
                <w:bCs/>
              </w:rPr>
              <w:t xml:space="preserve">Read by</w:t>
            </w:r>
          </w:p>
        </w:tc>
      </w:tr>
      <w:tr>
        <w:tc>
          <w:tcPr>
            <w:tcW w:type="dxa" w:w="3400"/>
            <w:tcMar>
              <w:top w:type="dxa" w:w="40"/>
              <w:left w:type="dxa" w:w="100"/>
              <w:bottom w:type="dxa" w:w="40"/>
              <w:right w:type="dxa" w:w="100"/>
            </w:tcMar>
            <w:vAlign w:val="top"/>
          </w:tcPr>
          <w:p>
            <w:pPr>
              <w:spacing w:after="20" w:before="20" w:line="240"/>
            </w:pPr>
            <w:r>
              <w:t xml:space="preserve">v_SO1_L … v_SO4_L</w:t>
            </w:r>
          </w:p>
        </w:tc>
        <w:tc>
          <w:tcPr>
            <w:tcW w:type="dxa" w:w="1500"/>
            <w:tcMar>
              <w:top w:type="dxa" w:w="40"/>
              <w:left w:type="dxa" w:w="100"/>
              <w:bottom w:type="dxa" w:w="40"/>
              <w:right w:type="dxa" w:w="100"/>
            </w:tcMar>
            <w:vAlign w:val="top"/>
          </w:tcPr>
          <w:p>
            <w:pPr>
              <w:spacing w:after="20" w:before="20" w:line="240"/>
            </w:pPr>
            <w:r>
              <w:t xml:space="preserve">number</w:t>
            </w:r>
          </w:p>
        </w:tc>
        <w:tc>
          <w:tcPr>
            <w:tcW w:type="dxa" w:w="1800"/>
            <w:tcMar>
              <w:top w:type="dxa" w:w="40"/>
              <w:left w:type="dxa" w:w="100"/>
              <w:bottom w:type="dxa" w:w="40"/>
              <w:right w:type="dxa" w:w="100"/>
            </w:tcMar>
            <w:vAlign w:val="top"/>
          </w:tcPr>
          <w:p>
            <w:pPr>
              <w:spacing w:after="20" w:before="20" w:line="240"/>
            </w:pPr>
            <w:r>
              <w:t xml:space="preserve">0–3</w:t>
            </w:r>
          </w:p>
        </w:tc>
        <w:tc>
          <w:tcPr>
            <w:tcW w:type="dxa" w:w="3400"/>
            <w:tcMar>
              <w:top w:type="dxa" w:w="40"/>
              <w:left w:type="dxa" w:w="100"/>
              <w:bottom w:type="dxa" w:w="40"/>
              <w:right w:type="dxa" w:w="100"/>
            </w:tcMar>
            <w:vAlign w:val="top"/>
          </w:tcPr>
          <w:p>
            <w:pPr>
              <w:spacing w:after="20" w:before="20" w:line="240"/>
            </w:pPr>
            <w:r>
              <w:t xml:space="preserve">M-P scoring (Guttman + anomaly rule)</w:t>
            </w:r>
          </w:p>
        </w:tc>
        <w:tc>
          <w:tcPr>
            <w:tcW w:type="dxa" w:w="3300"/>
            <w:tcMar>
              <w:top w:type="dxa" w:w="40"/>
              <w:left w:type="dxa" w:w="100"/>
              <w:bottom w:type="dxa" w:w="40"/>
              <w:right w:type="dxa" w:w="100"/>
            </w:tcMar>
            <w:vAlign w:val="top"/>
          </w:tcPr>
          <w:p>
            <w:pPr>
              <w:spacing w:after="20" w:before="20" w:line="240"/>
            </w:pPr>
            <w:r>
              <w:t xml:space="preserve">Conditional navigation into each section; report</w:t>
            </w:r>
          </w:p>
        </w:tc>
      </w:tr>
      <w:tr>
        <w:tc>
          <w:tcPr>
            <w:tcW w:type="dxa" w:w="3400"/>
            <w:tcMar>
              <w:top w:type="dxa" w:w="40"/>
              <w:left w:type="dxa" w:w="100"/>
              <w:bottom w:type="dxa" w:w="40"/>
              <w:right w:type="dxa" w:w="100"/>
            </w:tcMar>
            <w:vAlign w:val="top"/>
          </w:tcPr>
          <w:p>
            <w:pPr>
              <w:spacing w:after="20" w:before="20" w:line="240"/>
            </w:pPr>
            <w:r>
              <w:t xml:space="preserve">v_tag_* (8 tags, §9)</w:t>
            </w:r>
          </w:p>
        </w:tc>
        <w:tc>
          <w:tcPr>
            <w:tcW w:type="dxa" w:w="1500"/>
            <w:tcMar>
              <w:top w:type="dxa" w:w="40"/>
              <w:left w:type="dxa" w:w="100"/>
              <w:bottom w:type="dxa" w:w="40"/>
              <w:right w:type="dxa" w:w="100"/>
            </w:tcMar>
            <w:vAlign w:val="top"/>
          </w:tcPr>
          <w:p>
            <w:pPr>
              <w:spacing w:after="20" w:before="20" w:line="240"/>
            </w:pPr>
            <w:r>
              <w:t xml:space="preserve">boolean</w:t>
            </w:r>
          </w:p>
        </w:tc>
        <w:tc>
          <w:tcPr>
            <w:tcW w:type="dxa" w:w="1800"/>
            <w:tcMar>
              <w:top w:type="dxa" w:w="40"/>
              <w:left w:type="dxa" w:w="100"/>
              <w:bottom w:type="dxa" w:w="40"/>
              <w:right w:type="dxa" w:w="100"/>
            </w:tcMar>
            <w:vAlign w:val="top"/>
          </w:tcPr>
          <w:p>
            <w:pPr>
              <w:spacing w:after="20" w:before="20" w:line="240"/>
            </w:pPr>
            <w:r>
              <w:t xml:space="preserve">true / false</w:t>
            </w:r>
          </w:p>
        </w:tc>
        <w:tc>
          <w:tcPr>
            <w:tcW w:type="dxa" w:w="3400"/>
            <w:tcMar>
              <w:top w:type="dxa" w:w="40"/>
              <w:left w:type="dxa" w:w="100"/>
              <w:bottom w:type="dxa" w:w="40"/>
              <w:right w:type="dxa" w:w="100"/>
            </w:tcMar>
            <w:vAlign w:val="top"/>
          </w:tcPr>
          <w:p>
            <w:pPr>
              <w:spacing w:after="20" w:before="20" w:line="240"/>
            </w:pPr>
            <w:r>
              <w:t xml:space="preserve">Each tagged distractor’s “on selected” action</w:t>
            </w:r>
          </w:p>
        </w:tc>
        <w:tc>
          <w:tcPr>
            <w:tcW w:type="dxa" w:w="3300"/>
            <w:tcMar>
              <w:top w:type="dxa" w:w="40"/>
              <w:left w:type="dxa" w:w="100"/>
              <w:bottom w:type="dxa" w:w="40"/>
              <w:right w:type="dxa" w:w="100"/>
            </w:tcMar>
            <w:vAlign w:val="top"/>
          </w:tcPr>
          <w:p>
            <w:pPr>
              <w:spacing w:after="20" w:before="20" w:line="240"/>
            </w:pPr>
            <w:r>
              <w:t xml:space="preserve">Refutation-card triggers 1.R–4.R</w:t>
            </w:r>
          </w:p>
        </w:tc>
      </w:tr>
      <w:tr>
        <w:tc>
          <w:tcPr>
            <w:tcW w:type="dxa" w:w="3400"/>
            <w:tcMar>
              <w:top w:type="dxa" w:w="40"/>
              <w:left w:type="dxa" w:w="100"/>
              <w:bottom w:type="dxa" w:w="40"/>
              <w:right w:type="dxa" w:w="100"/>
            </w:tcMar>
            <w:vAlign w:val="top"/>
          </w:tcPr>
          <w:p>
            <w:pPr>
              <w:spacing w:after="20" w:before="20" w:line="240"/>
            </w:pPr>
            <w:r>
              <w:t xml:space="preserve">v_SO1_exit … v_SO4_exit</w:t>
            </w:r>
          </w:p>
        </w:tc>
        <w:tc>
          <w:tcPr>
            <w:tcW w:type="dxa" w:w="1500"/>
            <w:tcMar>
              <w:top w:type="dxa" w:w="40"/>
              <w:left w:type="dxa" w:w="100"/>
              <w:bottom w:type="dxa" w:w="40"/>
              <w:right w:type="dxa" w:w="100"/>
            </w:tcMar>
            <w:vAlign w:val="top"/>
          </w:tcPr>
          <w:p>
            <w:pPr>
              <w:spacing w:after="20" w:before="20" w:line="240"/>
            </w:pPr>
            <w:r>
              <w:t xml:space="preserve">number</w:t>
            </w:r>
          </w:p>
        </w:tc>
        <w:tc>
          <w:tcPr>
            <w:tcW w:type="dxa" w:w="1800"/>
            <w:tcMar>
              <w:top w:type="dxa" w:w="40"/>
              <w:left w:type="dxa" w:w="100"/>
              <w:bottom w:type="dxa" w:w="40"/>
              <w:right w:type="dxa" w:w="100"/>
            </w:tcMar>
            <w:vAlign w:val="top"/>
          </w:tcPr>
          <w:p>
            <w:pPr>
              <w:spacing w:after="20" w:before="20" w:line="240"/>
            </w:pPr>
            <w:r>
              <w:t xml:space="preserve">0–3</w:t>
            </w:r>
          </w:p>
        </w:tc>
        <w:tc>
          <w:tcPr>
            <w:tcW w:type="dxa" w:w="3400"/>
            <w:tcMar>
              <w:top w:type="dxa" w:w="40"/>
              <w:left w:type="dxa" w:w="100"/>
              <w:bottom w:type="dxa" w:w="40"/>
              <w:right w:type="dxa" w:w="100"/>
            </w:tcMar>
            <w:vAlign w:val="top"/>
          </w:tcPr>
          <w:p>
            <w:pPr>
              <w:spacing w:after="20" w:before="20" w:line="240"/>
            </w:pPr>
            <w:r>
              <w:t xml:space="preserve">Section-test scoring (same rule)</w:t>
            </w:r>
          </w:p>
        </w:tc>
        <w:tc>
          <w:tcPr>
            <w:tcW w:type="dxa" w:w="3300"/>
            <w:tcMar>
              <w:top w:type="dxa" w:w="40"/>
              <w:left w:type="dxa" w:w="100"/>
              <w:bottom w:type="dxa" w:w="40"/>
              <w:right w:type="dxa" w:w="100"/>
            </w:tcMar>
            <w:vAlign w:val="top"/>
          </w:tcPr>
          <w:p>
            <w:pPr>
              <w:spacing w:after="20" w:before="20" w:line="240"/>
            </w:pPr>
            <w:r>
              <w:t xml:space="preserve">Completion gate (≥ 2; ≥ 3 recommended SO3/SO4); report</w:t>
            </w:r>
          </w:p>
        </w:tc>
      </w:tr>
    </w:tbl>
    <w:p>
      <w:pPr>
        <w:spacing w:after="120" w:before="120" w:line="259"/>
      </w:pPr>
      <w:r>
        <w:rPr>
          <w:b/>
          <w:bCs/>
        </w:rPr>
        <w:t xml:space="preserve">Scoring pseudocode per SO (placement and exit alike): </w:t>
      </w:r>
      <w:r>
        <w:rPr>
          <w:rFonts w:ascii="Consolas" w:cs="Consolas" w:eastAsia="Consolas" w:hAnsi="Consolas"/>
        </w:rPr>
        <w:t xml:space="preserve">level = 0; for rung in [Q1, Q2, Q3]: if pass(rung): level += 1; else: break</w:t>
      </w:r>
    </w:p>
    <w:p>
      <w:pPr>
        <w:spacing w:after="120" w:before="40" w:line="259"/>
      </w:pPr>
      <w:r>
        <w:t xml:space="preserve">Fallback Tier A: if variables + conditional navigation prove unreliable on the target platform/LMS, revert to native per-module gates with Skip Content if Passed (v2 pattern). Content is authored once either way.</w:t>
      </w:r>
    </w:p>
    <w:p>
      <w:pPr>
        <w:pStyle w:val="Heading1"/>
        <w:spacing w:after="120" w:before="280"/>
      </w:pPr>
      <w:r>
        <w:t xml:space="preserve">12. Acceptance checklist (build QA)</w:t>
      </w:r>
    </w:p>
    <w:p>
      <w:pPr>
        <w:spacing w:after="60" w:before="40" w:line="259"/>
      </w:pPr>
      <w:r>
        <w:t xml:space="preserve">☐  Every placement item answerable independently of its block-mates (no answer leakage).</w:t>
      </w:r>
    </w:p>
    <w:p>
      <w:pPr>
        <w:spacing w:after="60" w:before="40" w:line="259"/>
      </w:pPr>
      <w:r>
        <w:t xml:space="preserve">☐  One attempt enforced; no feedback shown anywhere in M-P.</w:t>
      </w:r>
    </w:p>
    <w:p>
      <w:pPr>
        <w:spacing w:after="60" w:before="40" w:line="259"/>
      </w:pPr>
      <w:r>
        <w:t xml:space="preserve">☐  Option order randomized, except C-Q3 (and SO3-Q3b) sequence items which keep fixed order.</w:t>
      </w:r>
    </w:p>
    <w:p>
      <w:pPr>
        <w:spacing w:after="60" w:before="40" w:line="259"/>
      </w:pPr>
      <w:r>
        <w:t xml:space="preserve">☐  v_SOn_L computed with the consecutive-pass rule; anomaly case verified with a scripted run (fail Q1, pass Q2/Q3 → L0).</w:t>
      </w:r>
    </w:p>
    <w:p>
      <w:pPr>
        <w:spacing w:after="60" w:before="40" w:line="259"/>
      </w:pPr>
      <w:r>
        <w:t xml:space="preserve">☐  Each tagged distractor sets its v_tag_* variable; each refutation card fires only on its own tags, and never on a skipped (L3) section.</w:t>
      </w:r>
    </w:p>
    <w:p>
      <w:pPr>
        <w:spacing w:after="60" w:before="40" w:line="259"/>
      </w:pPr>
      <w:r>
        <w:t xml:space="preserve">☐  Routing verified for all 4 levels × 4 SOs (16 paths).</w:t>
      </w:r>
    </w:p>
    <w:p>
      <w:pPr>
        <w:spacing w:after="60" w:before="40" w:line="259"/>
      </w:pPr>
      <w:r>
        <w:t xml:space="preserve">☐  Exit ladders compute v_SOn_exit; completion gate ≥ L2 enforced (L3 recommended flag for SO3/SO4).</w:t>
      </w:r>
    </w:p>
    <w:p>
      <w:pPr>
        <w:spacing w:after="60" w:before="40" w:line="259"/>
      </w:pPr>
      <w:r>
        <w:t xml:space="preserve">☐  SCORM score = mean(exit L/3), skipped SOs credited L3; verified against a worked example (SO1 skip, SO2 L3, SO3 L0, SO4 L3 → 75%).</w:t>
      </w:r>
    </w:p>
    <w:p>
      <w:pPr>
        <w:spacing w:after="60" w:before="40" w:line="259"/>
      </w:pPr>
      <w:r>
        <w:t xml:space="preserve">☐  After Alpha: pass rates decrease monotonically Q1 ≥ Q2 ≥ Q3 within each scenario; any inversion is a mis-levelled item to rewrite.</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rFonts w:ascii="Calibri Light" w:cs="Calibri Light" w:eastAsia="Calibri Light" w:hAnsi="Calibri Light"/>
      <w:color w:val="000000"/>
      <w:sz w:val="56"/>
      <w:szCs w:val="56"/>
    </w:rPr>
  </w:style>
  <w:style w:type="paragraph" w:styleId="Heading1">
    <w:name w:val="Heading 1"/>
    <w:basedOn w:val="Normal"/>
    <w:next w:val="Normal"/>
    <w:qFormat/>
    <w:rPr>
      <w:rFonts w:ascii="Calibri Light" w:cs="Calibri Light" w:eastAsia="Calibri Light" w:hAnsi="Calibri Light"/>
      <w:color w:val="2E74B5"/>
      <w:sz w:val="32"/>
      <w:szCs w:val="32"/>
    </w:rPr>
  </w:style>
  <w:style w:type="paragraph" w:styleId="Heading2">
    <w:name w:val="Heading 2"/>
    <w:basedOn w:val="Normal"/>
    <w:next w:val="Normal"/>
    <w:qFormat/>
    <w:rPr>
      <w:rFonts w:ascii="Calibri Light" w:cs="Calibri Light" w:eastAsia="Calibri Light" w:hAnsi="Calibri Light"/>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2026-08-31T02:57:38.059Z</dcterms:created>
  <dcterms:modified xsi:type="dcterms:W3CDTF">2026-08-31T02:57:38.059Z</dcterms:modified>
</cp:coreProperties>
</file>

<file path=docProps/custom.xml><?xml version="1.0" encoding="utf-8"?>
<Properties xmlns="http://schemas.openxmlformats.org/officeDocument/2006/custom-properties" xmlns:vt="http://schemas.openxmlformats.org/officeDocument/2006/docPropsVTypes"/>
</file>