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v3.2 change log and crosswalk</w:t>
      </w:r>
    </w:p>
    <w:p>
      <w:pPr>
        <w:spacing w:after="100"/>
      </w:pPr>
      <w:r>
        <w:t xml:space="preserve">Companion to </w:t>
      </w:r>
      <w:r>
        <w:rPr>
          <w:rFonts w:ascii="Consolas" w:cs="Consolas" w:eastAsia="Consolas" w:hAnsi="Consolas"/>
        </w:rPr>
        <w:t xml:space="preserve">Storyboard-Generator-Master-Prompt-v3.2.md</w:t>
      </w:r>
      <w:r>
        <w:t xml:space="preserve">. It records what changed from v3.1, why, and where every v3.1 section went. Nothing in this file is pasted into the AI tool.</w:t>
      </w:r>
    </w:p>
    <w:p>
      <w:pPr>
        <w:pStyle w:val="Heading2"/>
        <w:keepNext/>
      </w:pPr>
      <w:r>
        <w:t xml:space="preserve">1. What v3.2 does</w:t>
      </w:r>
    </w:p>
    <w:p>
      <w:pPr>
        <w:pStyle w:val="ListParagraph"/>
        <w:numPr>
          <w:ilvl w:val="0"/>
          <w:numId w:val="2"/>
        </w:numPr>
        <w:spacing w:after="60"/>
      </w:pPr>
      <w:r>
        <w:t xml:space="preserve">Merges the two layers of v3.1 (the master prompt and the appended "v3.1 Revised Prompt Sections" package) into one document, executing the package's own "Integration and cleanup requirements".</w:t>
      </w:r>
    </w:p>
    <w:p>
      <w:pPr>
        <w:pStyle w:val="ListParagraph"/>
        <w:numPr>
          <w:ilvl w:val="0"/>
          <w:numId w:val="2"/>
        </w:numPr>
        <w:spacing w:after="60"/>
      </w:pPr>
      <w:r>
        <w:t xml:space="preserve">Keeps every unique requirement and every specific standard (exact feedback strings, Style block, Developer Notes – All Slides lines, border specification, gap-marker vocabulary, component minimums, acceptance checks).</w:t>
      </w:r>
    </w:p>
    <w:p>
      <w:pPr>
        <w:pStyle w:val="ListParagraph"/>
        <w:numPr>
          <w:ilvl w:val="0"/>
          <w:numId w:val="2"/>
        </w:numPr>
        <w:spacing w:after="60"/>
      </w:pPr>
      <w:r>
        <w:t xml:space="preserve">Gives every rule one home and one acceptance line ("one home, one check"). Six overlapping checklists become one slide-level gate and one acceptance list.</w:t>
      </w:r>
    </w:p>
    <w:p>
      <w:pPr>
        <w:pStyle w:val="ListParagraph"/>
        <w:numPr>
          <w:ilvl w:val="0"/>
          <w:numId w:val="2"/>
        </w:numPr>
        <w:spacing w:after="60"/>
      </w:pPr>
      <w:r>
        <w:t xml:space="preserve">Resolves the contradictions listed in section 2 below.</w:t>
      </w:r>
    </w:p>
    <w:p>
      <w:pPr>
        <w:pStyle w:val="ListParagraph"/>
        <w:numPr>
          <w:ilvl w:val="0"/>
          <w:numId w:val="2"/>
        </w:numPr>
        <w:spacing w:after="60"/>
      </w:pPr>
      <w:r>
        <w:t xml:space="preserve">Adds the content-quality rules the review found missing (section 3 below).</w:t>
      </w:r>
    </w:p>
    <w:p>
      <w:pPr>
        <w:pStyle w:val="ListParagraph"/>
        <w:numPr>
          <w:ilvl w:val="0"/>
          <w:numId w:val="2"/>
        </w:numPr>
        <w:spacing w:after="60"/>
      </w:pPr>
      <w:r>
        <w:t xml:space="preserve">Removes maintainer-facing material from the prompt and moves it here (section 5 below).</w:t>
      </w:r>
    </w:p>
    <w:p>
      <w:pPr>
        <w:spacing w:after="100"/>
      </w:pPr>
      <w:r>
        <w:t xml:space="preserve">Word count: v3.1 about 19,200 words; v3.2 about 15,900 words. The reduction is smaller than the review's 9,500-word estimate because every component minimum, every acceptance condition, every exact standard, and every internal artifact field list was retained in full rather than trimmed; only duplicate statements, contradictions, and maintainer-facing material were removed.</w:t>
      </w:r>
    </w:p>
    <w:p>
      <w:pPr>
        <w:pStyle w:val="Heading2"/>
        <w:keepNext/>
      </w:pPr>
      <w:r>
        <w:t xml:space="preserve">2. Decisions taken on the v3.1 contradictions</w:t>
      </w:r>
    </w:p>
    <w:p>
      <w:pPr>
        <w:spacing w:after="100"/>
      </w:pPr>
      <w:r>
        <w:t xml:space="preserve">Each of these can be reversed by editing the single place in v3.2 where the rule now lives.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93"/>
        <w:gridCol w:w="929"/>
        <w:gridCol w:w="7364"/>
        <w:gridCol w:w="894"/>
      </w:tblGrid>
      <w:tr>
        <w:trPr>
          <w:cantSplit w:val="false"/>
          <w:tblHeader/>
        </w:trPr>
        <w:tc>
          <w:tcPr>
            <w:tcW w:type="dxa" w:w="893"/>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tcPr>
          <w:p>
            <w:pPr>
              <w:spacing w:after="0" w:before="0"/>
            </w:pPr>
            <w:r>
              <w:rPr>
                <w:b/>
                <w:bCs/>
                <w:sz w:val="19"/>
                <w:szCs w:val="19"/>
              </w:rPr>
              <w:t xml:space="preserve">#</w:t>
            </w:r>
          </w:p>
        </w:tc>
        <w:tc>
          <w:tcPr>
            <w:tcW w:type="dxa" w:w="929"/>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tcPr>
          <w:p>
            <w:pPr>
              <w:spacing w:after="0" w:before="0"/>
            </w:pPr>
            <w:r>
              <w:rPr>
                <w:b/>
                <w:bCs/>
                <w:sz w:val="19"/>
                <w:szCs w:val="19"/>
              </w:rPr>
              <w:t xml:space="preserve">Topic</w:t>
            </w:r>
          </w:p>
        </w:tc>
        <w:tc>
          <w:tcPr>
            <w:tcW w:type="dxa" w:w="7364"/>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tcPr>
          <w:p>
            <w:pPr>
              <w:spacing w:after="0" w:before="0"/>
            </w:pPr>
            <w:r>
              <w:rPr>
                <w:b/>
                <w:bCs/>
                <w:sz w:val="19"/>
                <w:szCs w:val="19"/>
              </w:rPr>
              <w:t xml:space="preserve">Decision in v3.2</w:t>
            </w:r>
          </w:p>
        </w:tc>
        <w:tc>
          <w:tcPr>
            <w:tcW w:type="dxa" w:w="894"/>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tcPr>
          <w:p>
            <w:pPr>
              <w:spacing w:after="0" w:before="0"/>
            </w:pPr>
            <w:r>
              <w:rPr>
                <w:b/>
                <w:bCs/>
                <w:sz w:val="19"/>
                <w:szCs w:val="19"/>
              </w:rPr>
              <w:t xml:space="preserve">Where</w:t>
            </w:r>
          </w:p>
        </w:tc>
      </w:tr>
      <w:tr>
        <w:trPr>
          <w:cantSplit w:val="false"/>
          <w:tblHeader w:val="false"/>
        </w:trPr>
        <w:tc>
          <w:tcPr>
            <w:tcW w:type="dxa" w:w="893"/>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before="0"/>
            </w:pPr>
            <w:r>
              <w:rPr>
                <w:b w:val="false"/>
                <w:bCs w:val="false"/>
                <w:sz w:val="19"/>
                <w:szCs w:val="19"/>
              </w:rPr>
              <w:t xml:space="preserve">1</w:t>
            </w:r>
          </w:p>
        </w:tc>
        <w:tc>
          <w:tcPr>
            <w:tcW w:type="dxa" w:w="929"/>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before="0"/>
            </w:pPr>
            <w:r>
              <w:rPr>
                <w:b w:val="false"/>
                <w:bCs w:val="false"/>
                <w:sz w:val="19"/>
                <w:szCs w:val="19"/>
              </w:rPr>
              <w:t xml:space="preserve">Merged title-row borders</w:t>
            </w:r>
          </w:p>
        </w:tc>
        <w:tc>
          <w:tcPr>
            <w:tcW w:type="dxa" w:w="7364"/>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before="0"/>
            </w:pPr>
            <w:r>
              <w:rPr>
                <w:b w:val="false"/>
                <w:bCs w:val="false"/>
                <w:sz w:val="19"/>
                <w:szCs w:val="19"/>
              </w:rPr>
              <w:t xml:space="preserve">Bottom border only (solid black, 0.5 pt, #000000); no top, left, or right border on merged title rows. All four sides on every header and body cell. This follows Step 4 item 14, the Acceptance Checks, and Appendix 13 of v3.1, which section 29 identified as "the approved template rule".</w:t>
            </w:r>
          </w:p>
        </w:tc>
        <w:tc>
          <w:tcPr>
            <w:tcW w:type="dxa" w:w="894"/>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before="0"/>
            </w:pPr>
            <w:r>
              <w:rPr>
                <w:b w:val="false"/>
                <w:bCs w:val="false"/>
                <w:sz w:val="19"/>
                <w:szCs w:val="19"/>
              </w:rPr>
              <w:t xml:space="preserve">13.2; acceptance check 6</w:t>
            </w:r>
          </w:p>
        </w:tc>
      </w:tr>
      <w:tr>
        <w:trPr>
          <w:cantSplit w:val="false"/>
          <w:tblHeader w:val="false"/>
        </w:trPr>
        <w:tc>
          <w:tcPr>
            <w:tcW w:type="dxa" w:w="893"/>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before="0"/>
            </w:pPr>
            <w:r>
              <w:rPr>
                <w:b w:val="false"/>
                <w:bCs w:val="false"/>
                <w:sz w:val="19"/>
                <w:szCs w:val="19"/>
              </w:rPr>
              <w:t xml:space="preserve">2</w:t>
            </w:r>
          </w:p>
        </w:tc>
        <w:tc>
          <w:tcPr>
            <w:tcW w:type="dxa" w:w="929"/>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before="0"/>
            </w:pPr>
            <w:r>
              <w:rPr>
                <w:b w:val="false"/>
                <w:bCs w:val="false"/>
                <w:sz w:val="19"/>
                <w:szCs w:val="19"/>
              </w:rPr>
              <w:t xml:space="preserve">Interaction column modes</w:t>
            </w:r>
          </w:p>
        </w:tc>
        <w:tc>
          <w:tcPr>
            <w:tcW w:type="dxa" w:w="7364"/>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before="0"/>
            </w:pPr>
            <w:r>
              <w:rPr>
                <w:b w:val="false"/>
                <w:bCs w:val="false"/>
                <w:sz w:val="19"/>
                <w:szCs w:val="19"/>
              </w:rPr>
              <w:t xml:space="preserve">Five modes (v3.1 Layer 2 section 9). Mode 2 includes Component, Learner Action, Component Structure, Order, Initial State, Required Viewing, Completion. Excluded from every mode: Learning Purpose, Directive, design rationale, tool-validation notes, routine accessibility, covered fallbacks, low-level implementation logic. The Mode 2 example now shows the object mapping form.</w:t>
            </w:r>
          </w:p>
        </w:tc>
        <w:tc>
          <w:tcPr>
            <w:tcW w:type="dxa" w:w="894"/>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before="0"/>
            </w:pPr>
            <w:r>
              <w:rPr>
                <w:b w:val="false"/>
                <w:bCs w:val="false"/>
                <w:sz w:val="19"/>
                <w:szCs w:val="19"/>
              </w:rPr>
              <w:t xml:space="preserve">7.4; acceptance check 18</w:t>
            </w:r>
          </w:p>
        </w:tc>
      </w:tr>
      <w:tr>
        <w:trPr>
          <w:cantSplit w:val="false"/>
          <w:tblHeader w:val="false"/>
        </w:trPr>
        <w:tc>
          <w:tcPr>
            <w:tcW w:type="dxa" w:w="893"/>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before="0"/>
            </w:pPr>
            <w:r>
              <w:rPr>
                <w:b w:val="false"/>
                <w:bCs w:val="false"/>
                <w:sz w:val="19"/>
                <w:szCs w:val="19"/>
              </w:rPr>
              <w:t xml:space="preserve">3</w:t>
            </w:r>
          </w:p>
        </w:tc>
        <w:tc>
          <w:tcPr>
            <w:tcW w:type="dxa" w:w="929"/>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before="0"/>
            </w:pPr>
            <w:r>
              <w:rPr>
                <w:b w:val="false"/>
                <w:bCs w:val="false"/>
                <w:sz w:val="19"/>
                <w:szCs w:val="19"/>
              </w:rPr>
              <w:t xml:space="preserve">Two-attempt feedback states</w:t>
            </w:r>
          </w:p>
        </w:tc>
        <w:tc>
          <w:tcPr>
            <w:tcW w:type="dxa" w:w="7364"/>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before="0"/>
            </w:pPr>
            <w:r>
              <w:rPr>
                <w:b w:val="false"/>
                <w:bCs w:val="false"/>
                <w:sz w:val="19"/>
                <w:szCs w:val="19"/>
              </w:rPr>
              <w:t xml:space="preserve">Three states by default (shared Correct, First Incorrect Hint, Final Incorrect). Separate First-Attempt Correct and Second-Attempt Correct only when Development confirms support and the project requires them. One set of exact strings for all states.</w:t>
            </w:r>
          </w:p>
        </w:tc>
        <w:tc>
          <w:tcPr>
            <w:tcW w:type="dxa" w:w="894"/>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before="0"/>
            </w:pPr>
            <w:r>
              <w:rPr>
                <w:b w:val="false"/>
                <w:bCs w:val="false"/>
                <w:sz w:val="19"/>
                <w:szCs w:val="19"/>
              </w:rPr>
              <w:t xml:space="preserve">9.2; acceptance checks 22 and 23</w:t>
            </w:r>
          </w:p>
        </w:tc>
      </w:tr>
      <w:tr>
        <w:trPr>
          <w:cantSplit w:val="false"/>
          <w:tblHeader w:val="false"/>
        </w:trPr>
        <w:tc>
          <w:tcPr>
            <w:tcW w:type="dxa" w:w="893"/>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before="0"/>
            </w:pPr>
            <w:r>
              <w:rPr>
                <w:b w:val="false"/>
                <w:bCs w:val="false"/>
                <w:sz w:val="19"/>
                <w:szCs w:val="19"/>
              </w:rPr>
              <w:t xml:space="preserve">4</w:t>
            </w:r>
          </w:p>
        </w:tc>
        <w:tc>
          <w:tcPr>
            <w:tcW w:type="dxa" w:w="929"/>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before="0"/>
            </w:pPr>
            <w:r>
              <w:rPr>
                <w:b w:val="false"/>
                <w:bCs w:val="false"/>
                <w:sz w:val="19"/>
                <w:szCs w:val="19"/>
              </w:rPr>
              <w:t xml:space="preserve">Region labels in Text Content</w:t>
            </w:r>
          </w:p>
        </w:tc>
        <w:tc>
          <w:tcPr>
            <w:tcW w:type="dxa" w:w="7364"/>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before="0"/>
            </w:pPr>
            <w:r>
              <w:rPr>
                <w:b w:val="false"/>
                <w:bCs w:val="false"/>
                <w:sz w:val="19"/>
                <w:szCs w:val="19"/>
              </w:rPr>
              <w:t xml:space="preserve">Heading hierarchy (H1 title, H2 region or section, H3 sub-group, bold label with colon only for Narration/VO and interaction fields). "On-screen" prefixes removed from the templates in Appendix A.</w:t>
            </w:r>
          </w:p>
        </w:tc>
        <w:tc>
          <w:tcPr>
            <w:tcW w:type="dxa" w:w="894"/>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before="0"/>
            </w:pPr>
            <w:r>
              <w:rPr>
                <w:b w:val="false"/>
                <w:bCs w:val="false"/>
                <w:sz w:val="19"/>
                <w:szCs w:val="19"/>
              </w:rPr>
              <w:t xml:space="preserve">5.4; acceptance check 10</w:t>
            </w:r>
          </w:p>
        </w:tc>
      </w:tr>
      <w:tr>
        <w:trPr>
          <w:cantSplit w:val="false"/>
          <w:tblHeader w:val="false"/>
        </w:trPr>
        <w:tc>
          <w:tcPr>
            <w:tcW w:type="dxa" w:w="893"/>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before="0"/>
            </w:pPr>
            <w:r>
              <w:rPr>
                <w:b w:val="false"/>
                <w:bCs w:val="false"/>
                <w:sz w:val="19"/>
                <w:szCs w:val="19"/>
              </w:rPr>
              <w:t xml:space="preserve">5</w:t>
            </w:r>
          </w:p>
        </w:tc>
        <w:tc>
          <w:tcPr>
            <w:tcW w:type="dxa" w:w="929"/>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before="0"/>
            </w:pPr>
            <w:r>
              <w:rPr>
                <w:b w:val="false"/>
                <w:bCs w:val="false"/>
                <w:sz w:val="19"/>
                <w:szCs w:val="19"/>
              </w:rPr>
              <w:t xml:space="preserve">Interaction minimums</w:t>
            </w:r>
          </w:p>
        </w:tc>
        <w:tc>
          <w:tcPr>
            <w:tcW w:type="dxa" w:w="7364"/>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before="0"/>
            </w:pPr>
            <w:r>
              <w:rPr>
                <w:b w:val="false"/>
                <w:bCs w:val="false"/>
                <w:sz w:val="19"/>
                <w:szCs w:val="19"/>
              </w:rPr>
              <w:t xml:space="preserve">No project-independent numeric quotas. Kept as pedagogy, not as counts: practice for every objective-bearing chunk and at least one higher-order check where objectives require it. "At least three context variables" became "the variables that genuinely affect performance".</w:t>
            </w:r>
          </w:p>
        </w:tc>
        <w:tc>
          <w:tcPr>
            <w:tcW w:type="dxa" w:w="894"/>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before="0"/>
            </w:pPr>
            <w:r>
              <w:rPr>
                <w:b w:val="false"/>
                <w:bCs w:val="false"/>
                <w:sz w:val="19"/>
                <w:szCs w:val="19"/>
              </w:rPr>
              <w:t xml:space="preserve">4.2; 7.5</w:t>
            </w:r>
          </w:p>
        </w:tc>
      </w:tr>
      <w:tr>
        <w:trPr>
          <w:cantSplit w:val="false"/>
          <w:tblHeader w:val="false"/>
        </w:trPr>
        <w:tc>
          <w:tcPr>
            <w:tcW w:type="dxa" w:w="893"/>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before="0"/>
            </w:pPr>
            <w:r>
              <w:rPr>
                <w:b w:val="false"/>
                <w:bCs w:val="false"/>
                <w:sz w:val="19"/>
                <w:szCs w:val="19"/>
              </w:rPr>
              <w:t xml:space="preserve">6</w:t>
            </w:r>
          </w:p>
        </w:tc>
        <w:tc>
          <w:tcPr>
            <w:tcW w:type="dxa" w:w="929"/>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before="0"/>
            </w:pPr>
            <w:r>
              <w:rPr>
                <w:b w:val="false"/>
                <w:bCs w:val="false"/>
                <w:sz w:val="19"/>
                <w:szCs w:val="19"/>
              </w:rPr>
              <w:t xml:space="preserve">Scored-MCQ field labels</w:t>
            </w:r>
          </w:p>
        </w:tc>
        <w:tc>
          <w:tcPr>
            <w:tcW w:type="dxa" w:w="7364"/>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before="0"/>
            </w:pPr>
            <w:r>
              <w:rPr>
                <w:b w:val="false"/>
                <w:bCs w:val="false"/>
                <w:sz w:val="19"/>
                <w:szCs w:val="19"/>
              </w:rPr>
              <w:t xml:space="preserve">One spelling everywhere: "Correct answer text: [letter]. [exact answer text]" and "Randomize options: Yes / No / Tool limitation".</w:t>
            </w:r>
          </w:p>
        </w:tc>
        <w:tc>
          <w:tcPr>
            <w:tcW w:type="dxa" w:w="894"/>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before="0"/>
            </w:pPr>
            <w:r>
              <w:rPr>
                <w:b w:val="false"/>
                <w:bCs w:val="false"/>
                <w:sz w:val="19"/>
                <w:szCs w:val="19"/>
              </w:rPr>
              <w:t xml:space="preserve">9.4; Appendix A; acceptance check 24</w:t>
            </w:r>
          </w:p>
        </w:tc>
      </w:tr>
      <w:tr>
        <w:trPr>
          <w:cantSplit w:val="false"/>
          <w:tblHeader w:val="false"/>
        </w:trPr>
        <w:tc>
          <w:tcPr>
            <w:tcW w:type="dxa" w:w="893"/>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before="0"/>
            </w:pPr>
            <w:r>
              <w:rPr>
                <w:b w:val="false"/>
                <w:bCs w:val="false"/>
                <w:sz w:val="19"/>
                <w:szCs w:val="19"/>
              </w:rPr>
              <w:t xml:space="preserve">7</w:t>
            </w:r>
          </w:p>
        </w:tc>
        <w:tc>
          <w:tcPr>
            <w:tcW w:type="dxa" w:w="929"/>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before="0"/>
            </w:pPr>
            <w:r>
              <w:rPr>
                <w:b w:val="false"/>
                <w:bCs w:val="false"/>
                <w:sz w:val="19"/>
                <w:szCs w:val="19"/>
              </w:rPr>
              <w:t xml:space="preserve">Multimedia cell schema</w:t>
            </w:r>
          </w:p>
        </w:tc>
        <w:tc>
          <w:tcPr>
            <w:tcW w:type="dxa" w:w="7364"/>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before="0"/>
            </w:pPr>
            <w:r>
              <w:rPr>
                <w:b w:val="false"/>
                <w:bCs w:val="false"/>
                <w:sz w:val="19"/>
                <w:szCs w:val="19"/>
              </w:rPr>
              <w:t xml:space="preserve">Three fields, one spelling: "Layout/Visual:", "Asset/Request:" (only when an asset must be located, inserted, verified, or requested), "Alt Text:". Request numbers and filenames are permitted on the Asset/Request line; v3.1 section K's "do not display Request #" was written for the older richer schema and was removed.</w:t>
            </w:r>
          </w:p>
        </w:tc>
        <w:tc>
          <w:tcPr>
            <w:tcW w:type="dxa" w:w="894"/>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before="0"/>
            </w:pPr>
            <w:r>
              <w:rPr>
                <w:b w:val="false"/>
                <w:bCs w:val="false"/>
                <w:sz w:val="19"/>
                <w:szCs w:val="19"/>
              </w:rPr>
              <w:t xml:space="preserve">10.1; acceptance check 25</w:t>
            </w:r>
          </w:p>
        </w:tc>
      </w:tr>
      <w:tr>
        <w:trPr>
          <w:cantSplit w:val="false"/>
          <w:tblHeader w:val="false"/>
        </w:trPr>
        <w:tc>
          <w:tcPr>
            <w:tcW w:type="dxa" w:w="893"/>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before="0"/>
            </w:pPr>
            <w:r>
              <w:rPr>
                <w:b w:val="false"/>
                <w:bCs w:val="false"/>
                <w:sz w:val="19"/>
                <w:szCs w:val="19"/>
              </w:rPr>
              <w:t xml:space="preserve">8</w:t>
            </w:r>
          </w:p>
        </w:tc>
        <w:tc>
          <w:tcPr>
            <w:tcW w:type="dxa" w:w="929"/>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before="0"/>
            </w:pPr>
            <w:r>
              <w:rPr>
                <w:b w:val="false"/>
                <w:bCs w:val="false"/>
                <w:sz w:val="19"/>
                <w:szCs w:val="19"/>
              </w:rPr>
              <w:t xml:space="preserve">Authority stack</w:t>
            </w:r>
          </w:p>
        </w:tc>
        <w:tc>
          <w:tcPr>
            <w:tcW w:type="dxa" w:w="7364"/>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before="0"/>
            </w:pPr>
            <w:r>
              <w:rPr>
                <w:b w:val="false"/>
                <w:bCs w:val="false"/>
                <w:sz w:val="19"/>
                <w:szCs w:val="19"/>
              </w:rPr>
              <w:t xml:space="preserve">One nine-level list. "HLOD" corrected to HLDD (High-Level Design Document).</w:t>
            </w:r>
          </w:p>
        </w:tc>
        <w:tc>
          <w:tcPr>
            <w:tcW w:type="dxa" w:w="894"/>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before="0"/>
            </w:pPr>
            <w:r>
              <w:rPr>
                <w:b w:val="false"/>
                <w:bCs w:val="false"/>
                <w:sz w:val="19"/>
                <w:szCs w:val="19"/>
              </w:rPr>
              <w:t xml:space="preserve">2.2</w:t>
            </w:r>
          </w:p>
        </w:tc>
      </w:tr>
      <w:tr>
        <w:trPr>
          <w:cantSplit w:val="false"/>
          <w:tblHeader w:val="false"/>
        </w:trPr>
        <w:tc>
          <w:tcPr>
            <w:tcW w:type="dxa" w:w="893"/>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before="0"/>
            </w:pPr>
            <w:r>
              <w:rPr>
                <w:b w:val="false"/>
                <w:bCs w:val="false"/>
                <w:sz w:val="19"/>
                <w:szCs w:val="19"/>
              </w:rPr>
              <w:t xml:space="preserve">9</w:t>
            </w:r>
          </w:p>
        </w:tc>
        <w:tc>
          <w:tcPr>
            <w:tcW w:type="dxa" w:w="929"/>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before="0"/>
            </w:pPr>
            <w:r>
              <w:rPr>
                <w:b w:val="false"/>
                <w:bCs w:val="false"/>
                <w:sz w:val="19"/>
                <w:szCs w:val="19"/>
              </w:rPr>
              <w:t xml:space="preserve">Meaning of "Developer Notes"</w:t>
            </w:r>
          </w:p>
        </w:tc>
        <w:tc>
          <w:tcPr>
            <w:tcW w:type="dxa" w:w="7364"/>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before="0"/>
            </w:pPr>
            <w:r>
              <w:rPr>
                <w:b w:val="false"/>
                <w:bCs w:val="false"/>
                <w:sz w:val="19"/>
                <w:szCs w:val="19"/>
              </w:rPr>
              <w:t xml:space="preserve">"Developer Notes – All Slides" is the exported global block only. Every internal per-slide reference is now "Internal Slide Notes" (part of the Slide Planning Row, Appendix C). Appendix 13's stale "Overall Design" and "Developer Notes – Section Gate" names are gone.</w:t>
            </w:r>
          </w:p>
        </w:tc>
        <w:tc>
          <w:tcPr>
            <w:tcW w:type="dxa" w:w="894"/>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before="0"/>
            </w:pPr>
            <w:r>
              <w:rPr>
                <w:b w:val="false"/>
                <w:bCs w:val="false"/>
                <w:sz w:val="19"/>
                <w:szCs w:val="19"/>
              </w:rPr>
              <w:t xml:space="preserve">13.1; Appendix C</w:t>
            </w:r>
          </w:p>
        </w:tc>
      </w:tr>
      <w:tr>
        <w:trPr>
          <w:cantSplit w:val="false"/>
          <w:tblHeader w:val="false"/>
        </w:trPr>
        <w:tc>
          <w:tcPr>
            <w:tcW w:type="dxa" w:w="893"/>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before="0"/>
            </w:pPr>
            <w:r>
              <w:rPr>
                <w:b w:val="false"/>
                <w:bCs w:val="false"/>
                <w:sz w:val="19"/>
                <w:szCs w:val="19"/>
              </w:rPr>
              <w:t xml:space="preserve">10</w:t>
            </w:r>
          </w:p>
        </w:tc>
        <w:tc>
          <w:tcPr>
            <w:tcW w:type="dxa" w:w="929"/>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before="0"/>
            </w:pPr>
            <w:r>
              <w:rPr>
                <w:b w:val="false"/>
                <w:bCs w:val="false"/>
                <w:sz w:val="19"/>
                <w:szCs w:val="19"/>
              </w:rPr>
              <w:t xml:space="preserve">Tool neutrality</w:t>
            </w:r>
          </w:p>
        </w:tc>
        <w:tc>
          <w:tcPr>
            <w:tcW w:type="dxa" w:w="7364"/>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before="0"/>
            </w:pPr>
            <w:r>
              <w:rPr>
                <w:b w:val="false"/>
                <w:bCs w:val="false"/>
                <w:sz w:val="19"/>
                <w:szCs w:val="19"/>
              </w:rPr>
              <w:t xml:space="preserve">DominKnow is the default. An intake that names another tool applies every DominKnow rule to that tool's approved component reference. With no tool and no reference, tool-neutral language. Both v3.1 behaviours are preserved.</w:t>
            </w:r>
          </w:p>
        </w:tc>
        <w:tc>
          <w:tcPr>
            <w:tcW w:type="dxa" w:w="894"/>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before="0"/>
            </w:pPr>
            <w:r>
              <w:rPr>
                <w:b w:val="false"/>
                <w:bCs w:val="false"/>
                <w:sz w:val="19"/>
                <w:szCs w:val="19"/>
              </w:rPr>
              <w:t xml:space="preserve">1.4</w:t>
            </w:r>
          </w:p>
        </w:tc>
      </w:tr>
      <w:tr>
        <w:trPr>
          <w:cantSplit w:val="false"/>
          <w:tblHeader w:val="false"/>
        </w:trPr>
        <w:tc>
          <w:tcPr>
            <w:tcW w:type="dxa" w:w="893"/>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before="0"/>
            </w:pPr>
            <w:r>
              <w:rPr>
                <w:b w:val="false"/>
                <w:bCs w:val="false"/>
                <w:sz w:val="19"/>
                <w:szCs w:val="19"/>
              </w:rPr>
              <w:t xml:space="preserve">11</w:t>
            </w:r>
          </w:p>
        </w:tc>
        <w:tc>
          <w:tcPr>
            <w:tcW w:type="dxa" w:w="929"/>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before="0"/>
            </w:pPr>
            <w:r>
              <w:rPr>
                <w:b w:val="false"/>
                <w:bCs w:val="false"/>
                <w:sz w:val="19"/>
                <w:szCs w:val="19"/>
              </w:rPr>
              <w:t xml:space="preserve">First screen</w:t>
            </w:r>
          </w:p>
        </w:tc>
        <w:tc>
          <w:tcPr>
            <w:tcW w:type="dxa" w:w="7364"/>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before="0"/>
            </w:pPr>
            <w:r>
              <w:rPr>
                <w:b w:val="false"/>
                <w:bCs w:val="false"/>
                <w:sz w:val="19"/>
                <w:szCs w:val="19"/>
              </w:rPr>
              <w:t xml:space="preserve">Intake decision with a default: Splash is a title screen with estimated completion time, orientation screen next. Intake or client may place the orientation content on the first screen, or the course shell may already provide it.</w:t>
            </w:r>
          </w:p>
        </w:tc>
        <w:tc>
          <w:tcPr>
            <w:tcW w:type="dxa" w:w="894"/>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before="0"/>
            </w:pPr>
            <w:r>
              <w:rPr>
                <w:b w:val="false"/>
                <w:bCs w:val="false"/>
                <w:sz w:val="19"/>
                <w:szCs w:val="19"/>
              </w:rPr>
              <w:t xml:space="preserve">1.4; 4.3</w:t>
            </w:r>
          </w:p>
        </w:tc>
      </w:tr>
      <w:tr>
        <w:trPr>
          <w:cantSplit w:val="false"/>
          <w:tblHeader w:val="false"/>
        </w:trPr>
        <w:tc>
          <w:tcPr>
            <w:tcW w:type="dxa" w:w="893"/>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before="0"/>
            </w:pPr>
            <w:r>
              <w:rPr>
                <w:b w:val="false"/>
                <w:bCs w:val="false"/>
                <w:sz w:val="19"/>
                <w:szCs w:val="19"/>
              </w:rPr>
              <w:t xml:space="preserve">12</w:t>
            </w:r>
          </w:p>
        </w:tc>
        <w:tc>
          <w:tcPr>
            <w:tcW w:type="dxa" w:w="929"/>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before="0"/>
            </w:pPr>
            <w:r>
              <w:rPr>
                <w:b w:val="false"/>
                <w:bCs w:val="false"/>
                <w:sz w:val="19"/>
                <w:szCs w:val="19"/>
              </w:rPr>
              <w:t xml:space="preserve">"None" vs "N/A" in Multimedia</w:t>
            </w:r>
          </w:p>
        </w:tc>
        <w:tc>
          <w:tcPr>
            <w:tcW w:type="dxa" w:w="7364"/>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before="0"/>
            </w:pPr>
            <w:r>
              <w:rPr>
                <w:b w:val="false"/>
                <w:bCs w:val="false"/>
                <w:sz w:val="19"/>
                <w:szCs w:val="19"/>
              </w:rPr>
              <w:t xml:space="preserve">N/A when no visual is needed (v3.1 section K).</w:t>
            </w:r>
          </w:p>
        </w:tc>
        <w:tc>
          <w:tcPr>
            <w:tcW w:type="dxa" w:w="894"/>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before="0"/>
            </w:pPr>
            <w:r>
              <w:rPr>
                <w:b w:val="false"/>
                <w:bCs w:val="false"/>
                <w:sz w:val="19"/>
                <w:szCs w:val="19"/>
              </w:rPr>
              <w:t xml:space="preserve">10.1</w:t>
            </w:r>
          </w:p>
        </w:tc>
      </w:tr>
      <w:tr>
        <w:trPr>
          <w:cantSplit w:val="false"/>
          <w:tblHeader w:val="false"/>
        </w:trPr>
        <w:tc>
          <w:tcPr>
            <w:tcW w:type="dxa" w:w="893"/>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before="0"/>
            </w:pPr>
            <w:r>
              <w:rPr>
                <w:b w:val="false"/>
                <w:bCs w:val="false"/>
                <w:sz w:val="19"/>
                <w:szCs w:val="19"/>
              </w:rPr>
              <w:t xml:space="preserve">13</w:t>
            </w:r>
          </w:p>
        </w:tc>
        <w:tc>
          <w:tcPr>
            <w:tcW w:type="dxa" w:w="929"/>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before="0"/>
            </w:pPr>
            <w:r>
              <w:rPr>
                <w:b w:val="false"/>
                <w:bCs w:val="false"/>
                <w:sz w:val="19"/>
                <w:szCs w:val="19"/>
              </w:rPr>
              <w:t xml:space="preserve">Public Affairs example in Appendix 10</w:t>
            </w:r>
          </w:p>
        </w:tc>
        <w:tc>
          <w:tcPr>
            <w:tcW w:type="dxa" w:w="7364"/>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before="0"/>
            </w:pPr>
            <w:r>
              <w:rPr>
                <w:b w:val="false"/>
                <w:bCs w:val="false"/>
                <w:sz w:val="19"/>
                <w:szCs w:val="19"/>
              </w:rPr>
              <w:t xml:space="preserve">Replaced with a domain-neutral request-approval example in the same notation.</w:t>
            </w:r>
          </w:p>
        </w:tc>
        <w:tc>
          <w:tcPr>
            <w:tcW w:type="dxa" w:w="894"/>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before="0"/>
            </w:pPr>
            <w:r>
              <w:rPr>
                <w:b w:val="false"/>
                <w:bCs w:val="false"/>
                <w:sz w:val="19"/>
                <w:szCs w:val="19"/>
              </w:rPr>
              <w:t xml:space="preserve">Appendix A</w:t>
            </w:r>
          </w:p>
        </w:tc>
      </w:tr>
      <w:tr>
        <w:trPr>
          <w:cantSplit w:val="false"/>
          <w:tblHeader w:val="false"/>
        </w:trPr>
        <w:tc>
          <w:tcPr>
            <w:tcW w:type="dxa" w:w="893"/>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before="0"/>
            </w:pPr>
            <w:r>
              <w:rPr>
                <w:b w:val="false"/>
                <w:bCs w:val="false"/>
                <w:sz w:val="19"/>
                <w:szCs w:val="19"/>
              </w:rPr>
              <w:t xml:space="preserve">14</w:t>
            </w:r>
          </w:p>
        </w:tc>
        <w:tc>
          <w:tcPr>
            <w:tcW w:type="dxa" w:w="929"/>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before="0"/>
            </w:pPr>
            <w:r>
              <w:rPr>
                <w:b w:val="false"/>
                <w:bCs w:val="false"/>
                <w:sz w:val="19"/>
                <w:szCs w:val="19"/>
              </w:rPr>
              <w:t xml:space="preserve">Three phrasings of "Developer to confirm component"</w:t>
            </w:r>
          </w:p>
        </w:tc>
        <w:tc>
          <w:tcPr>
            <w:tcW w:type="dxa" w:w="7364"/>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before="0"/>
            </w:pPr>
            <w:r>
              <w:rPr>
                <w:b w:val="false"/>
                <w:bCs w:val="false"/>
                <w:sz w:val="19"/>
                <w:szCs w:val="19"/>
              </w:rPr>
              <w:t xml:space="preserve">One marker: [DEVELOPER TO ADVISE: Confirm the closest approved DominKnow component or question type.].</w:t>
            </w:r>
          </w:p>
        </w:tc>
        <w:tc>
          <w:tcPr>
            <w:tcW w:type="dxa" w:w="894"/>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before="0"/>
            </w:pPr>
            <w:r>
              <w:rPr>
                <w:b w:val="false"/>
                <w:bCs w:val="false"/>
                <w:sz w:val="19"/>
                <w:szCs w:val="19"/>
              </w:rPr>
              <w:t xml:space="preserve">7.3; 12</w:t>
            </w:r>
          </w:p>
        </w:tc>
      </w:tr>
    </w:tbl>
    <w:p>
      <w:pPr>
        <w:spacing w:after="120" w:before="0"/>
      </w:pPr>
    </w:p>
    <w:p>
      <w:pPr>
        <w:pStyle w:val="Heading2"/>
        <w:keepNext/>
      </w:pPr>
      <w:r>
        <w:t xml:space="preserve">3. Rules added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349"/>
        <w:gridCol w:w="5357"/>
        <w:gridCol w:w="1374"/>
      </w:tblGrid>
      <w:tr>
        <w:trPr>
          <w:cantSplit w:val="false"/>
          <w:tblHeader/>
        </w:trPr>
        <w:tc>
          <w:tcPr>
            <w:tcW w:type="dxa" w:w="3349"/>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tcPr>
          <w:p>
            <w:pPr>
              <w:spacing w:after="0" w:before="0"/>
            </w:pPr>
            <w:r>
              <w:rPr>
                <w:b/>
                <w:bCs/>
                <w:sz w:val="19"/>
                <w:szCs w:val="19"/>
              </w:rPr>
              <w:t xml:space="preserve">Rule</w:t>
            </w:r>
          </w:p>
        </w:tc>
        <w:tc>
          <w:tcPr>
            <w:tcW w:type="dxa" w:w="5357"/>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tcPr>
          <w:p>
            <w:pPr>
              <w:spacing w:after="0" w:before="0"/>
            </w:pPr>
            <w:r>
              <w:rPr>
                <w:b/>
                <w:bCs/>
                <w:sz w:val="19"/>
                <w:szCs w:val="19"/>
              </w:rPr>
              <w:t xml:space="preserve">Why</w:t>
            </w:r>
          </w:p>
        </w:tc>
        <w:tc>
          <w:tcPr>
            <w:tcW w:type="dxa" w:w="1374"/>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tcPr>
          <w:p>
            <w:pPr>
              <w:spacing w:after="0" w:before="0"/>
            </w:pPr>
            <w:r>
              <w:rPr>
                <w:b/>
                <w:bCs/>
                <w:sz w:val="19"/>
                <w:szCs w:val="19"/>
              </w:rPr>
              <w:t xml:space="preserve">Where</w:t>
            </w:r>
          </w:p>
        </w:tc>
      </w:tr>
      <w:tr>
        <w:trPr>
          <w:cantSplit w:val="false"/>
          <w:tblHeader w:val="false"/>
        </w:trPr>
        <w:tc>
          <w:tcPr>
            <w:tcW w:type="dxa" w:w="3349"/>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before="0"/>
            </w:pPr>
            <w:r>
              <w:rPr>
                <w:b w:val="false"/>
                <w:bCs w:val="false"/>
                <w:sz w:val="19"/>
                <w:szCs w:val="19"/>
              </w:rPr>
              <w:t xml:space="preserve">Task-based objective wording (job verb, object, condition; Bloom internal only)</w:t>
            </w:r>
          </w:p>
        </w:tc>
        <w:tc>
          <w:tcPr>
            <w:tcW w:type="dxa" w:w="5357"/>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before="0"/>
            </w:pPr>
            <w:r>
              <w:rPr>
                <w:b w:val="false"/>
                <w:bCs w:val="false"/>
                <w:sz w:val="19"/>
                <w:szCs w:val="19"/>
              </w:rPr>
              <w:t xml:space="preserve">Reviewer comment: objectives were Bloom-verb driven, not job tasks. v3.1 had no rule asking for a job-task formulation.</w:t>
            </w:r>
          </w:p>
        </w:tc>
        <w:tc>
          <w:tcPr>
            <w:tcW w:type="dxa" w:w="1374"/>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before="0"/>
            </w:pPr>
            <w:r>
              <w:rPr>
                <w:b w:val="false"/>
                <w:bCs w:val="false"/>
                <w:sz w:val="19"/>
                <w:szCs w:val="19"/>
              </w:rPr>
              <w:t xml:space="preserve">3.3; acceptance check 7</w:t>
            </w:r>
          </w:p>
        </w:tc>
      </w:tr>
      <w:tr>
        <w:trPr>
          <w:cantSplit w:val="false"/>
          <w:tblHeader w:val="false"/>
        </w:trPr>
        <w:tc>
          <w:tcPr>
            <w:tcW w:type="dxa" w:w="3349"/>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before="0"/>
            </w:pPr>
            <w:r>
              <w:rPr>
                <w:b w:val="false"/>
                <w:bCs w:val="false"/>
                <w:sz w:val="19"/>
                <w:szCs w:val="19"/>
              </w:rPr>
              <w:t xml:space="preserve">Heading hierarchy in Text Content</w:t>
            </w:r>
          </w:p>
        </w:tc>
        <w:tc>
          <w:tcPr>
            <w:tcW w:type="dxa" w:w="5357"/>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before="0"/>
            </w:pPr>
            <w:r>
              <w:rPr>
                <w:b w:val="false"/>
                <w:bCs w:val="false"/>
                <w:sz w:val="19"/>
                <w:szCs w:val="19"/>
              </w:rPr>
              <w:t xml:space="preserve">Reviewer comment: use proper heading levels so they show in the Navigation pane. v3.1 defined Heading 1 only and its templates contradicted it.</w:t>
            </w:r>
          </w:p>
        </w:tc>
        <w:tc>
          <w:tcPr>
            <w:tcW w:type="dxa" w:w="1374"/>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before="0"/>
            </w:pPr>
            <w:r>
              <w:rPr>
                <w:b w:val="false"/>
                <w:bCs w:val="false"/>
                <w:sz w:val="19"/>
                <w:szCs w:val="19"/>
              </w:rPr>
              <w:t xml:space="preserve">5.4; acceptance check 10</w:t>
            </w:r>
          </w:p>
        </w:tc>
      </w:tr>
      <w:tr>
        <w:trPr>
          <w:cantSplit w:val="false"/>
          <w:tblHeader w:val="false"/>
        </w:trPr>
        <w:tc>
          <w:tcPr>
            <w:tcW w:type="dxa" w:w="3349"/>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before="0"/>
            </w:pPr>
            <w:r>
              <w:rPr>
                <w:b w:val="false"/>
                <w:bCs w:val="false"/>
                <w:sz w:val="19"/>
                <w:szCs w:val="19"/>
              </w:rPr>
              <w:t xml:space="preserve">Cognitive-load limits (one idea per slide; about seven items or two panels of four; three new acronyms; split, do not compress)</w:t>
            </w:r>
          </w:p>
        </w:tc>
        <w:tc>
          <w:tcPr>
            <w:tcW w:type="dxa" w:w="5357"/>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before="0"/>
            </w:pPr>
            <w:r>
              <w:rPr>
                <w:b w:val="false"/>
                <w:bCs w:val="false"/>
                <w:sz w:val="19"/>
                <w:szCs w:val="19"/>
              </w:rPr>
              <w:t xml:space="preserve">Reviewer comments: "cognitive overload", "no one has a clue what this means". v3.1 stated the principle with no limit and no check.</w:t>
            </w:r>
          </w:p>
        </w:tc>
        <w:tc>
          <w:tcPr>
            <w:tcW w:type="dxa" w:w="1374"/>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before="0"/>
            </w:pPr>
            <w:r>
              <w:rPr>
                <w:b w:val="false"/>
                <w:bCs w:val="false"/>
                <w:sz w:val="19"/>
                <w:szCs w:val="19"/>
              </w:rPr>
              <w:t xml:space="preserve">5.3; acceptance check 12</w:t>
            </w:r>
          </w:p>
        </w:tc>
      </w:tr>
      <w:tr>
        <w:trPr>
          <w:cantSplit w:val="false"/>
          <w:tblHeader w:val="false"/>
        </w:trPr>
        <w:tc>
          <w:tcPr>
            <w:tcW w:type="dxa" w:w="3349"/>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before="0"/>
            </w:pPr>
            <w:r>
              <w:rPr>
                <w:b w:val="false"/>
                <w:bCs w:val="false"/>
                <w:sz w:val="19"/>
                <w:szCs w:val="19"/>
              </w:rPr>
              <w:t xml:space="preserve">Plain-language pass (role first, unit code second; reader outside the unit can say who does what)</w:t>
            </w:r>
          </w:p>
        </w:tc>
        <w:tc>
          <w:tcPr>
            <w:tcW w:type="dxa" w:w="5357"/>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before="0"/>
            </w:pPr>
            <w:r>
              <w:rPr>
                <w:b w:val="false"/>
                <w:bCs w:val="false"/>
                <w:sz w:val="19"/>
                <w:szCs w:val="19"/>
              </w:rPr>
              <w:t xml:space="preserve">Same comments.</w:t>
            </w:r>
          </w:p>
        </w:tc>
        <w:tc>
          <w:tcPr>
            <w:tcW w:type="dxa" w:w="1374"/>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before="0"/>
            </w:pPr>
            <w:r>
              <w:rPr>
                <w:b w:val="false"/>
                <w:bCs w:val="false"/>
                <w:sz w:val="19"/>
                <w:szCs w:val="19"/>
              </w:rPr>
              <w:t xml:space="preserve">5.3; acceptance check 12</w:t>
            </w:r>
          </w:p>
        </w:tc>
      </w:tr>
      <w:tr>
        <w:trPr>
          <w:cantSplit w:val="false"/>
          <w:tblHeader w:val="false"/>
        </w:trPr>
        <w:tc>
          <w:tcPr>
            <w:tcW w:type="dxa" w:w="3349"/>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before="0"/>
            </w:pPr>
            <w:r>
              <w:rPr>
                <w:b w:val="false"/>
                <w:bCs w:val="false"/>
                <w:sz w:val="19"/>
                <w:szCs w:val="19"/>
              </w:rPr>
              <w:t xml:space="preserve">Title accuracy</w:t>
            </w:r>
          </w:p>
        </w:tc>
        <w:tc>
          <w:tcPr>
            <w:tcW w:type="dxa" w:w="5357"/>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before="0"/>
            </w:pPr>
            <w:r>
              <w:rPr>
                <w:b w:val="false"/>
                <w:bCs w:val="false"/>
                <w:sz w:val="19"/>
                <w:szCs w:val="19"/>
              </w:rPr>
              <w:t xml:space="preserve">Reviewer comment: "The title is misleading". No v3.1 check.</w:t>
            </w:r>
          </w:p>
        </w:tc>
        <w:tc>
          <w:tcPr>
            <w:tcW w:type="dxa" w:w="1374"/>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before="0"/>
            </w:pPr>
            <w:r>
              <w:rPr>
                <w:b w:val="false"/>
                <w:bCs w:val="false"/>
                <w:sz w:val="19"/>
                <w:szCs w:val="19"/>
              </w:rPr>
              <w:t xml:space="preserve">5.4; 14.1; acceptance check 10</w:t>
            </w:r>
          </w:p>
        </w:tc>
      </w:tr>
      <w:tr>
        <w:trPr>
          <w:cantSplit w:val="false"/>
          <w:tblHeader w:val="false"/>
        </w:trPr>
        <w:tc>
          <w:tcPr>
            <w:tcW w:type="dxa" w:w="3349"/>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before="0"/>
            </w:pPr>
            <w:r>
              <w:rPr>
                <w:b w:val="false"/>
                <w:bCs w:val="false"/>
                <w:sz w:val="19"/>
                <w:szCs w:val="19"/>
              </w:rPr>
              <w:t xml:space="preserve">First-screen intake item</w:t>
            </w:r>
          </w:p>
        </w:tc>
        <w:tc>
          <w:tcPr>
            <w:tcW w:type="dxa" w:w="5357"/>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before="0"/>
            </w:pPr>
            <w:r>
              <w:rPr>
                <w:b w:val="false"/>
                <w:bCs w:val="false"/>
                <w:sz w:val="19"/>
                <w:szCs w:val="19"/>
              </w:rPr>
              <w:t xml:space="preserve">Reviewer comment: orientation content belongs on the splash page for this client.</w:t>
            </w:r>
          </w:p>
        </w:tc>
        <w:tc>
          <w:tcPr>
            <w:tcW w:type="dxa" w:w="1374"/>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before="0"/>
            </w:pPr>
            <w:r>
              <w:rPr>
                <w:b w:val="false"/>
                <w:bCs w:val="false"/>
                <w:sz w:val="19"/>
                <w:szCs w:val="19"/>
              </w:rPr>
              <w:t xml:space="preserve">1.4; 4.3</w:t>
            </w:r>
          </w:p>
        </w:tc>
      </w:tr>
      <w:tr>
        <w:trPr>
          <w:cantSplit w:val="false"/>
          <w:tblHeader w:val="false"/>
        </w:trPr>
        <w:tc>
          <w:tcPr>
            <w:tcW w:type="dxa" w:w="3349"/>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before="0"/>
            </w:pPr>
            <w:r>
              <w:rPr>
                <w:b w:val="false"/>
                <w:bCs w:val="false"/>
                <w:sz w:val="19"/>
                <w:szCs w:val="19"/>
              </w:rPr>
              <w:t xml:space="preserve">Acronym audit as a named step in Step 4</w:t>
            </w:r>
          </w:p>
        </w:tc>
        <w:tc>
          <w:tcPr>
            <w:tcW w:type="dxa" w:w="5357"/>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before="0"/>
            </w:pPr>
            <w:r>
              <w:rPr>
                <w:b w:val="false"/>
                <w:bCs w:val="false"/>
                <w:sz w:val="19"/>
                <w:szCs w:val="19"/>
              </w:rPr>
              <w:t xml:space="preserve">The rule existed four times in v3.1 and the sample still violated it; it is now a named pass with an acceptance line.</w:t>
            </w:r>
          </w:p>
        </w:tc>
        <w:tc>
          <w:tcPr>
            <w:tcW w:type="dxa" w:w="1374"/>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before="0"/>
            </w:pPr>
            <w:r>
              <w:rPr>
                <w:b w:val="false"/>
                <w:bCs w:val="false"/>
                <w:sz w:val="19"/>
                <w:szCs w:val="19"/>
              </w:rPr>
              <w:t xml:space="preserve">13.3 item 11; acceptance check 11</w:t>
            </w:r>
          </w:p>
        </w:tc>
      </w:tr>
    </w:tbl>
    <w:p>
      <w:pPr>
        <w:spacing w:after="120" w:before="0"/>
      </w:pPr>
    </w:p>
    <w:p>
      <w:pPr>
        <w:pStyle w:val="Heading2"/>
        <w:keepNext/>
      </w:pPr>
      <w:r>
        <w:t xml:space="preserve">4. Where every v3.1 section went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629"/>
        <w:gridCol w:w="4451"/>
      </w:tblGrid>
      <w:tr>
        <w:trPr>
          <w:cantSplit w:val="false"/>
          <w:tblHeader/>
        </w:trPr>
        <w:tc>
          <w:tcPr>
            <w:tcW w:type="dxa" w:w="5629"/>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tcPr>
          <w:p>
            <w:pPr>
              <w:spacing w:after="0" w:before="0"/>
            </w:pPr>
            <w:r>
              <w:rPr>
                <w:b/>
                <w:bCs/>
                <w:sz w:val="19"/>
                <w:szCs w:val="19"/>
              </w:rPr>
              <w:t xml:space="preserve">v3.1 section</w:t>
            </w:r>
          </w:p>
        </w:tc>
        <w:tc>
          <w:tcPr>
            <w:tcW w:type="dxa" w:w="4451"/>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tcPr>
          <w:p>
            <w:pPr>
              <w:spacing w:after="0" w:before="0"/>
            </w:pPr>
            <w:r>
              <w:rPr>
                <w:b/>
                <w:bCs/>
                <w:sz w:val="19"/>
                <w:szCs w:val="19"/>
              </w:rPr>
              <w:t xml:space="preserve">v3.2 location</w:t>
            </w:r>
          </w:p>
        </w:tc>
      </w:tr>
      <w:tr>
        <w:trPr>
          <w:cantSplit w:val="false"/>
          <w:tblHeader w:val="false"/>
        </w:trPr>
        <w:tc>
          <w:tcPr>
            <w:tcW w:type="dxa" w:w="5629"/>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before="0"/>
            </w:pPr>
            <w:r>
              <w:rPr>
                <w:b w:val="false"/>
                <w:bCs w:val="false"/>
                <w:sz w:val="19"/>
                <w:szCs w:val="19"/>
              </w:rPr>
              <w:t xml:space="preserve">Instruction for users table; "Copy everything in Section 6"</w:t>
            </w:r>
          </w:p>
        </w:tc>
        <w:tc>
          <w:tcPr>
            <w:tcW w:type="dxa" w:w="4451"/>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before="0"/>
            </w:pPr>
            <w:r>
              <w:rPr>
                <w:b w:val="false"/>
                <w:bCs w:val="false"/>
                <w:sz w:val="19"/>
                <w:szCs w:val="19"/>
              </w:rPr>
              <w:t xml:space="preserve">Instruction for users (not part of the prompt), with the correct copy range</w:t>
            </w:r>
          </w:p>
        </w:tc>
      </w:tr>
      <w:tr>
        <w:trPr>
          <w:cantSplit w:val="false"/>
          <w:tblHeader w:val="false"/>
        </w:trPr>
        <w:tc>
          <w:tcPr>
            <w:tcW w:type="dxa" w:w="5629"/>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before="0"/>
            </w:pPr>
            <w:r>
              <w:rPr>
                <w:b w:val="false"/>
                <w:bCs w:val="false"/>
                <w:sz w:val="19"/>
                <w:szCs w:val="19"/>
              </w:rPr>
              <w:t xml:space="preserve">Role and Task</w:t>
            </w:r>
          </w:p>
        </w:tc>
        <w:tc>
          <w:tcPr>
            <w:tcW w:type="dxa" w:w="4451"/>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before="0"/>
            </w:pPr>
            <w:r>
              <w:rPr>
                <w:b w:val="false"/>
                <w:bCs w:val="false"/>
                <w:sz w:val="19"/>
                <w:szCs w:val="19"/>
              </w:rPr>
              <w:t xml:space="preserve">Role and Task</w:t>
            </w:r>
          </w:p>
        </w:tc>
      </w:tr>
      <w:tr>
        <w:trPr>
          <w:cantSplit w:val="false"/>
          <w:tblHeader w:val="false"/>
        </w:trPr>
        <w:tc>
          <w:tcPr>
            <w:tcW w:type="dxa" w:w="5629"/>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before="0"/>
            </w:pPr>
            <w:r>
              <w:rPr>
                <w:b w:val="false"/>
                <w:bCs w:val="false"/>
                <w:sz w:val="19"/>
                <w:szCs w:val="19"/>
              </w:rPr>
              <w:t xml:space="preserve">Core Rules: Reviewer-Comment Integration Rules (11 general rules)</w:t>
            </w:r>
          </w:p>
        </w:tc>
        <w:tc>
          <w:tcPr>
            <w:tcW w:type="dxa" w:w="4451"/>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before="0"/>
            </w:pPr>
            <w:r>
              <w:rPr>
                <w:b w:val="false"/>
                <w:bCs w:val="false"/>
                <w:sz w:val="19"/>
                <w:szCs w:val="19"/>
              </w:rPr>
              <w:t xml:space="preserve">3.3 (objective hierarchy), 6 (narration placement), 5.4 (Text Content structure, coherent content), 10.1 (developer-ready multimedia), 7.2 (meaningful display components), 5.2 (acronyms), 9.2 (feedback language), 4.3 (Introduction, Summary, orientation)</w:t>
            </w:r>
          </w:p>
        </w:tc>
      </w:tr>
      <w:tr>
        <w:trPr>
          <w:cantSplit w:val="false"/>
          <w:tblHeader w:val="false"/>
        </w:trPr>
        <w:tc>
          <w:tcPr>
            <w:tcW w:type="dxa" w:w="5629"/>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before="0"/>
            </w:pPr>
            <w:r>
              <w:rPr>
                <w:b w:val="false"/>
                <w:bCs w:val="false"/>
                <w:sz w:val="19"/>
                <w:szCs w:val="19"/>
              </w:rPr>
              <w:t xml:space="preserve">Core Rules: 13 component gates</w:t>
            </w:r>
          </w:p>
        </w:tc>
        <w:tc>
          <w:tcPr>
            <w:tcW w:type="dxa" w:w="4451"/>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before="0"/>
            </w:pPr>
            <w:r>
              <w:rPr>
                <w:b w:val="false"/>
                <w:bCs w:val="false"/>
                <w:sz w:val="19"/>
                <w:szCs w:val="19"/>
              </w:rPr>
              <w:t xml:space="preserve">8.2 component table (Compound, Scenario-Decision, Sequence, Sorting, Matching, Multi-Select, Single-Select, Timeline, Accordion, Tabs, Flip Cards, Static)</w:t>
            </w:r>
          </w:p>
        </w:tc>
      </w:tr>
      <w:tr>
        <w:trPr>
          <w:cantSplit w:val="false"/>
          <w:tblHeader w:val="false"/>
        </w:trPr>
        <w:tc>
          <w:tcPr>
            <w:tcW w:type="dxa" w:w="5629"/>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before="0"/>
            </w:pPr>
            <w:r>
              <w:rPr>
                <w:b w:val="false"/>
                <w:bCs w:val="false"/>
                <w:sz w:val="19"/>
                <w:szCs w:val="19"/>
              </w:rPr>
              <w:t xml:space="preserve">Core Rules: Conditions 9 to 1</w:t>
            </w:r>
          </w:p>
        </w:tc>
        <w:tc>
          <w:tcPr>
            <w:tcW w:type="dxa" w:w="4451"/>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before="0"/>
            </w:pPr>
            <w:r>
              <w:rPr>
                <w:b w:val="false"/>
                <w:bCs w:val="false"/>
                <w:sz w:val="19"/>
                <w:szCs w:val="19"/>
              </w:rPr>
              <w:t xml:space="preserve">8.1, in order 1 to 9</w:t>
            </w:r>
          </w:p>
        </w:tc>
      </w:tr>
      <w:tr>
        <w:trPr>
          <w:cantSplit w:val="false"/>
          <w:tblHeader w:val="false"/>
        </w:trPr>
        <w:tc>
          <w:tcPr>
            <w:tcW w:type="dxa" w:w="5629"/>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before="0"/>
            </w:pPr>
            <w:r>
              <w:rPr>
                <w:b w:val="false"/>
                <w:bCs w:val="false"/>
                <w:sz w:val="19"/>
                <w:szCs w:val="19"/>
              </w:rPr>
              <w:t xml:space="preserve">Core Rules: Learning Activity Selection Gate (source and output rules)</w:t>
            </w:r>
          </w:p>
        </w:tc>
        <w:tc>
          <w:tcPr>
            <w:tcW w:type="dxa" w:w="4451"/>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before="0"/>
            </w:pPr>
            <w:r>
              <w:rPr>
                <w:b w:val="false"/>
                <w:bCs w:val="false"/>
                <w:sz w:val="19"/>
                <w:szCs w:val="19"/>
              </w:rPr>
              <w:t xml:space="preserve">1.1 (direct generation), 2.1 (sources, no invention, hierarchy, backward design), 2.3 (scenario realism), 3.5 (Step 2 internal), 1.3 and 5.5 (unresolved items, column separation), 4.4 (coverage map), 7.2 (meaningful action), 14.2 (QA before output)</w:t>
            </w:r>
          </w:p>
        </w:tc>
      </w:tr>
      <w:tr>
        <w:trPr>
          <w:cantSplit w:val="false"/>
          <w:tblHeader w:val="false"/>
        </w:trPr>
        <w:tc>
          <w:tcPr>
            <w:tcW w:type="dxa" w:w="5629"/>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before="0"/>
            </w:pPr>
            <w:r>
              <w:rPr>
                <w:b w:val="false"/>
                <w:bCs w:val="false"/>
                <w:sz w:val="19"/>
                <w:szCs w:val="19"/>
              </w:rPr>
              <w:t xml:space="preserve">Step 0; Reviewer Comment Resolution Workflow; Client SME Scenario Harvesting</w:t>
            </w:r>
          </w:p>
        </w:tc>
        <w:tc>
          <w:tcPr>
            <w:tcW w:type="dxa" w:w="4451"/>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before="0"/>
            </w:pPr>
            <w:r>
              <w:rPr>
                <w:b w:val="false"/>
                <w:bCs w:val="false"/>
                <w:sz w:val="19"/>
                <w:szCs w:val="19"/>
              </w:rPr>
              <w:t xml:space="preserve">2.1, 2.4, 2.6</w:t>
            </w:r>
          </w:p>
        </w:tc>
      </w:tr>
      <w:tr>
        <w:trPr>
          <w:cantSplit w:val="false"/>
          <w:tblHeader w:val="false"/>
        </w:trPr>
        <w:tc>
          <w:tcPr>
            <w:tcW w:type="dxa" w:w="5629"/>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before="0"/>
            </w:pPr>
            <w:r>
              <w:rPr>
                <w:b w:val="false"/>
                <w:bCs w:val="false"/>
                <w:sz w:val="19"/>
                <w:szCs w:val="19"/>
              </w:rPr>
              <w:t xml:space="preserve">Step 1 (source authority rules, workflow, required outputs)</w:t>
            </w:r>
          </w:p>
        </w:tc>
        <w:tc>
          <w:tcPr>
            <w:tcW w:type="dxa" w:w="4451"/>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before="0"/>
            </w:pPr>
            <w:r>
              <w:rPr>
                <w:b w:val="false"/>
                <w:bCs w:val="false"/>
                <w:sz w:val="19"/>
                <w:szCs w:val="19"/>
              </w:rPr>
              <w:t xml:space="preserve">3.1, 3.2</w:t>
            </w:r>
          </w:p>
        </w:tc>
      </w:tr>
      <w:tr>
        <w:trPr>
          <w:cantSplit w:val="false"/>
          <w:tblHeader w:val="false"/>
        </w:trPr>
        <w:tc>
          <w:tcPr>
            <w:tcW w:type="dxa" w:w="5629"/>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before="0"/>
            </w:pPr>
            <w:r>
              <w:rPr>
                <w:b w:val="false"/>
                <w:bCs w:val="false"/>
                <w:sz w:val="19"/>
                <w:szCs w:val="19"/>
              </w:rPr>
              <w:t xml:space="preserve">Step 2 Verification Gate</w:t>
            </w:r>
          </w:p>
        </w:tc>
        <w:tc>
          <w:tcPr>
            <w:tcW w:type="dxa" w:w="4451"/>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before="0"/>
            </w:pPr>
            <w:r>
              <w:rPr>
                <w:b w:val="false"/>
                <w:bCs w:val="false"/>
                <w:sz w:val="19"/>
                <w:szCs w:val="19"/>
              </w:rPr>
              <w:t xml:space="preserve">3.5</w:t>
            </w:r>
          </w:p>
        </w:tc>
      </w:tr>
      <w:tr>
        <w:trPr>
          <w:cantSplit w:val="false"/>
          <w:tblHeader w:val="false"/>
        </w:trPr>
        <w:tc>
          <w:tcPr>
            <w:tcW w:type="dxa" w:w="5629"/>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before="0"/>
            </w:pPr>
            <w:r>
              <w:rPr>
                <w:b w:val="false"/>
                <w:bCs w:val="false"/>
                <w:sz w:val="19"/>
                <w:szCs w:val="19"/>
              </w:rPr>
              <w:t xml:space="preserve">Step 3 wrapper ("generate the adapted project prompt")</w:t>
            </w:r>
          </w:p>
        </w:tc>
        <w:tc>
          <w:tcPr>
            <w:tcW w:type="dxa" w:w="4451"/>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before="0"/>
            </w:pPr>
            <w:r>
              <w:rPr>
                <w:b w:val="false"/>
                <w:bCs w:val="false"/>
                <w:sz w:val="19"/>
                <w:szCs w:val="19"/>
              </w:rPr>
              <w:t xml:space="preserve">Removed; sections A to S are presented directly as rules</w:t>
            </w:r>
          </w:p>
        </w:tc>
      </w:tr>
      <w:tr>
        <w:trPr>
          <w:cantSplit w:val="false"/>
          <w:tblHeader w:val="false"/>
        </w:trPr>
        <w:tc>
          <w:tcPr>
            <w:tcW w:type="dxa" w:w="5629"/>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before="0"/>
            </w:pPr>
            <w:r>
              <w:rPr>
                <w:b w:val="false"/>
                <w:bCs w:val="false"/>
                <w:sz w:val="19"/>
                <w:szCs w:val="19"/>
              </w:rPr>
              <w:t xml:space="preserve">A Control Block</w:t>
            </w:r>
          </w:p>
        </w:tc>
        <w:tc>
          <w:tcPr>
            <w:tcW w:type="dxa" w:w="4451"/>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before="0"/>
            </w:pPr>
            <w:r>
              <w:rPr>
                <w:b w:val="false"/>
                <w:bCs w:val="false"/>
                <w:sz w:val="19"/>
                <w:szCs w:val="19"/>
              </w:rPr>
              <w:t xml:space="preserve">1.4, 13.1</w:t>
            </w:r>
          </w:p>
        </w:tc>
      </w:tr>
      <w:tr>
        <w:trPr>
          <w:cantSplit w:val="false"/>
          <w:tblHeader w:val="false"/>
        </w:trPr>
        <w:tc>
          <w:tcPr>
            <w:tcW w:type="dxa" w:w="5629"/>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before="0"/>
            </w:pPr>
            <w:r>
              <w:rPr>
                <w:b w:val="false"/>
                <w:bCs w:val="false"/>
                <w:sz w:val="19"/>
                <w:szCs w:val="19"/>
              </w:rPr>
              <w:t xml:space="preserve">B Single Source of Truth Stack</w:t>
            </w:r>
          </w:p>
        </w:tc>
        <w:tc>
          <w:tcPr>
            <w:tcW w:type="dxa" w:w="4451"/>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before="0"/>
            </w:pPr>
            <w:r>
              <w:rPr>
                <w:b w:val="false"/>
                <w:bCs w:val="false"/>
                <w:sz w:val="19"/>
                <w:szCs w:val="19"/>
              </w:rPr>
              <w:t xml:space="preserve">2.2 (merged with Layer 2 section 5)</w:t>
            </w:r>
          </w:p>
        </w:tc>
      </w:tr>
      <w:tr>
        <w:trPr>
          <w:cantSplit w:val="false"/>
          <w:tblHeader w:val="false"/>
        </w:trPr>
        <w:tc>
          <w:tcPr>
            <w:tcW w:type="dxa" w:w="5629"/>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before="0"/>
            </w:pPr>
            <w:r>
              <w:rPr>
                <w:b w:val="false"/>
                <w:bCs w:val="false"/>
                <w:sz w:val="19"/>
                <w:szCs w:val="19"/>
              </w:rPr>
              <w:t xml:space="preserve">C Craft Header</w:t>
            </w:r>
          </w:p>
        </w:tc>
        <w:tc>
          <w:tcPr>
            <w:tcW w:type="dxa" w:w="4451"/>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before="0"/>
            </w:pPr>
            <w:r>
              <w:rPr>
                <w:b w:val="false"/>
                <w:bCs w:val="false"/>
                <w:sz w:val="19"/>
                <w:szCs w:val="19"/>
              </w:rPr>
              <w:t xml:space="preserve">1.4 (project frame)</w:t>
            </w:r>
          </w:p>
        </w:tc>
      </w:tr>
      <w:tr>
        <w:trPr>
          <w:cantSplit w:val="false"/>
          <w:tblHeader w:val="false"/>
        </w:trPr>
        <w:tc>
          <w:tcPr>
            <w:tcW w:type="dxa" w:w="5629"/>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before="0"/>
            </w:pPr>
            <w:r>
              <w:rPr>
                <w:b w:val="false"/>
                <w:bCs w:val="false"/>
                <w:sz w:val="19"/>
                <w:szCs w:val="19"/>
              </w:rPr>
              <w:t xml:space="preserve">D Governance Compliance and Source Control</w:t>
            </w:r>
          </w:p>
        </w:tc>
        <w:tc>
          <w:tcPr>
            <w:tcW w:type="dxa" w:w="4451"/>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before="0"/>
            </w:pPr>
            <w:r>
              <w:rPr>
                <w:b w:val="false"/>
                <w:bCs w:val="false"/>
                <w:sz w:val="19"/>
                <w:szCs w:val="19"/>
              </w:rPr>
              <w:t xml:space="preserve">2.3</w:t>
            </w:r>
          </w:p>
        </w:tc>
      </w:tr>
      <w:tr>
        <w:trPr>
          <w:cantSplit w:val="false"/>
          <w:tblHeader w:val="false"/>
        </w:trPr>
        <w:tc>
          <w:tcPr>
            <w:tcW w:type="dxa" w:w="5629"/>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before="0"/>
            </w:pPr>
            <w:r>
              <w:rPr>
                <w:b w:val="false"/>
                <w:bCs w:val="false"/>
                <w:sz w:val="19"/>
                <w:szCs w:val="19"/>
              </w:rPr>
              <w:t xml:space="preserve">E Instructional Design Architecture and Objective Integrity</w:t>
            </w:r>
          </w:p>
        </w:tc>
        <w:tc>
          <w:tcPr>
            <w:tcW w:type="dxa" w:w="4451"/>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before="0"/>
            </w:pPr>
            <w:r>
              <w:rPr>
                <w:b w:val="false"/>
                <w:bCs w:val="false"/>
                <w:sz w:val="19"/>
                <w:szCs w:val="19"/>
              </w:rPr>
              <w:t xml:space="preserve">4.1, 4.2, 4.4</w:t>
            </w:r>
          </w:p>
        </w:tc>
      </w:tr>
      <w:tr>
        <w:trPr>
          <w:cantSplit w:val="false"/>
          <w:tblHeader w:val="false"/>
        </w:trPr>
        <w:tc>
          <w:tcPr>
            <w:tcW w:type="dxa" w:w="5629"/>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before="0"/>
            </w:pPr>
            <w:r>
              <w:rPr>
                <w:b w:val="false"/>
                <w:bCs w:val="false"/>
                <w:sz w:val="19"/>
                <w:szCs w:val="19"/>
              </w:rPr>
              <w:t xml:space="preserve">Objective Coverage Map; Slide-Level Objective Discipline; Substantial Learning Content; Slide-Level Source Fidelity Gate</w:t>
            </w:r>
          </w:p>
        </w:tc>
        <w:tc>
          <w:tcPr>
            <w:tcW w:type="dxa" w:w="4451"/>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before="0"/>
            </w:pPr>
            <w:r>
              <w:rPr>
                <w:b w:val="false"/>
                <w:bCs w:val="false"/>
                <w:sz w:val="19"/>
                <w:szCs w:val="19"/>
              </w:rPr>
              <w:t xml:space="preserve">4.4</w:t>
            </w:r>
          </w:p>
        </w:tc>
      </w:tr>
      <w:tr>
        <w:trPr>
          <w:cantSplit w:val="false"/>
          <w:tblHeader w:val="false"/>
        </w:trPr>
        <w:tc>
          <w:tcPr>
            <w:tcW w:type="dxa" w:w="5629"/>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before="0"/>
            </w:pPr>
            <w:r>
              <w:rPr>
                <w:b w:val="false"/>
                <w:bCs w:val="false"/>
                <w:sz w:val="19"/>
                <w:szCs w:val="19"/>
              </w:rPr>
              <w:t xml:space="preserve">Content-First Slide Design Sequence</w:t>
            </w:r>
          </w:p>
        </w:tc>
        <w:tc>
          <w:tcPr>
            <w:tcW w:type="dxa" w:w="4451"/>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before="0"/>
            </w:pPr>
            <w:r>
              <w:rPr>
                <w:b w:val="false"/>
                <w:bCs w:val="false"/>
                <w:sz w:val="19"/>
                <w:szCs w:val="19"/>
              </w:rPr>
              <w:t xml:space="preserve">7.1 (merged with Layer 2 section 6)</w:t>
            </w:r>
          </w:p>
        </w:tc>
      </w:tr>
      <w:tr>
        <w:trPr>
          <w:cantSplit w:val="false"/>
          <w:tblHeader w:val="false"/>
        </w:trPr>
        <w:tc>
          <w:tcPr>
            <w:tcW w:type="dxa" w:w="5629"/>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before="0"/>
            </w:pPr>
            <w:r>
              <w:rPr>
                <w:b w:val="false"/>
                <w:bCs w:val="false"/>
                <w:sz w:val="19"/>
                <w:szCs w:val="19"/>
              </w:rPr>
              <w:t xml:space="preserve">F Content Quality, Language, and Cognitive Load; Narration depth requirement</w:t>
            </w:r>
          </w:p>
        </w:tc>
        <w:tc>
          <w:tcPr>
            <w:tcW w:type="dxa" w:w="4451"/>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before="0"/>
            </w:pPr>
            <w:r>
              <w:rPr>
                <w:b w:val="false"/>
                <w:bCs w:val="false"/>
                <w:sz w:val="19"/>
                <w:szCs w:val="19"/>
              </w:rPr>
              <w:t xml:space="preserve">5.1, 5.2, 5.3; 6</w:t>
            </w:r>
          </w:p>
        </w:tc>
      </w:tr>
      <w:tr>
        <w:trPr>
          <w:cantSplit w:val="false"/>
          <w:tblHeader w:val="false"/>
        </w:trPr>
        <w:tc>
          <w:tcPr>
            <w:tcW w:type="dxa" w:w="5629"/>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before="0"/>
            </w:pPr>
            <w:r>
              <w:rPr>
                <w:b w:val="false"/>
                <w:bCs w:val="false"/>
                <w:sz w:val="19"/>
                <w:szCs w:val="19"/>
              </w:rPr>
              <w:t xml:space="preserve">G Narration rules; Expanded Instructional Narration Standard</w:t>
            </w:r>
          </w:p>
        </w:tc>
        <w:tc>
          <w:tcPr>
            <w:tcW w:type="dxa" w:w="4451"/>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before="0"/>
            </w:pPr>
            <w:r>
              <w:rPr>
                <w:b w:val="false"/>
                <w:bCs w:val="false"/>
                <w:sz w:val="19"/>
                <w:szCs w:val="19"/>
              </w:rPr>
              <w:t xml:space="preserve">6</w:t>
            </w:r>
          </w:p>
        </w:tc>
      </w:tr>
      <w:tr>
        <w:trPr>
          <w:cantSplit w:val="false"/>
          <w:tblHeader w:val="false"/>
        </w:trPr>
        <w:tc>
          <w:tcPr>
            <w:tcW w:type="dxa" w:w="5629"/>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before="0"/>
            </w:pPr>
            <w:r>
              <w:rPr>
                <w:b w:val="false"/>
                <w:bCs w:val="false"/>
                <w:sz w:val="19"/>
                <w:szCs w:val="19"/>
              </w:rPr>
              <w:t xml:space="preserve">H UX, Accessibility, and Technical Production</w:t>
            </w:r>
          </w:p>
        </w:tc>
        <w:tc>
          <w:tcPr>
            <w:tcW w:type="dxa" w:w="4451"/>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before="0"/>
            </w:pPr>
            <w:r>
              <w:rPr>
                <w:b w:val="false"/>
                <w:bCs w:val="false"/>
                <w:sz w:val="19"/>
                <w:szCs w:val="19"/>
              </w:rPr>
              <w:t xml:space="preserve">11.1, 11.2</w:t>
            </w:r>
          </w:p>
        </w:tc>
      </w:tr>
      <w:tr>
        <w:trPr>
          <w:cantSplit w:val="false"/>
          <w:tblHeader w:val="false"/>
        </w:trPr>
        <w:tc>
          <w:tcPr>
            <w:tcW w:type="dxa" w:w="5629"/>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before="0"/>
            </w:pPr>
            <w:r>
              <w:rPr>
                <w:b w:val="false"/>
                <w:bCs w:val="false"/>
                <w:sz w:val="19"/>
                <w:szCs w:val="19"/>
              </w:rPr>
              <w:t xml:space="preserve">I On-Screen Layout Labeling Rule</w:t>
            </w:r>
          </w:p>
        </w:tc>
        <w:tc>
          <w:tcPr>
            <w:tcW w:type="dxa" w:w="4451"/>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before="0"/>
            </w:pPr>
            <w:r>
              <w:rPr>
                <w:b w:val="false"/>
                <w:bCs w:val="false"/>
                <w:sz w:val="19"/>
                <w:szCs w:val="19"/>
              </w:rPr>
              <w:t xml:space="preserve">5.4 (replaced by the heading hierarchy; label lists retained)</w:t>
            </w:r>
          </w:p>
        </w:tc>
      </w:tr>
      <w:tr>
        <w:trPr>
          <w:cantSplit w:val="false"/>
          <w:tblHeader w:val="false"/>
        </w:trPr>
        <w:tc>
          <w:tcPr>
            <w:tcW w:type="dxa" w:w="5629"/>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before="0"/>
            </w:pPr>
            <w:r>
              <w:rPr>
                <w:b w:val="false"/>
                <w:bCs w:val="false"/>
                <w:sz w:val="19"/>
                <w:szCs w:val="19"/>
              </w:rPr>
              <w:t xml:space="preserve">J Project Title, Style, and General Developer Notes</w:t>
            </w:r>
          </w:p>
        </w:tc>
        <w:tc>
          <w:tcPr>
            <w:tcW w:type="dxa" w:w="4451"/>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before="0"/>
            </w:pPr>
            <w:r>
              <w:rPr>
                <w:b w:val="false"/>
                <w:bCs w:val="false"/>
                <w:sz w:val="19"/>
                <w:szCs w:val="19"/>
              </w:rPr>
              <w:t xml:space="preserve">13.1</w:t>
            </w:r>
          </w:p>
        </w:tc>
      </w:tr>
      <w:tr>
        <w:trPr>
          <w:cantSplit w:val="false"/>
          <w:tblHeader w:val="false"/>
        </w:trPr>
        <w:tc>
          <w:tcPr>
            <w:tcW w:type="dxa" w:w="5629"/>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before="0"/>
            </w:pPr>
            <w:r>
              <w:rPr>
                <w:b w:val="false"/>
                <w:bCs w:val="false"/>
                <w:sz w:val="19"/>
                <w:szCs w:val="19"/>
              </w:rPr>
              <w:t xml:space="preserve">J Storyboard Structure and Word Table Enforcement</w:t>
            </w:r>
          </w:p>
        </w:tc>
        <w:tc>
          <w:tcPr>
            <w:tcW w:type="dxa" w:w="4451"/>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before="0"/>
            </w:pPr>
            <w:r>
              <w:rPr>
                <w:b w:val="false"/>
                <w:bCs w:val="false"/>
                <w:sz w:val="19"/>
                <w:szCs w:val="19"/>
              </w:rPr>
              <w:t xml:space="preserve">13.2</w:t>
            </w:r>
          </w:p>
        </w:tc>
      </w:tr>
      <w:tr>
        <w:trPr>
          <w:cantSplit w:val="false"/>
          <w:tblHeader w:val="false"/>
        </w:trPr>
        <w:tc>
          <w:tcPr>
            <w:tcW w:type="dxa" w:w="5629"/>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before="0"/>
            </w:pPr>
            <w:r>
              <w:rPr>
                <w:b w:val="false"/>
                <w:bCs w:val="false"/>
                <w:sz w:val="19"/>
                <w:szCs w:val="19"/>
              </w:rPr>
              <w:t xml:space="preserve">K Multimedia Column Standard; Icon Source Verification</w:t>
            </w:r>
          </w:p>
        </w:tc>
        <w:tc>
          <w:tcPr>
            <w:tcW w:type="dxa" w:w="4451"/>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before="0"/>
            </w:pPr>
            <w:r>
              <w:rPr>
                <w:b w:val="false"/>
                <w:bCs w:val="false"/>
                <w:sz w:val="19"/>
                <w:szCs w:val="19"/>
              </w:rPr>
              <w:t xml:space="preserve">10.1, 10.2</w:t>
            </w:r>
          </w:p>
        </w:tc>
      </w:tr>
      <w:tr>
        <w:trPr>
          <w:cantSplit w:val="false"/>
          <w:tblHeader w:val="false"/>
        </w:trPr>
        <w:tc>
          <w:tcPr>
            <w:tcW w:type="dxa" w:w="5629"/>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before="0"/>
            </w:pPr>
            <w:r>
              <w:rPr>
                <w:b w:val="false"/>
                <w:bCs w:val="false"/>
                <w:sz w:val="19"/>
                <w:szCs w:val="19"/>
              </w:rPr>
              <w:t xml:space="preserve">L Interaction Architecture, Scenario-Rich Design, and Distribution</w:t>
            </w:r>
          </w:p>
        </w:tc>
        <w:tc>
          <w:tcPr>
            <w:tcW w:type="dxa" w:w="4451"/>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before="0"/>
            </w:pPr>
            <w:r>
              <w:rPr>
                <w:b w:val="false"/>
                <w:bCs w:val="false"/>
                <w:sz w:val="19"/>
                <w:szCs w:val="19"/>
              </w:rPr>
              <w:t xml:space="preserve">7.2, 7.3, 7.5, 4.2 (proportionate planning)</w:t>
            </w:r>
          </w:p>
        </w:tc>
      </w:tr>
      <w:tr>
        <w:trPr>
          <w:cantSplit w:val="false"/>
          <w:tblHeader w:val="false"/>
        </w:trPr>
        <w:tc>
          <w:tcPr>
            <w:tcW w:type="dxa" w:w="5629"/>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before="0"/>
            </w:pPr>
            <w:r>
              <w:rPr>
                <w:b w:val="false"/>
                <w:bCs w:val="false"/>
                <w:sz w:val="19"/>
                <w:szCs w:val="19"/>
              </w:rPr>
              <w:t xml:space="preserve">M Interaction Column Build-Ready Pattern</w:t>
            </w:r>
          </w:p>
        </w:tc>
        <w:tc>
          <w:tcPr>
            <w:tcW w:type="dxa" w:w="4451"/>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before="0"/>
            </w:pPr>
            <w:r>
              <w:rPr>
                <w:b w:val="false"/>
                <w:bCs w:val="false"/>
                <w:sz w:val="19"/>
                <w:szCs w:val="19"/>
              </w:rPr>
              <w:t xml:space="preserve">7.4, 9.4</w:t>
            </w:r>
          </w:p>
        </w:tc>
      </w:tr>
      <w:tr>
        <w:trPr>
          <w:cantSplit w:val="false"/>
          <w:tblHeader w:val="false"/>
        </w:trPr>
        <w:tc>
          <w:tcPr>
            <w:tcW w:type="dxa" w:w="5629"/>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before="0"/>
            </w:pPr>
            <w:r>
              <w:rPr>
                <w:b w:val="false"/>
                <w:bCs w:val="false"/>
                <w:sz w:val="19"/>
                <w:szCs w:val="19"/>
              </w:rPr>
              <w:t xml:space="preserve">N Learner-Facing Interaction Text</w:t>
            </w:r>
          </w:p>
        </w:tc>
        <w:tc>
          <w:tcPr>
            <w:tcW w:type="dxa" w:w="4451"/>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before="0"/>
            </w:pPr>
            <w:r>
              <w:rPr>
                <w:b w:val="false"/>
                <w:bCs w:val="false"/>
                <w:sz w:val="19"/>
                <w:szCs w:val="19"/>
              </w:rPr>
              <w:t xml:space="preserve">5.1, 7.4</w:t>
            </w:r>
          </w:p>
        </w:tc>
      </w:tr>
      <w:tr>
        <w:trPr>
          <w:cantSplit w:val="false"/>
          <w:tblHeader w:val="false"/>
        </w:trPr>
        <w:tc>
          <w:tcPr>
            <w:tcW w:type="dxa" w:w="5629"/>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before="0"/>
            </w:pPr>
            <w:r>
              <w:rPr>
                <w:b w:val="false"/>
                <w:bCs w:val="false"/>
                <w:sz w:val="19"/>
                <w:szCs w:val="19"/>
              </w:rPr>
              <w:t xml:space="preserve">O Assessment Quality, MCQ Randomization, and Feedback</w:t>
            </w:r>
          </w:p>
        </w:tc>
        <w:tc>
          <w:tcPr>
            <w:tcW w:type="dxa" w:w="4451"/>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before="0"/>
            </w:pPr>
            <w:r>
              <w:rPr>
                <w:b w:val="false"/>
                <w:bCs w:val="false"/>
                <w:sz w:val="19"/>
                <w:szCs w:val="19"/>
              </w:rPr>
              <w:t xml:space="preserve">9.2, 9.3, 9.4</w:t>
            </w:r>
          </w:p>
        </w:tc>
      </w:tr>
      <w:tr>
        <w:trPr>
          <w:cantSplit w:val="false"/>
          <w:tblHeader w:val="false"/>
        </w:trPr>
        <w:tc>
          <w:tcPr>
            <w:tcW w:type="dxa" w:w="5629"/>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before="0"/>
            </w:pPr>
            <w:r>
              <w:rPr>
                <w:b w:val="false"/>
                <w:bCs w:val="false"/>
                <w:sz w:val="19"/>
                <w:szCs w:val="19"/>
              </w:rPr>
              <w:t xml:space="preserve">P Multi-State Interaction Rule</w:t>
            </w:r>
          </w:p>
        </w:tc>
        <w:tc>
          <w:tcPr>
            <w:tcW w:type="dxa" w:w="4451"/>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before="0"/>
            </w:pPr>
            <w:r>
              <w:rPr>
                <w:b w:val="false"/>
                <w:bCs w:val="false"/>
                <w:sz w:val="19"/>
                <w:szCs w:val="19"/>
              </w:rPr>
              <w:t xml:space="preserve">7.4</w:t>
            </w:r>
          </w:p>
        </w:tc>
      </w:tr>
      <w:tr>
        <w:trPr>
          <w:cantSplit w:val="false"/>
          <w:tblHeader w:val="false"/>
        </w:trPr>
        <w:tc>
          <w:tcPr>
            <w:tcW w:type="dxa" w:w="5629"/>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before="0"/>
            </w:pPr>
            <w:r>
              <w:rPr>
                <w:b w:val="false"/>
                <w:bCs w:val="false"/>
                <w:sz w:val="19"/>
                <w:szCs w:val="19"/>
              </w:rPr>
              <w:t xml:space="preserve">Q Internal Design and Source-Control Notes</w:t>
            </w:r>
          </w:p>
        </w:tc>
        <w:tc>
          <w:tcPr>
            <w:tcW w:type="dxa" w:w="4451"/>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before="0"/>
            </w:pPr>
            <w:r>
              <w:rPr>
                <w:b w:val="false"/>
                <w:bCs w:val="false"/>
                <w:sz w:val="19"/>
                <w:szCs w:val="19"/>
              </w:rPr>
              <w:t xml:space="preserve">2.3, 2.4, 5.5</w:t>
            </w:r>
          </w:p>
        </w:tc>
      </w:tr>
      <w:tr>
        <w:trPr>
          <w:cantSplit w:val="false"/>
          <w:tblHeader w:val="false"/>
        </w:trPr>
        <w:tc>
          <w:tcPr>
            <w:tcW w:type="dxa" w:w="5629"/>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before="0"/>
            </w:pPr>
            <w:r>
              <w:rPr>
                <w:b w:val="false"/>
                <w:bCs w:val="false"/>
                <w:sz w:val="19"/>
                <w:szCs w:val="19"/>
              </w:rPr>
              <w:t xml:space="preserve">R Learner-Facing Column Contamination Rule</w:t>
            </w:r>
          </w:p>
        </w:tc>
        <w:tc>
          <w:tcPr>
            <w:tcW w:type="dxa" w:w="4451"/>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before="0"/>
            </w:pPr>
            <w:r>
              <w:rPr>
                <w:b w:val="false"/>
                <w:bCs w:val="false"/>
                <w:sz w:val="19"/>
                <w:szCs w:val="19"/>
              </w:rPr>
              <w:t xml:space="preserve">5.5</w:t>
            </w:r>
          </w:p>
        </w:tc>
      </w:tr>
      <w:tr>
        <w:trPr>
          <w:cantSplit w:val="false"/>
          <w:tblHeader w:val="false"/>
        </w:trPr>
        <w:tc>
          <w:tcPr>
            <w:tcW w:type="dxa" w:w="5629"/>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before="0"/>
            </w:pPr>
            <w:r>
              <w:rPr>
                <w:b w:val="false"/>
                <w:bCs w:val="false"/>
                <w:sz w:val="19"/>
                <w:szCs w:val="19"/>
              </w:rPr>
              <w:t xml:space="preserve">S Outputs; Part 1; Part 2; Final Output Sequence Lock</w:t>
            </w:r>
          </w:p>
        </w:tc>
        <w:tc>
          <w:tcPr>
            <w:tcW w:type="dxa" w:w="4451"/>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before="0"/>
            </w:pPr>
            <w:r>
              <w:rPr>
                <w:b w:val="false"/>
                <w:bCs w:val="false"/>
                <w:sz w:val="19"/>
                <w:szCs w:val="19"/>
              </w:rPr>
              <w:t xml:space="preserve">1.2, 3.4, 13.1, 13.2</w:t>
            </w:r>
          </w:p>
        </w:tc>
      </w:tr>
      <w:tr>
        <w:trPr>
          <w:cantSplit w:val="false"/>
          <w:tblHeader w:val="false"/>
        </w:trPr>
        <w:tc>
          <w:tcPr>
            <w:tcW w:type="dxa" w:w="5629"/>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before="0"/>
            </w:pPr>
            <w:r>
              <w:rPr>
                <w:b w:val="false"/>
                <w:bCs w:val="false"/>
                <w:sz w:val="19"/>
                <w:szCs w:val="19"/>
              </w:rPr>
              <w:t xml:space="preserve">Step 4 (14 items)</w:t>
            </w:r>
          </w:p>
        </w:tc>
        <w:tc>
          <w:tcPr>
            <w:tcW w:type="dxa" w:w="4451"/>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before="0"/>
            </w:pPr>
            <w:r>
              <w:rPr>
                <w:b w:val="false"/>
                <w:bCs w:val="false"/>
                <w:sz w:val="19"/>
                <w:szCs w:val="19"/>
              </w:rPr>
              <w:t xml:space="preserve">13.3 (merged with Layer 2 section 28)</w:t>
            </w:r>
          </w:p>
        </w:tc>
      </w:tr>
      <w:tr>
        <w:trPr>
          <w:cantSplit w:val="false"/>
          <w:tblHeader w:val="false"/>
        </w:trPr>
        <w:tc>
          <w:tcPr>
            <w:tcW w:type="dxa" w:w="5629"/>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before="0"/>
            </w:pPr>
            <w:r>
              <w:rPr>
                <w:b w:val="false"/>
                <w:bCs w:val="false"/>
                <w:sz w:val="19"/>
                <w:szCs w:val="19"/>
              </w:rPr>
              <w:t xml:space="preserve">Slide-Level Coherence and Handoff QA Gate</w:t>
            </w:r>
          </w:p>
        </w:tc>
        <w:tc>
          <w:tcPr>
            <w:tcW w:type="dxa" w:w="4451"/>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before="0"/>
            </w:pPr>
            <w:r>
              <w:rPr>
                <w:b w:val="false"/>
                <w:bCs w:val="false"/>
                <w:sz w:val="19"/>
                <w:szCs w:val="19"/>
              </w:rPr>
              <w:t xml:space="preserve">14.1 (merged with Layer 2 section 24)</w:t>
            </w:r>
          </w:p>
        </w:tc>
      </w:tr>
      <w:tr>
        <w:trPr>
          <w:cantSplit w:val="false"/>
          <w:tblHeader w:val="false"/>
        </w:trPr>
        <w:tc>
          <w:tcPr>
            <w:tcW w:type="dxa" w:w="5629"/>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before="0"/>
            </w:pPr>
            <w:r>
              <w:rPr>
                <w:b w:val="false"/>
                <w:bCs w:val="false"/>
                <w:sz w:val="19"/>
                <w:szCs w:val="19"/>
              </w:rPr>
              <w:t xml:space="preserve">Acceptance Checks – Fail Fast (65 bullets)</w:t>
            </w:r>
          </w:p>
        </w:tc>
        <w:tc>
          <w:tcPr>
            <w:tcW w:type="dxa" w:w="4451"/>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before="0"/>
            </w:pPr>
            <w:r>
              <w:rPr>
                <w:b w:val="false"/>
                <w:bCs w:val="false"/>
                <w:sz w:val="19"/>
                <w:szCs w:val="19"/>
              </w:rPr>
              <w:t xml:space="preserve">14.2 (merged with Layer 2 section 25, the Compliance Gate, and Appendix 13)</w:t>
            </w:r>
          </w:p>
        </w:tc>
      </w:tr>
      <w:tr>
        <w:trPr>
          <w:cantSplit w:val="false"/>
          <w:tblHeader w:val="false"/>
        </w:trPr>
        <w:tc>
          <w:tcPr>
            <w:tcW w:type="dxa" w:w="5629"/>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before="0"/>
            </w:pPr>
            <w:r>
              <w:rPr>
                <w:b w:val="false"/>
                <w:bCs w:val="false"/>
                <w:sz w:val="19"/>
                <w:szCs w:val="19"/>
              </w:rPr>
              <w:t xml:space="preserve">Reviewer-Comment Compliance Gate</w:t>
            </w:r>
          </w:p>
        </w:tc>
        <w:tc>
          <w:tcPr>
            <w:tcW w:type="dxa" w:w="4451"/>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before="0"/>
            </w:pPr>
            <w:r>
              <w:rPr>
                <w:b w:val="false"/>
                <w:bCs w:val="false"/>
                <w:sz w:val="19"/>
                <w:szCs w:val="19"/>
              </w:rPr>
              <w:t xml:space="preserve">14.2</w:t>
            </w:r>
          </w:p>
        </w:tc>
      </w:tr>
      <w:tr>
        <w:trPr>
          <w:cantSplit w:val="false"/>
          <w:tblHeader w:val="false"/>
        </w:trPr>
        <w:tc>
          <w:tcPr>
            <w:tcW w:type="dxa" w:w="5629"/>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before="0"/>
            </w:pPr>
            <w:r>
              <w:rPr>
                <w:b w:val="false"/>
                <w:bCs w:val="false"/>
                <w:sz w:val="19"/>
                <w:szCs w:val="19"/>
              </w:rPr>
              <w:t xml:space="preserve">Output Now Instruction</w:t>
            </w:r>
          </w:p>
        </w:tc>
        <w:tc>
          <w:tcPr>
            <w:tcW w:type="dxa" w:w="4451"/>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before="0"/>
            </w:pPr>
            <w:r>
              <w:rPr>
                <w:b w:val="false"/>
                <w:bCs w:val="false"/>
                <w:sz w:val="19"/>
                <w:szCs w:val="19"/>
              </w:rPr>
              <w:t xml:space="preserve">1.1</w:t>
            </w:r>
          </w:p>
        </w:tc>
      </w:tr>
      <w:tr>
        <w:trPr>
          <w:cantSplit w:val="false"/>
          <w:tblHeader w:val="false"/>
        </w:trPr>
        <w:tc>
          <w:tcPr>
            <w:tcW w:type="dxa" w:w="5629"/>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before="0"/>
            </w:pPr>
            <w:r>
              <w:rPr>
                <w:b w:val="false"/>
                <w:bCs w:val="false"/>
                <w:sz w:val="19"/>
                <w:szCs w:val="19"/>
              </w:rPr>
              <w:t xml:space="preserve">7. Optional Short Lead-In Prompt</w:t>
            </w:r>
          </w:p>
        </w:tc>
        <w:tc>
          <w:tcPr>
            <w:tcW w:type="dxa" w:w="4451"/>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before="0"/>
            </w:pPr>
            <w:r>
              <w:rPr>
                <w:b w:val="false"/>
                <w:bCs w:val="false"/>
                <w:sz w:val="19"/>
                <w:szCs w:val="19"/>
              </w:rPr>
              <w:t xml:space="preserve">Instruction for users</w:t>
            </w:r>
          </w:p>
        </w:tc>
      </w:tr>
      <w:tr>
        <w:trPr>
          <w:cantSplit w:val="false"/>
          <w:tblHeader w:val="false"/>
        </w:trPr>
        <w:tc>
          <w:tcPr>
            <w:tcW w:type="dxa" w:w="5629"/>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before="0"/>
            </w:pPr>
            <w:r>
              <w:rPr>
                <w:b w:val="false"/>
                <w:bCs w:val="false"/>
                <w:sz w:val="19"/>
                <w:szCs w:val="19"/>
              </w:rPr>
              <w:t xml:space="preserve">8. Notes for Maintaining the Generator</w:t>
            </w:r>
          </w:p>
        </w:tc>
        <w:tc>
          <w:tcPr>
            <w:tcW w:type="dxa" w:w="4451"/>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before="0"/>
            </w:pPr>
            <w:r>
              <w:rPr>
                <w:b w:val="false"/>
                <w:bCs w:val="false"/>
                <w:sz w:val="19"/>
                <w:szCs w:val="19"/>
              </w:rPr>
              <w:t xml:space="preserve">Section 5 of this file</w:t>
            </w:r>
          </w:p>
        </w:tc>
      </w:tr>
      <w:tr>
        <w:trPr>
          <w:cantSplit w:val="false"/>
          <w:tblHeader w:val="false"/>
        </w:trPr>
        <w:tc>
          <w:tcPr>
            <w:tcW w:type="dxa" w:w="5629"/>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before="0"/>
            </w:pPr>
            <w:r>
              <w:rPr>
                <w:b w:val="false"/>
                <w:bCs w:val="false"/>
                <w:sz w:val="19"/>
                <w:szCs w:val="19"/>
              </w:rPr>
              <w:t xml:space="preserve">Appendix 1, 1A</w:t>
            </w:r>
          </w:p>
        </w:tc>
        <w:tc>
          <w:tcPr>
            <w:tcW w:type="dxa" w:w="4451"/>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before="0"/>
            </w:pPr>
            <w:r>
              <w:rPr>
                <w:b w:val="false"/>
                <w:bCs w:val="false"/>
                <w:sz w:val="19"/>
                <w:szCs w:val="19"/>
              </w:rPr>
              <w:t xml:space="preserve">Appendix B1</w:t>
            </w:r>
          </w:p>
        </w:tc>
      </w:tr>
      <w:tr>
        <w:trPr>
          <w:cantSplit w:val="false"/>
          <w:tblHeader w:val="false"/>
        </w:trPr>
        <w:tc>
          <w:tcPr>
            <w:tcW w:type="dxa" w:w="5629"/>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before="0"/>
            </w:pPr>
            <w:r>
              <w:rPr>
                <w:b w:val="false"/>
                <w:bCs w:val="false"/>
                <w:sz w:val="19"/>
                <w:szCs w:val="19"/>
              </w:rPr>
              <w:t xml:space="preserve">Appendix 1B</w:t>
            </w:r>
          </w:p>
        </w:tc>
        <w:tc>
          <w:tcPr>
            <w:tcW w:type="dxa" w:w="4451"/>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before="0"/>
            </w:pPr>
            <w:r>
              <w:rPr>
                <w:b w:val="false"/>
                <w:bCs w:val="false"/>
                <w:sz w:val="19"/>
                <w:szCs w:val="19"/>
              </w:rPr>
              <w:t xml:space="preserve">Appendix B2</w:t>
            </w:r>
          </w:p>
        </w:tc>
      </w:tr>
      <w:tr>
        <w:trPr>
          <w:cantSplit w:val="false"/>
          <w:tblHeader w:val="false"/>
        </w:trPr>
        <w:tc>
          <w:tcPr>
            <w:tcW w:type="dxa" w:w="5629"/>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before="0"/>
            </w:pPr>
            <w:r>
              <w:rPr>
                <w:b w:val="false"/>
                <w:bCs w:val="false"/>
                <w:sz w:val="19"/>
                <w:szCs w:val="19"/>
              </w:rPr>
              <w:t xml:space="preserve">Appendices 2, 3, 4, 7A, 9</w:t>
            </w:r>
          </w:p>
        </w:tc>
        <w:tc>
          <w:tcPr>
            <w:tcW w:type="dxa" w:w="4451"/>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before="0"/>
            </w:pPr>
            <w:r>
              <w:rPr>
                <w:b w:val="false"/>
                <w:bCs w:val="false"/>
                <w:sz w:val="19"/>
                <w:szCs w:val="19"/>
              </w:rPr>
              <w:t xml:space="preserve">Appendix C (Slide Planning Row)</w:t>
            </w:r>
          </w:p>
        </w:tc>
      </w:tr>
      <w:tr>
        <w:trPr>
          <w:cantSplit w:val="false"/>
          <w:tblHeader w:val="false"/>
        </w:trPr>
        <w:tc>
          <w:tcPr>
            <w:tcW w:type="dxa" w:w="5629"/>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before="0"/>
            </w:pPr>
            <w:r>
              <w:rPr>
                <w:b w:val="false"/>
                <w:bCs w:val="false"/>
                <w:sz w:val="19"/>
                <w:szCs w:val="19"/>
              </w:rPr>
              <w:t xml:space="preserve">Appendix 5, 6</w:t>
            </w:r>
          </w:p>
        </w:tc>
        <w:tc>
          <w:tcPr>
            <w:tcW w:type="dxa" w:w="4451"/>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before="0"/>
            </w:pPr>
            <w:r>
              <w:rPr>
                <w:b w:val="false"/>
                <w:bCs w:val="false"/>
                <w:sz w:val="19"/>
                <w:szCs w:val="19"/>
              </w:rPr>
              <w:t xml:space="preserve">Appendix D</w:t>
            </w:r>
          </w:p>
        </w:tc>
      </w:tr>
      <w:tr>
        <w:trPr>
          <w:cantSplit w:val="false"/>
          <w:tblHeader w:val="false"/>
        </w:trPr>
        <w:tc>
          <w:tcPr>
            <w:tcW w:type="dxa" w:w="5629"/>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before="0"/>
            </w:pPr>
            <w:r>
              <w:rPr>
                <w:b w:val="false"/>
                <w:bCs w:val="false"/>
                <w:sz w:val="19"/>
                <w:szCs w:val="19"/>
              </w:rPr>
              <w:t xml:space="preserve">Appendix 7, 8, 10</w:t>
            </w:r>
          </w:p>
        </w:tc>
        <w:tc>
          <w:tcPr>
            <w:tcW w:type="dxa" w:w="4451"/>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before="0"/>
            </w:pPr>
            <w:r>
              <w:rPr>
                <w:b w:val="false"/>
                <w:bCs w:val="false"/>
                <w:sz w:val="19"/>
                <w:szCs w:val="19"/>
              </w:rPr>
              <w:t xml:space="preserve">Appendix A</w:t>
            </w:r>
          </w:p>
        </w:tc>
      </w:tr>
      <w:tr>
        <w:trPr>
          <w:cantSplit w:val="false"/>
          <w:tblHeader w:val="false"/>
        </w:trPr>
        <w:tc>
          <w:tcPr>
            <w:tcW w:type="dxa" w:w="5629"/>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before="0"/>
            </w:pPr>
            <w:r>
              <w:rPr>
                <w:b w:val="false"/>
                <w:bCs w:val="false"/>
                <w:sz w:val="19"/>
                <w:szCs w:val="19"/>
              </w:rPr>
              <w:t xml:space="preserve">Appendix 11</w:t>
            </w:r>
          </w:p>
        </w:tc>
        <w:tc>
          <w:tcPr>
            <w:tcW w:type="dxa" w:w="4451"/>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before="0"/>
            </w:pPr>
            <w:r>
              <w:rPr>
                <w:b w:val="false"/>
                <w:bCs w:val="false"/>
                <w:sz w:val="19"/>
                <w:szCs w:val="19"/>
              </w:rPr>
              <w:t xml:space="preserve">Appendix E</w:t>
            </w:r>
          </w:p>
        </w:tc>
      </w:tr>
      <w:tr>
        <w:trPr>
          <w:cantSplit w:val="false"/>
          <w:tblHeader w:val="false"/>
        </w:trPr>
        <w:tc>
          <w:tcPr>
            <w:tcW w:type="dxa" w:w="5629"/>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before="0"/>
            </w:pPr>
            <w:r>
              <w:rPr>
                <w:b w:val="false"/>
                <w:bCs w:val="false"/>
                <w:sz w:val="19"/>
                <w:szCs w:val="19"/>
              </w:rPr>
              <w:t xml:space="preserve">Appendix 12 Final Section Inventory</w:t>
            </w:r>
          </w:p>
        </w:tc>
        <w:tc>
          <w:tcPr>
            <w:tcW w:type="dxa" w:w="4451"/>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before="0"/>
            </w:pPr>
            <w:r>
              <w:rPr>
                <w:b w:val="false"/>
                <w:bCs w:val="false"/>
                <w:sz w:val="19"/>
                <w:szCs w:val="19"/>
              </w:rPr>
              <w:t xml:space="preserve">1.3 artifact table (Included or Excluded recorded per row)</w:t>
            </w:r>
          </w:p>
        </w:tc>
      </w:tr>
      <w:tr>
        <w:trPr>
          <w:cantSplit w:val="false"/>
          <w:tblHeader w:val="false"/>
        </w:trPr>
        <w:tc>
          <w:tcPr>
            <w:tcW w:type="dxa" w:w="5629"/>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before="0"/>
            </w:pPr>
            <w:r>
              <w:rPr>
                <w:b w:val="false"/>
                <w:bCs w:val="false"/>
                <w:sz w:val="19"/>
                <w:szCs w:val="19"/>
              </w:rPr>
              <w:t xml:space="preserve">Appendix 13 Evidence-Based Production QA Checklist</w:t>
            </w:r>
          </w:p>
        </w:tc>
        <w:tc>
          <w:tcPr>
            <w:tcW w:type="dxa" w:w="4451"/>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before="0"/>
            </w:pPr>
            <w:r>
              <w:rPr>
                <w:b w:val="false"/>
                <w:bCs w:val="false"/>
                <w:sz w:val="19"/>
                <w:szCs w:val="19"/>
              </w:rPr>
              <w:t xml:space="preserve">14.2 (the QA record format is stated in its opening paragraph)</w:t>
            </w:r>
          </w:p>
        </w:tc>
      </w:tr>
      <w:tr>
        <w:trPr>
          <w:cantSplit w:val="false"/>
          <w:tblHeader w:val="false"/>
        </w:trPr>
        <w:tc>
          <w:tcPr>
            <w:tcW w:type="dxa" w:w="5629"/>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before="0"/>
            </w:pPr>
            <w:r>
              <w:rPr>
                <w:b w:val="false"/>
                <w:bCs w:val="false"/>
                <w:sz w:val="19"/>
                <w:szCs w:val="19"/>
              </w:rPr>
              <w:t xml:space="preserve">Appendix 14 v2.7 Conflict-Prevention Summary</w:t>
            </w:r>
          </w:p>
        </w:tc>
        <w:tc>
          <w:tcPr>
            <w:tcW w:type="dxa" w:w="4451"/>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before="0"/>
            </w:pPr>
            <w:r>
              <w:rPr>
                <w:b w:val="false"/>
                <w:bCs w:val="false"/>
                <w:sz w:val="19"/>
                <w:szCs w:val="19"/>
              </w:rPr>
              <w:t xml:space="preserve">Removed; each resolution is now the rule itself (9.4, 13.1, 1.2, 2.3)</w:t>
            </w:r>
          </w:p>
        </w:tc>
      </w:tr>
      <w:tr>
        <w:trPr>
          <w:cantSplit w:val="false"/>
          <w:tblHeader w:val="false"/>
        </w:trPr>
        <w:tc>
          <w:tcPr>
            <w:tcW w:type="dxa" w:w="5629"/>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before="0"/>
            </w:pPr>
            <w:r>
              <w:rPr>
                <w:b w:val="false"/>
                <w:bCs w:val="false"/>
                <w:sz w:val="19"/>
                <w:szCs w:val="19"/>
              </w:rPr>
              <w:t xml:space="preserve">Layer 2 section 1 (revision statement, purpose)</w:t>
            </w:r>
          </w:p>
        </w:tc>
        <w:tc>
          <w:tcPr>
            <w:tcW w:type="dxa" w:w="4451"/>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before="0"/>
            </w:pPr>
            <w:r>
              <w:rPr>
                <w:b w:val="false"/>
                <w:bCs w:val="false"/>
                <w:sz w:val="19"/>
                <w:szCs w:val="19"/>
              </w:rPr>
              <w:t xml:space="preserve">Removed (release notes)</w:t>
            </w:r>
          </w:p>
        </w:tc>
      </w:tr>
      <w:tr>
        <w:trPr>
          <w:cantSplit w:val="false"/>
          <w:tblHeader w:val="false"/>
        </w:trPr>
        <w:tc>
          <w:tcPr>
            <w:tcW w:type="dxa" w:w="5629"/>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before="0"/>
            </w:pPr>
            <w:r>
              <w:rPr>
                <w:b w:val="false"/>
                <w:bCs w:val="false"/>
                <w:sz w:val="19"/>
                <w:szCs w:val="19"/>
              </w:rPr>
              <w:t xml:space="preserve">Layer 2 section 2 (intake additions 26B to 26H)</w:t>
            </w:r>
          </w:p>
        </w:tc>
        <w:tc>
          <w:tcPr>
            <w:tcW w:type="dxa" w:w="4451"/>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before="0"/>
            </w:pPr>
            <w:r>
              <w:rPr>
                <w:b w:val="false"/>
                <w:bCs w:val="false"/>
                <w:sz w:val="19"/>
                <w:szCs w:val="19"/>
              </w:rPr>
              <w:t xml:space="preserve">1.4, 2.5 (what the generator reads from those intake fields)</w:t>
            </w:r>
          </w:p>
        </w:tc>
      </w:tr>
      <w:tr>
        <w:trPr>
          <w:cantSplit w:val="false"/>
          <w:tblHeader w:val="false"/>
        </w:trPr>
        <w:tc>
          <w:tcPr>
            <w:tcW w:type="dxa" w:w="5629"/>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before="0"/>
            </w:pPr>
            <w:r>
              <w:rPr>
                <w:b w:val="false"/>
                <w:bCs w:val="false"/>
                <w:sz w:val="19"/>
                <w:szCs w:val="19"/>
              </w:rPr>
              <w:t xml:space="preserve">Layer 2 section 3 (Interaction and Multimedia Core Rules)</w:t>
            </w:r>
          </w:p>
        </w:tc>
        <w:tc>
          <w:tcPr>
            <w:tcW w:type="dxa" w:w="4451"/>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before="0"/>
            </w:pPr>
            <w:r>
              <w:rPr>
                <w:b w:val="false"/>
                <w:bCs w:val="false"/>
                <w:sz w:val="19"/>
                <w:szCs w:val="19"/>
              </w:rPr>
              <w:t xml:space="preserve">7.4, 8.1, 8.4, 12</w:t>
            </w:r>
          </w:p>
        </w:tc>
      </w:tr>
      <w:tr>
        <w:trPr>
          <w:cantSplit w:val="false"/>
          <w:tblHeader w:val="false"/>
        </w:trPr>
        <w:tc>
          <w:tcPr>
            <w:tcW w:type="dxa" w:w="5629"/>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before="0"/>
            </w:pPr>
            <w:r>
              <w:rPr>
                <w:b w:val="false"/>
                <w:bCs w:val="false"/>
                <w:sz w:val="19"/>
                <w:szCs w:val="19"/>
              </w:rPr>
              <w:t xml:space="preserve">Layer 2 section 4 (Step 0A)</w:t>
            </w:r>
          </w:p>
        </w:tc>
        <w:tc>
          <w:tcPr>
            <w:tcW w:type="dxa" w:w="4451"/>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before="0"/>
            </w:pPr>
            <w:r>
              <w:rPr>
                <w:b w:val="false"/>
                <w:bCs w:val="false"/>
                <w:sz w:val="19"/>
                <w:szCs w:val="19"/>
              </w:rPr>
              <w:t xml:space="preserve">2.5</w:t>
            </w:r>
          </w:p>
        </w:tc>
      </w:tr>
      <w:tr>
        <w:trPr>
          <w:cantSplit w:val="false"/>
          <w:tblHeader w:val="false"/>
        </w:trPr>
        <w:tc>
          <w:tcPr>
            <w:tcW w:type="dxa" w:w="5629"/>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before="0"/>
            </w:pPr>
            <w:r>
              <w:rPr>
                <w:b w:val="false"/>
                <w:bCs w:val="false"/>
                <w:sz w:val="19"/>
                <w:szCs w:val="19"/>
              </w:rPr>
              <w:t xml:space="preserve">Layer 2 section 5 (authority)</w:t>
            </w:r>
          </w:p>
        </w:tc>
        <w:tc>
          <w:tcPr>
            <w:tcW w:type="dxa" w:w="4451"/>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before="0"/>
            </w:pPr>
            <w:r>
              <w:rPr>
                <w:b w:val="false"/>
                <w:bCs w:val="false"/>
                <w:sz w:val="19"/>
                <w:szCs w:val="19"/>
              </w:rPr>
              <w:t xml:space="preserve">2.2</w:t>
            </w:r>
          </w:p>
        </w:tc>
      </w:tr>
      <w:tr>
        <w:trPr>
          <w:cantSplit w:val="false"/>
          <w:tblHeader w:val="false"/>
        </w:trPr>
        <w:tc>
          <w:tcPr>
            <w:tcW w:type="dxa" w:w="5629"/>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before="0"/>
            </w:pPr>
            <w:r>
              <w:rPr>
                <w:b w:val="false"/>
                <w:bCs w:val="false"/>
                <w:sz w:val="19"/>
                <w:szCs w:val="19"/>
              </w:rPr>
              <w:t xml:space="preserve">Layer 2 sections 6, 7, 8, 9</w:t>
            </w:r>
          </w:p>
        </w:tc>
        <w:tc>
          <w:tcPr>
            <w:tcW w:type="dxa" w:w="4451"/>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before="0"/>
            </w:pPr>
            <w:r>
              <w:rPr>
                <w:b w:val="false"/>
                <w:bCs w:val="false"/>
                <w:sz w:val="19"/>
                <w:szCs w:val="19"/>
              </w:rPr>
              <w:t xml:space="preserve">7.1, 7.2, 7.3, 7.4</w:t>
            </w:r>
          </w:p>
        </w:tc>
      </w:tr>
      <w:tr>
        <w:trPr>
          <w:cantSplit w:val="false"/>
          <w:tblHeader w:val="false"/>
        </w:trPr>
        <w:tc>
          <w:tcPr>
            <w:tcW w:type="dxa" w:w="5629"/>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before="0"/>
            </w:pPr>
            <w:r>
              <w:rPr>
                <w:b w:val="false"/>
                <w:bCs w:val="false"/>
                <w:sz w:val="19"/>
                <w:szCs w:val="19"/>
              </w:rPr>
              <w:t xml:space="preserve">Layer 2 sections 10, 11, 12</w:t>
            </w:r>
          </w:p>
        </w:tc>
        <w:tc>
          <w:tcPr>
            <w:tcW w:type="dxa" w:w="4451"/>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before="0"/>
            </w:pPr>
            <w:r>
              <w:rPr>
                <w:b w:val="false"/>
                <w:bCs w:val="false"/>
                <w:sz w:val="19"/>
                <w:szCs w:val="19"/>
              </w:rPr>
              <w:t xml:space="preserve">8.3, 8.4</w:t>
            </w:r>
          </w:p>
        </w:tc>
      </w:tr>
      <w:tr>
        <w:trPr>
          <w:cantSplit w:val="false"/>
          <w:tblHeader w:val="false"/>
        </w:trPr>
        <w:tc>
          <w:tcPr>
            <w:tcW w:type="dxa" w:w="5629"/>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before="0"/>
            </w:pPr>
            <w:r>
              <w:rPr>
                <w:b w:val="false"/>
                <w:bCs w:val="false"/>
                <w:sz w:val="19"/>
                <w:szCs w:val="19"/>
              </w:rPr>
              <w:t xml:space="preserve">Layer 2 sections 13, 14, 15, 16</w:t>
            </w:r>
          </w:p>
        </w:tc>
        <w:tc>
          <w:tcPr>
            <w:tcW w:type="dxa" w:w="4451"/>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before="0"/>
            </w:pPr>
            <w:r>
              <w:rPr>
                <w:b w:val="false"/>
                <w:bCs w:val="false"/>
                <w:sz w:val="19"/>
                <w:szCs w:val="19"/>
              </w:rPr>
              <w:t xml:space="preserve">10.1, 10.2, 10.3</w:t>
            </w:r>
          </w:p>
        </w:tc>
      </w:tr>
      <w:tr>
        <w:trPr>
          <w:cantSplit w:val="false"/>
          <w:tblHeader w:val="false"/>
        </w:trPr>
        <w:tc>
          <w:tcPr>
            <w:tcW w:type="dxa" w:w="5629"/>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before="0"/>
            </w:pPr>
            <w:r>
              <w:rPr>
                <w:b w:val="false"/>
                <w:bCs w:val="false"/>
                <w:sz w:val="19"/>
                <w:szCs w:val="19"/>
              </w:rPr>
              <w:t xml:space="preserve">Layer 2 sections 17, 18</w:t>
            </w:r>
          </w:p>
        </w:tc>
        <w:tc>
          <w:tcPr>
            <w:tcW w:type="dxa" w:w="4451"/>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before="0"/>
            </w:pPr>
            <w:r>
              <w:rPr>
                <w:b w:val="false"/>
                <w:bCs w:val="false"/>
                <w:sz w:val="19"/>
                <w:szCs w:val="19"/>
              </w:rPr>
              <w:t xml:space="preserve">9.1, 9.2, 4.2</w:t>
            </w:r>
          </w:p>
        </w:tc>
      </w:tr>
      <w:tr>
        <w:trPr>
          <w:cantSplit w:val="false"/>
          <w:tblHeader w:val="false"/>
        </w:trPr>
        <w:tc>
          <w:tcPr>
            <w:tcW w:type="dxa" w:w="5629"/>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before="0"/>
            </w:pPr>
            <w:r>
              <w:rPr>
                <w:b w:val="false"/>
                <w:bCs w:val="false"/>
                <w:sz w:val="19"/>
                <w:szCs w:val="19"/>
              </w:rPr>
              <w:t xml:space="preserve">Layer 2 section 19</w:t>
            </w:r>
          </w:p>
        </w:tc>
        <w:tc>
          <w:tcPr>
            <w:tcW w:type="dxa" w:w="4451"/>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before="0"/>
            </w:pPr>
            <w:r>
              <w:rPr>
                <w:b w:val="false"/>
                <w:bCs w:val="false"/>
                <w:sz w:val="19"/>
                <w:szCs w:val="19"/>
              </w:rPr>
              <w:t xml:space="preserve">11</w:t>
            </w:r>
          </w:p>
        </w:tc>
      </w:tr>
      <w:tr>
        <w:trPr>
          <w:cantSplit w:val="false"/>
          <w:tblHeader w:val="false"/>
        </w:trPr>
        <w:tc>
          <w:tcPr>
            <w:tcW w:type="dxa" w:w="5629"/>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before="0"/>
            </w:pPr>
            <w:r>
              <w:rPr>
                <w:b w:val="false"/>
                <w:bCs w:val="false"/>
                <w:sz w:val="19"/>
                <w:szCs w:val="19"/>
              </w:rPr>
              <w:t xml:space="preserve">Layer 2 section 20</w:t>
            </w:r>
          </w:p>
        </w:tc>
        <w:tc>
          <w:tcPr>
            <w:tcW w:type="dxa" w:w="4451"/>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before="0"/>
            </w:pPr>
            <w:r>
              <w:rPr>
                <w:b w:val="false"/>
                <w:bCs w:val="false"/>
                <w:sz w:val="19"/>
                <w:szCs w:val="19"/>
              </w:rPr>
              <w:t xml:space="preserve">12</w:t>
            </w:r>
          </w:p>
        </w:tc>
      </w:tr>
      <w:tr>
        <w:trPr>
          <w:cantSplit w:val="false"/>
          <w:tblHeader w:val="false"/>
        </w:trPr>
        <w:tc>
          <w:tcPr>
            <w:tcW w:type="dxa" w:w="5629"/>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before="0"/>
            </w:pPr>
            <w:r>
              <w:rPr>
                <w:b w:val="false"/>
                <w:bCs w:val="false"/>
                <w:sz w:val="19"/>
                <w:szCs w:val="19"/>
              </w:rPr>
              <w:t xml:space="preserve">Layer 2 section 21</w:t>
            </w:r>
          </w:p>
        </w:tc>
        <w:tc>
          <w:tcPr>
            <w:tcW w:type="dxa" w:w="4451"/>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before="0"/>
            </w:pPr>
            <w:r>
              <w:rPr>
                <w:b w:val="false"/>
                <w:bCs w:val="false"/>
                <w:sz w:val="19"/>
                <w:szCs w:val="19"/>
              </w:rPr>
              <w:t xml:space="preserve">8.5, 5.4</w:t>
            </w:r>
          </w:p>
        </w:tc>
      </w:tr>
      <w:tr>
        <w:trPr>
          <w:cantSplit w:val="false"/>
          <w:tblHeader w:val="false"/>
        </w:trPr>
        <w:tc>
          <w:tcPr>
            <w:tcW w:type="dxa" w:w="5629"/>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before="0"/>
            </w:pPr>
            <w:r>
              <w:rPr>
                <w:b w:val="false"/>
                <w:bCs w:val="false"/>
                <w:sz w:val="19"/>
                <w:szCs w:val="19"/>
              </w:rPr>
              <w:t xml:space="preserve">Layer 2 section 22</w:t>
            </w:r>
          </w:p>
        </w:tc>
        <w:tc>
          <w:tcPr>
            <w:tcW w:type="dxa" w:w="4451"/>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before="0"/>
            </w:pPr>
            <w:r>
              <w:rPr>
                <w:b w:val="false"/>
                <w:bCs w:val="false"/>
                <w:sz w:val="19"/>
                <w:szCs w:val="19"/>
              </w:rPr>
              <w:t xml:space="preserve">13.1</w:t>
            </w:r>
          </w:p>
        </w:tc>
      </w:tr>
      <w:tr>
        <w:trPr>
          <w:cantSplit w:val="false"/>
          <w:tblHeader w:val="false"/>
        </w:trPr>
        <w:tc>
          <w:tcPr>
            <w:tcW w:type="dxa" w:w="5629"/>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before="0"/>
            </w:pPr>
            <w:r>
              <w:rPr>
                <w:b w:val="false"/>
                <w:bCs w:val="false"/>
                <w:sz w:val="19"/>
                <w:szCs w:val="19"/>
              </w:rPr>
              <w:t xml:space="preserve">Layer 2 section 23</w:t>
            </w:r>
          </w:p>
        </w:tc>
        <w:tc>
          <w:tcPr>
            <w:tcW w:type="dxa" w:w="4451"/>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before="0"/>
            </w:pPr>
            <w:r>
              <w:rPr>
                <w:b w:val="false"/>
                <w:bCs w:val="false"/>
                <w:sz w:val="19"/>
                <w:szCs w:val="19"/>
              </w:rPr>
              <w:t xml:space="preserve">Appendix C</w:t>
            </w:r>
          </w:p>
        </w:tc>
      </w:tr>
      <w:tr>
        <w:trPr>
          <w:cantSplit w:val="false"/>
          <w:tblHeader w:val="false"/>
        </w:trPr>
        <w:tc>
          <w:tcPr>
            <w:tcW w:type="dxa" w:w="5629"/>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before="0"/>
            </w:pPr>
            <w:r>
              <w:rPr>
                <w:b w:val="false"/>
                <w:bCs w:val="false"/>
                <w:sz w:val="19"/>
                <w:szCs w:val="19"/>
              </w:rPr>
              <w:t xml:space="preserve">Layer 2 sections 24, 25</w:t>
            </w:r>
          </w:p>
        </w:tc>
        <w:tc>
          <w:tcPr>
            <w:tcW w:type="dxa" w:w="4451"/>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before="0"/>
            </w:pPr>
            <w:r>
              <w:rPr>
                <w:b w:val="false"/>
                <w:bCs w:val="false"/>
                <w:sz w:val="19"/>
                <w:szCs w:val="19"/>
              </w:rPr>
              <w:t xml:space="preserve">14.1, 14.2</w:t>
            </w:r>
          </w:p>
        </w:tc>
      </w:tr>
      <w:tr>
        <w:trPr>
          <w:cantSplit w:val="false"/>
          <w:tblHeader w:val="false"/>
        </w:trPr>
        <w:tc>
          <w:tcPr>
            <w:tcW w:type="dxa" w:w="5629"/>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before="0"/>
            </w:pPr>
            <w:r>
              <w:rPr>
                <w:b w:val="false"/>
                <w:bCs w:val="false"/>
                <w:sz w:val="19"/>
                <w:szCs w:val="19"/>
              </w:rPr>
              <w:t xml:space="preserve">Layer 2 section 26</w:t>
            </w:r>
          </w:p>
        </w:tc>
        <w:tc>
          <w:tcPr>
            <w:tcW w:type="dxa" w:w="4451"/>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before="0"/>
            </w:pPr>
            <w:r>
              <w:rPr>
                <w:b w:val="false"/>
                <w:bCs w:val="false"/>
                <w:sz w:val="19"/>
                <w:szCs w:val="19"/>
              </w:rPr>
              <w:t xml:space="preserve">Appendix F</w:t>
            </w:r>
          </w:p>
        </w:tc>
      </w:tr>
      <w:tr>
        <w:trPr>
          <w:cantSplit w:val="false"/>
          <w:tblHeader w:val="false"/>
        </w:trPr>
        <w:tc>
          <w:tcPr>
            <w:tcW w:type="dxa" w:w="5629"/>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before="0"/>
            </w:pPr>
            <w:r>
              <w:rPr>
                <w:b w:val="false"/>
                <w:bCs w:val="false"/>
                <w:sz w:val="19"/>
                <w:szCs w:val="19"/>
              </w:rPr>
              <w:t xml:space="preserve">Layer 2 section 27</w:t>
            </w:r>
          </w:p>
        </w:tc>
        <w:tc>
          <w:tcPr>
            <w:tcW w:type="dxa" w:w="4451"/>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before="0"/>
            </w:pPr>
            <w:r>
              <w:rPr>
                <w:b w:val="false"/>
                <w:bCs w:val="false"/>
                <w:sz w:val="19"/>
                <w:szCs w:val="19"/>
              </w:rPr>
              <w:t xml:space="preserve">8.2 (marked provisional, Development validation required)</w:t>
            </w:r>
          </w:p>
        </w:tc>
      </w:tr>
      <w:tr>
        <w:trPr>
          <w:cantSplit w:val="false"/>
          <w:tblHeader w:val="false"/>
        </w:trPr>
        <w:tc>
          <w:tcPr>
            <w:tcW w:type="dxa" w:w="5629"/>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before="0"/>
            </w:pPr>
            <w:r>
              <w:rPr>
                <w:b w:val="false"/>
                <w:bCs w:val="false"/>
                <w:sz w:val="19"/>
                <w:szCs w:val="19"/>
              </w:rPr>
              <w:t xml:space="preserve">Layer 2 sections 28, 29; Final Governing Standard</w:t>
            </w:r>
          </w:p>
        </w:tc>
        <w:tc>
          <w:tcPr>
            <w:tcW w:type="dxa" w:w="4451"/>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before="0"/>
            </w:pPr>
            <w:r>
              <w:rPr>
                <w:b w:val="false"/>
                <w:bCs w:val="false"/>
                <w:sz w:val="19"/>
                <w:szCs w:val="19"/>
              </w:rPr>
              <w:t xml:space="preserve">13.3; 1.1; Role and Task (responsibilities)</w:t>
            </w:r>
          </w:p>
        </w:tc>
      </w:tr>
    </w:tbl>
    <w:p>
      <w:pPr>
        <w:spacing w:after="120" w:before="0"/>
      </w:pPr>
    </w:p>
    <w:p>
      <w:pPr>
        <w:pStyle w:val="Heading2"/>
        <w:keepNext/>
      </w:pPr>
      <w:r>
        <w:t xml:space="preserve">5. Notes for maintaining the generator</w:t>
      </w:r>
    </w:p>
    <w:p>
      <w:pPr>
        <w:pStyle w:val="ListParagraph"/>
        <w:numPr>
          <w:ilvl w:val="0"/>
          <w:numId w:val="2"/>
        </w:numPr>
        <w:spacing w:after="60"/>
      </w:pPr>
      <w:r>
        <w:t xml:space="preserve">Keep the generator project-agnostic. Do not hard-code project names, domain references, scenario details, template filenames, or source inventories unless supplied in the intake. DominKnow, the LSC writing standard, CAF/DND terminology, and the Style block typography are deliberate defaults for the current production environment; change them in 1.4, 5.1, and 13.1 if the environment changes.</w:t>
      </w:r>
    </w:p>
    <w:p>
      <w:pPr>
        <w:pStyle w:val="ListParagraph"/>
        <w:numPr>
          <w:ilvl w:val="0"/>
          <w:numId w:val="2"/>
        </w:numPr>
        <w:spacing w:after="60"/>
      </w:pPr>
      <w:r>
        <w:t xml:space="preserve">Maintain the verification gate as an internal quality-control checkpoint. Display it only when the user explicitly requests objective review or a critical blocking gap prevents accurate generation.</w:t>
      </w:r>
    </w:p>
    <w:p>
      <w:pPr>
        <w:pStyle w:val="ListParagraph"/>
        <w:numPr>
          <w:ilvl w:val="0"/>
          <w:numId w:val="2"/>
        </w:numPr>
        <w:spacing w:after="60"/>
      </w:pPr>
      <w:r>
        <w:t xml:space="preserve">When a project has mandatory production rules, add them through the intake rather than editing the reusable master generator.</w:t>
      </w:r>
    </w:p>
    <w:p>
      <w:pPr>
        <w:pStyle w:val="ListParagraph"/>
        <w:numPr>
          <w:ilvl w:val="0"/>
          <w:numId w:val="2"/>
        </w:numPr>
        <w:spacing w:after="60"/>
      </w:pPr>
      <w:r>
        <w:t xml:space="preserve">When a project specifies a different authoring tool, supply its approved component reference in intake item 26B; section 1.4 applies the DominKnow rules to it.</w:t>
      </w:r>
    </w:p>
    <w:p>
      <w:pPr>
        <w:pStyle w:val="ListParagraph"/>
        <w:numPr>
          <w:ilvl w:val="0"/>
          <w:numId w:val="2"/>
        </w:numPr>
        <w:spacing w:after="60"/>
      </w:pPr>
      <w:r>
        <w:t xml:space="preserve">When a project specifies Word storyboard output, section 13.2 enforces explicit table borders, label formatting, template preservation, and final validation.</w:t>
      </w:r>
    </w:p>
    <w:p>
      <w:pPr>
        <w:pStyle w:val="ListParagraph"/>
        <w:numPr>
          <w:ilvl w:val="0"/>
          <w:numId w:val="2"/>
        </w:numPr>
        <w:spacing w:after="60"/>
      </w:pPr>
      <w:r>
        <w:t xml:space="preserve">When a project includes narration or facilitator scripting, section 6 applies (narration depth, placement, answer-leak prevention). If a project has no narration, keep section 6 marked "if in scope" rather than deleting it.</w:t>
      </w:r>
    </w:p>
    <w:p>
      <w:pPr>
        <w:pStyle w:val="ListParagraph"/>
        <w:numPr>
          <w:ilvl w:val="0"/>
          <w:numId w:val="2"/>
        </w:numPr>
        <w:spacing w:after="60"/>
      </w:pPr>
      <w:r>
        <w:t xml:space="preserve">When a project includes scored MCQs, section 9.4 preserves A/B/C/D labels for the authored key, requires the Randomize options and Correct answer text notation, and keeps written feedback valid under randomization.</w:t>
      </w:r>
    </w:p>
    <w:p>
      <w:pPr>
        <w:pStyle w:val="ListParagraph"/>
        <w:numPr>
          <w:ilvl w:val="0"/>
          <w:numId w:val="2"/>
        </w:numPr>
        <w:spacing w:after="60"/>
      </w:pPr>
      <w:r>
        <w:t xml:space="preserve">If a client requires a different storyboard structure, replace the five-column rule in 13.2 through the intake only.</w:t>
      </w:r>
    </w:p>
    <w:p>
      <w:pPr>
        <w:pStyle w:val="ListParagraph"/>
        <w:numPr>
          <w:ilvl w:val="0"/>
          <w:numId w:val="2"/>
        </w:numPr>
        <w:spacing w:after="60"/>
      </w:pPr>
      <w:r>
        <w:t xml:space="preserve">If no legacy material was reviewed, the Legacy Disposition Summary states "No legacy material reviewed".</w:t>
      </w:r>
    </w:p>
    <w:p>
      <w:pPr>
        <w:pStyle w:val="ListParagraph"/>
        <w:numPr>
          <w:ilvl w:val="0"/>
          <w:numId w:val="2"/>
        </w:numPr>
        <w:spacing w:after="60"/>
      </w:pPr>
      <w:r>
        <w:t xml:space="preserve">Periodically update the accessibility wording in section 11 to align with the organization's current accessibility standard and production environment.</w:t>
      </w:r>
    </w:p>
    <w:p>
      <w:pPr>
        <w:pStyle w:val="ListParagraph"/>
        <w:numPr>
          <w:ilvl w:val="0"/>
          <w:numId w:val="2"/>
        </w:numPr>
        <w:spacing w:after="60"/>
      </w:pPr>
      <w:r>
        <w:t xml:space="preserve">Editing discipline: every rule has one home and at most one acceptance line. When adding a rule, add it in one section and add one line to 14.2. When changing a rule, change it in its home and its acceptance line and nowhere else. Do not append revision packages; integrate them.</w:t>
      </w:r>
    </w:p>
    <w:p>
      <w:pPr>
        <w:pStyle w:val="ListParagraph"/>
        <w:numPr>
          <w:ilvl w:val="0"/>
          <w:numId w:val="2"/>
        </w:numPr>
        <w:spacing w:after="60"/>
      </w:pPr>
      <w:r>
        <w:t xml:space="preserve">Before each release, re-run the checks that produced this version: search for duplicate statements of the same rule, search for a rule and its acceptance line disagreeing, and confirm that every template in the appendices matches the field spellings in sections 9.4 and 10.1.</w:t>
      </w:r>
    </w:p>
    <w:p>
      <w:pPr>
        <w:pStyle w:val="Heading1"/>
        <w:keepNext/>
      </w:pPr>
      <w:r>
        <w:t xml:space="preserve">v3.3 (CRAFT edition): what changed from v3.2</w:t>
      </w:r>
    </w:p>
    <w:p>
      <w:pPr>
        <w:spacing w:after="100"/>
      </w:pPr>
      <w:r>
        <w:t xml:space="preserve">v3.3 restructures v3.2 into the CRAFT frame used by the other prompts in this repository (Context, Role, Action, Format, Target audience and Tone) and adds the rules needed by the second and third batches of reviewer comments on the MOD 8 storyboard. Every v3.2 rule is carried into v3.3 unchanged unless listed below; the build script verifies that every v3.2 body line survives.</w:t>
      </w:r>
    </w:p>
    <w:p>
      <w:pPr>
        <w:pStyle w:val="Heading2"/>
        <w:keepNext/>
      </w:pPr>
      <w:r>
        <w:t xml:space="preserve">Where the v3.2 sections went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49"/>
        <w:gridCol w:w="4314"/>
        <w:gridCol w:w="1948"/>
        <w:gridCol w:w="1969"/>
      </w:tblGrid>
      <w:tr>
        <w:trPr>
          <w:cantSplit w:val="false"/>
          <w:tblHeader/>
        </w:trPr>
        <w:tc>
          <w:tcPr>
            <w:tcW w:type="dxa" w:w="1849"/>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tcPr>
          <w:p>
            <w:pPr>
              <w:spacing w:after="0" w:before="0"/>
            </w:pPr>
            <w:r>
              <w:rPr>
                <w:b/>
                <w:bCs/>
                <w:sz w:val="19"/>
                <w:szCs w:val="19"/>
              </w:rPr>
              <w:t xml:space="preserve">v3.2</w:t>
            </w:r>
          </w:p>
        </w:tc>
        <w:tc>
          <w:tcPr>
            <w:tcW w:type="dxa" w:w="4314"/>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tcPr>
          <w:p>
            <w:pPr>
              <w:spacing w:after="0" w:before="0"/>
            </w:pPr>
            <w:r>
              <w:rPr>
                <w:b/>
                <w:bCs/>
                <w:sz w:val="19"/>
                <w:szCs w:val="19"/>
              </w:rPr>
              <w:t xml:space="preserve">v3.3</w:t>
            </w:r>
          </w:p>
        </w:tc>
        <w:tc>
          <w:tcPr>
            <w:tcW w:type="dxa" w:w="1948"/>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tcPr>
          <w:p>
            <w:pPr>
              <w:spacing w:after="0" w:before="0"/>
            </w:pPr>
            <w:r>
              <w:rPr>
                <w:b/>
                <w:bCs/>
                <w:sz w:val="19"/>
                <w:szCs w:val="19"/>
              </w:rPr>
              <w:t xml:space="preserve">v3.2</w:t>
            </w:r>
          </w:p>
        </w:tc>
        <w:tc>
          <w:tcPr>
            <w:tcW w:type="dxa" w:w="1969"/>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tcPr>
          <w:p>
            <w:pPr>
              <w:spacing w:after="0" w:before="0"/>
            </w:pPr>
            <w:r>
              <w:rPr>
                <w:b/>
                <w:bCs/>
                <w:sz w:val="19"/>
                <w:szCs w:val="19"/>
              </w:rPr>
              <w:t xml:space="preserve">v3.3</w:t>
            </w:r>
          </w:p>
        </w:tc>
      </w:tr>
      <w:tr>
        <w:trPr>
          <w:cantSplit w:val="false"/>
          <w:tblHeader w:val="false"/>
        </w:trPr>
        <w:tc>
          <w:tcPr>
            <w:tcW w:type="dxa" w:w="1849"/>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before="0"/>
            </w:pPr>
            <w:r>
              <w:rPr>
                <w:b w:val="false"/>
                <w:bCs w:val="false"/>
                <w:sz w:val="19"/>
                <w:szCs w:val="19"/>
              </w:rPr>
              <w:t xml:space="preserve">Role and Task</w:t>
            </w:r>
          </w:p>
        </w:tc>
        <w:tc>
          <w:tcPr>
            <w:tcW w:type="dxa" w:w="4314"/>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before="0"/>
            </w:pPr>
            <w:r>
              <w:rPr>
                <w:b w:val="false"/>
                <w:bCs w:val="false"/>
                <w:sz w:val="19"/>
                <w:szCs w:val="19"/>
              </w:rPr>
              <w:t xml:space="preserve">Role and Task (first section after the scissors line, as in v3.1), with responsibilities in R — Role</w:t>
            </w:r>
          </w:p>
        </w:tc>
        <w:tc>
          <w:tcPr>
            <w:tcW w:type="dxa" w:w="1948"/>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before="0"/>
            </w:pPr>
            <w:r>
              <w:rPr>
                <w:b w:val="false"/>
                <w:bCs w:val="false"/>
                <w:sz w:val="19"/>
                <w:szCs w:val="19"/>
              </w:rPr>
              <w:t xml:space="preserve">7.1 to 7.3, 7.5</w:t>
            </w:r>
          </w:p>
        </w:tc>
        <w:tc>
          <w:tcPr>
            <w:tcW w:type="dxa" w:w="1969"/>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before="0"/>
            </w:pPr>
            <w:r>
              <w:rPr>
                <w:b w:val="false"/>
                <w:bCs w:val="false"/>
                <w:sz w:val="19"/>
                <w:szCs w:val="19"/>
              </w:rPr>
              <w:t xml:space="preserve">A3.1 to A3.4</w:t>
            </w:r>
          </w:p>
        </w:tc>
      </w:tr>
      <w:tr>
        <w:trPr>
          <w:cantSplit w:val="false"/>
          <w:tblHeader w:val="false"/>
        </w:trPr>
        <w:tc>
          <w:tcPr>
            <w:tcW w:type="dxa" w:w="1849"/>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before="0"/>
            </w:pPr>
            <w:r>
              <w:rPr>
                <w:b w:val="false"/>
                <w:bCs w:val="false"/>
                <w:sz w:val="19"/>
                <w:szCs w:val="19"/>
              </w:rPr>
              <w:t xml:space="preserve">1.1 to 1.3</w:t>
            </w:r>
          </w:p>
        </w:tc>
        <w:tc>
          <w:tcPr>
            <w:tcW w:type="dxa" w:w="4314"/>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before="0"/>
            </w:pPr>
            <w:r>
              <w:rPr>
                <w:b w:val="false"/>
                <w:bCs w:val="false"/>
                <w:sz w:val="19"/>
                <w:szCs w:val="19"/>
              </w:rPr>
              <w:t xml:space="preserve">C2.1 to C2.3</w:t>
            </w:r>
          </w:p>
        </w:tc>
        <w:tc>
          <w:tcPr>
            <w:tcW w:type="dxa" w:w="1948"/>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before="0"/>
            </w:pPr>
            <w:r>
              <w:rPr>
                <w:b w:val="false"/>
                <w:bCs w:val="false"/>
                <w:sz w:val="19"/>
                <w:szCs w:val="19"/>
              </w:rPr>
              <w:t xml:space="preserve">7.4</w:t>
            </w:r>
          </w:p>
        </w:tc>
        <w:tc>
          <w:tcPr>
            <w:tcW w:type="dxa" w:w="1969"/>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before="0"/>
            </w:pPr>
            <w:r>
              <w:rPr>
                <w:b w:val="false"/>
                <w:bCs w:val="false"/>
                <w:sz w:val="19"/>
                <w:szCs w:val="19"/>
              </w:rPr>
              <w:t xml:space="preserve">F5.1</w:t>
            </w:r>
          </w:p>
        </w:tc>
      </w:tr>
      <w:tr>
        <w:trPr>
          <w:cantSplit w:val="false"/>
          <w:tblHeader w:val="false"/>
        </w:trPr>
        <w:tc>
          <w:tcPr>
            <w:tcW w:type="dxa" w:w="1849"/>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before="0"/>
            </w:pPr>
            <w:r>
              <w:rPr>
                <w:b w:val="false"/>
                <w:bCs w:val="false"/>
                <w:sz w:val="19"/>
                <w:szCs w:val="19"/>
              </w:rPr>
              <w:t xml:space="preserve">1.4</w:t>
            </w:r>
          </w:p>
        </w:tc>
        <w:tc>
          <w:tcPr>
            <w:tcW w:type="dxa" w:w="4314"/>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before="0"/>
            </w:pPr>
            <w:r>
              <w:rPr>
                <w:b w:val="false"/>
                <w:bCs w:val="false"/>
                <w:sz w:val="19"/>
                <w:szCs w:val="19"/>
              </w:rPr>
              <w:t xml:space="preserve">C3</w:t>
            </w:r>
          </w:p>
        </w:tc>
        <w:tc>
          <w:tcPr>
            <w:tcW w:type="dxa" w:w="1948"/>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before="0"/>
            </w:pPr>
            <w:r>
              <w:rPr>
                <w:b w:val="false"/>
                <w:bCs w:val="false"/>
                <w:sz w:val="19"/>
                <w:szCs w:val="19"/>
              </w:rPr>
              <w:t xml:space="preserve">8.1 to 8.5</w:t>
            </w:r>
          </w:p>
        </w:tc>
        <w:tc>
          <w:tcPr>
            <w:tcW w:type="dxa" w:w="1969"/>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before="0"/>
            </w:pPr>
            <w:r>
              <w:rPr>
                <w:b w:val="false"/>
                <w:bCs w:val="false"/>
                <w:sz w:val="19"/>
                <w:szCs w:val="19"/>
              </w:rPr>
              <w:t xml:space="preserve">A4.1 to A4.5</w:t>
            </w:r>
          </w:p>
        </w:tc>
      </w:tr>
      <w:tr>
        <w:trPr>
          <w:cantSplit w:val="false"/>
          <w:tblHeader w:val="false"/>
        </w:trPr>
        <w:tc>
          <w:tcPr>
            <w:tcW w:type="dxa" w:w="1849"/>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before="0"/>
            </w:pPr>
            <w:r>
              <w:rPr>
                <w:b w:val="false"/>
                <w:bCs w:val="false"/>
                <w:sz w:val="19"/>
                <w:szCs w:val="19"/>
              </w:rPr>
              <w:t xml:space="preserve">2.1 to 2.6</w:t>
            </w:r>
          </w:p>
        </w:tc>
        <w:tc>
          <w:tcPr>
            <w:tcW w:type="dxa" w:w="4314"/>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before="0"/>
            </w:pPr>
            <w:r>
              <w:rPr>
                <w:b w:val="false"/>
                <w:bCs w:val="false"/>
                <w:sz w:val="19"/>
                <w:szCs w:val="19"/>
              </w:rPr>
              <w:t xml:space="preserve">C4.1 to C4.6</w:t>
            </w:r>
          </w:p>
        </w:tc>
        <w:tc>
          <w:tcPr>
            <w:tcW w:type="dxa" w:w="1948"/>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before="0"/>
            </w:pPr>
            <w:r>
              <w:rPr>
                <w:b w:val="false"/>
                <w:bCs w:val="false"/>
                <w:sz w:val="19"/>
                <w:szCs w:val="19"/>
              </w:rPr>
              <w:t xml:space="preserve">9.1 to 9.3</w:t>
            </w:r>
          </w:p>
        </w:tc>
        <w:tc>
          <w:tcPr>
            <w:tcW w:type="dxa" w:w="1969"/>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before="0"/>
            </w:pPr>
            <w:r>
              <w:rPr>
                <w:b w:val="false"/>
                <w:bCs w:val="false"/>
                <w:sz w:val="19"/>
                <w:szCs w:val="19"/>
              </w:rPr>
              <w:t xml:space="preserve">A5.1 to A5.3</w:t>
            </w:r>
          </w:p>
        </w:tc>
      </w:tr>
      <w:tr>
        <w:trPr>
          <w:cantSplit w:val="false"/>
          <w:tblHeader w:val="false"/>
        </w:trPr>
        <w:tc>
          <w:tcPr>
            <w:tcW w:type="dxa" w:w="1849"/>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before="0"/>
            </w:pPr>
            <w:r>
              <w:rPr>
                <w:b w:val="false"/>
                <w:bCs w:val="false"/>
                <w:sz w:val="19"/>
                <w:szCs w:val="19"/>
              </w:rPr>
              <w:t xml:space="preserve">3.1 to 3.5</w:t>
            </w:r>
          </w:p>
        </w:tc>
        <w:tc>
          <w:tcPr>
            <w:tcW w:type="dxa" w:w="4314"/>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before="0"/>
            </w:pPr>
            <w:r>
              <w:rPr>
                <w:b w:val="false"/>
                <w:bCs w:val="false"/>
                <w:sz w:val="19"/>
                <w:szCs w:val="19"/>
              </w:rPr>
              <w:t xml:space="preserve">A1.1 to A1.5</w:t>
            </w:r>
          </w:p>
        </w:tc>
        <w:tc>
          <w:tcPr>
            <w:tcW w:type="dxa" w:w="1948"/>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before="0"/>
            </w:pPr>
            <w:r>
              <w:rPr>
                <w:b w:val="false"/>
                <w:bCs w:val="false"/>
                <w:sz w:val="19"/>
                <w:szCs w:val="19"/>
              </w:rPr>
              <w:t xml:space="preserve">9.4</w:t>
            </w:r>
          </w:p>
        </w:tc>
        <w:tc>
          <w:tcPr>
            <w:tcW w:type="dxa" w:w="1969"/>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before="0"/>
            </w:pPr>
            <w:r>
              <w:rPr>
                <w:b w:val="false"/>
                <w:bCs w:val="false"/>
                <w:sz w:val="19"/>
                <w:szCs w:val="19"/>
              </w:rPr>
              <w:t xml:space="preserve">F5.2</w:t>
            </w:r>
          </w:p>
        </w:tc>
      </w:tr>
      <w:tr>
        <w:trPr>
          <w:cantSplit w:val="false"/>
          <w:tblHeader w:val="false"/>
        </w:trPr>
        <w:tc>
          <w:tcPr>
            <w:tcW w:type="dxa" w:w="1849"/>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before="0"/>
            </w:pPr>
            <w:r>
              <w:rPr>
                <w:b w:val="false"/>
                <w:bCs w:val="false"/>
                <w:sz w:val="19"/>
                <w:szCs w:val="19"/>
              </w:rPr>
              <w:t xml:space="preserve">4.1 to 4.4</w:t>
            </w:r>
          </w:p>
        </w:tc>
        <w:tc>
          <w:tcPr>
            <w:tcW w:type="dxa" w:w="4314"/>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before="0"/>
            </w:pPr>
            <w:r>
              <w:rPr>
                <w:b w:val="false"/>
                <w:bCs w:val="false"/>
                <w:sz w:val="19"/>
                <w:szCs w:val="19"/>
              </w:rPr>
              <w:t xml:space="preserve">A2.1 to A2.4</w:t>
            </w:r>
          </w:p>
        </w:tc>
        <w:tc>
          <w:tcPr>
            <w:tcW w:type="dxa" w:w="1948"/>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before="0"/>
            </w:pPr>
            <w:r>
              <w:rPr>
                <w:b w:val="false"/>
                <w:bCs w:val="false"/>
                <w:sz w:val="19"/>
                <w:szCs w:val="19"/>
              </w:rPr>
              <w:t xml:space="preserve">10.1</w:t>
            </w:r>
          </w:p>
        </w:tc>
        <w:tc>
          <w:tcPr>
            <w:tcW w:type="dxa" w:w="1969"/>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before="0"/>
            </w:pPr>
            <w:r>
              <w:rPr>
                <w:b w:val="false"/>
                <w:bCs w:val="false"/>
                <w:sz w:val="19"/>
                <w:szCs w:val="19"/>
              </w:rPr>
              <w:t xml:space="preserve">F4</w:t>
            </w:r>
          </w:p>
        </w:tc>
      </w:tr>
      <w:tr>
        <w:trPr>
          <w:cantSplit w:val="false"/>
          <w:tblHeader w:val="false"/>
        </w:trPr>
        <w:tc>
          <w:tcPr>
            <w:tcW w:type="dxa" w:w="1849"/>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before="0"/>
            </w:pPr>
            <w:r>
              <w:rPr>
                <w:b w:val="false"/>
                <w:bCs w:val="false"/>
                <w:sz w:val="19"/>
                <w:szCs w:val="19"/>
              </w:rPr>
              <w:t xml:space="preserve">5.1 to 5.3</w:t>
            </w:r>
          </w:p>
        </w:tc>
        <w:tc>
          <w:tcPr>
            <w:tcW w:type="dxa" w:w="4314"/>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before="0"/>
            </w:pPr>
            <w:r>
              <w:rPr>
                <w:b w:val="false"/>
                <w:bCs w:val="false"/>
                <w:sz w:val="19"/>
                <w:szCs w:val="19"/>
              </w:rPr>
              <w:t xml:space="preserve">T2.1 to T2.3</w:t>
            </w:r>
          </w:p>
        </w:tc>
        <w:tc>
          <w:tcPr>
            <w:tcW w:type="dxa" w:w="1948"/>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before="0"/>
            </w:pPr>
            <w:r>
              <w:rPr>
                <w:b w:val="false"/>
                <w:bCs w:val="false"/>
                <w:sz w:val="19"/>
                <w:szCs w:val="19"/>
              </w:rPr>
              <w:t xml:space="preserve">10.2, 10.3</w:t>
            </w:r>
          </w:p>
        </w:tc>
        <w:tc>
          <w:tcPr>
            <w:tcW w:type="dxa" w:w="1969"/>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before="0"/>
            </w:pPr>
            <w:r>
              <w:rPr>
                <w:b w:val="false"/>
                <w:bCs w:val="false"/>
                <w:sz w:val="19"/>
                <w:szCs w:val="19"/>
              </w:rPr>
              <w:t xml:space="preserve">A6.1, A6.2</w:t>
            </w:r>
          </w:p>
        </w:tc>
      </w:tr>
      <w:tr>
        <w:trPr>
          <w:cantSplit w:val="false"/>
          <w:tblHeader w:val="false"/>
        </w:trPr>
        <w:tc>
          <w:tcPr>
            <w:tcW w:type="dxa" w:w="1849"/>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before="0"/>
            </w:pPr>
            <w:r>
              <w:rPr>
                <w:b w:val="false"/>
                <w:bCs w:val="false"/>
                <w:sz w:val="19"/>
                <w:szCs w:val="19"/>
              </w:rPr>
              <w:t xml:space="preserve">5.4, 5.5</w:t>
            </w:r>
          </w:p>
        </w:tc>
        <w:tc>
          <w:tcPr>
            <w:tcW w:type="dxa" w:w="4314"/>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before="0"/>
            </w:pPr>
            <w:r>
              <w:rPr>
                <w:b w:val="false"/>
                <w:bCs w:val="false"/>
                <w:sz w:val="19"/>
                <w:szCs w:val="19"/>
              </w:rPr>
              <w:t xml:space="preserve">F3.1, F3.2</w:t>
            </w:r>
          </w:p>
        </w:tc>
        <w:tc>
          <w:tcPr>
            <w:tcW w:type="dxa" w:w="1948"/>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before="0"/>
            </w:pPr>
            <w:r>
              <w:rPr>
                <w:b w:val="false"/>
                <w:bCs w:val="false"/>
                <w:sz w:val="19"/>
                <w:szCs w:val="19"/>
              </w:rPr>
              <w:t xml:space="preserve">11.1, 11.2</w:t>
            </w:r>
          </w:p>
        </w:tc>
        <w:tc>
          <w:tcPr>
            <w:tcW w:type="dxa" w:w="1969"/>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before="0"/>
            </w:pPr>
            <w:r>
              <w:rPr>
                <w:b w:val="false"/>
                <w:bCs w:val="false"/>
                <w:sz w:val="19"/>
                <w:szCs w:val="19"/>
              </w:rPr>
              <w:t xml:space="preserve">A7.1, A7.2</w:t>
            </w:r>
          </w:p>
        </w:tc>
      </w:tr>
      <w:tr>
        <w:trPr>
          <w:cantSplit w:val="false"/>
          <w:tblHeader w:val="false"/>
        </w:trPr>
        <w:tc>
          <w:tcPr>
            <w:tcW w:type="dxa" w:w="1849"/>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before="0"/>
            </w:pPr>
            <w:r>
              <w:rPr>
                <w:b w:val="false"/>
                <w:bCs w:val="false"/>
                <w:sz w:val="19"/>
                <w:szCs w:val="19"/>
              </w:rPr>
              <w:t xml:space="preserve">6</w:t>
            </w:r>
          </w:p>
        </w:tc>
        <w:tc>
          <w:tcPr>
            <w:tcW w:type="dxa" w:w="4314"/>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before="0"/>
            </w:pPr>
            <w:r>
              <w:rPr>
                <w:b w:val="false"/>
                <w:bCs w:val="false"/>
                <w:sz w:val="19"/>
                <w:szCs w:val="19"/>
              </w:rPr>
              <w:t xml:space="preserve">T3</w:t>
            </w:r>
          </w:p>
        </w:tc>
        <w:tc>
          <w:tcPr>
            <w:tcW w:type="dxa" w:w="1948"/>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before="0"/>
            </w:pPr>
            <w:r>
              <w:rPr>
                <w:b w:val="false"/>
                <w:bCs w:val="false"/>
                <w:sz w:val="19"/>
                <w:szCs w:val="19"/>
              </w:rPr>
              <w:t xml:space="preserve">12</w:t>
            </w:r>
          </w:p>
        </w:tc>
        <w:tc>
          <w:tcPr>
            <w:tcW w:type="dxa" w:w="1969"/>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before="0"/>
            </w:pPr>
            <w:r>
              <w:rPr>
                <w:b w:val="false"/>
                <w:bCs w:val="false"/>
                <w:sz w:val="19"/>
                <w:szCs w:val="19"/>
              </w:rPr>
              <w:t xml:space="preserve">A8</w:t>
            </w:r>
          </w:p>
        </w:tc>
      </w:tr>
      <w:tr>
        <w:trPr>
          <w:cantSplit w:val="false"/>
          <w:tblHeader w:val="false"/>
        </w:trPr>
        <w:tc>
          <w:tcPr>
            <w:tcW w:type="dxa" w:w="1849"/>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before="0"/>
            </w:pPr>
            <w:r>
              <w:rPr>
                <w:b w:val="false"/>
                <w:bCs w:val="false"/>
                <w:sz w:val="19"/>
                <w:szCs w:val="19"/>
              </w:rPr>
              <w:t xml:space="preserve">13.1, 13.2</w:t>
            </w:r>
          </w:p>
        </w:tc>
        <w:tc>
          <w:tcPr>
            <w:tcW w:type="dxa" w:w="4314"/>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before="0"/>
            </w:pPr>
            <w:r>
              <w:rPr>
                <w:b w:val="false"/>
                <w:bCs w:val="false"/>
                <w:sz w:val="19"/>
                <w:szCs w:val="19"/>
              </w:rPr>
              <w:t xml:space="preserve">F1, F2</w:t>
            </w:r>
          </w:p>
        </w:tc>
        <w:tc>
          <w:tcPr>
            <w:tcW w:type="dxa" w:w="1948"/>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before="0"/>
            </w:pPr>
            <w:r>
              <w:rPr>
                <w:b w:val="false"/>
                <w:bCs w:val="false"/>
                <w:sz w:val="19"/>
                <w:szCs w:val="19"/>
              </w:rPr>
              <w:t xml:space="preserve">13.3, 14.1</w:t>
            </w:r>
          </w:p>
        </w:tc>
        <w:tc>
          <w:tcPr>
            <w:tcW w:type="dxa" w:w="1969"/>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before="0"/>
            </w:pPr>
            <w:r>
              <w:rPr>
                <w:b w:val="false"/>
                <w:bCs w:val="false"/>
                <w:sz w:val="19"/>
                <w:szCs w:val="19"/>
              </w:rPr>
              <w:t xml:space="preserve">A9.1, A9.2</w:t>
            </w:r>
          </w:p>
        </w:tc>
      </w:tr>
      <w:tr>
        <w:trPr>
          <w:cantSplit w:val="false"/>
          <w:tblHeader w:val="false"/>
        </w:trPr>
        <w:tc>
          <w:tcPr>
            <w:tcW w:type="dxa" w:w="1849"/>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before="0"/>
            </w:pPr>
            <w:r>
              <w:rPr>
                <w:b w:val="false"/>
                <w:bCs w:val="false"/>
                <w:sz w:val="19"/>
                <w:szCs w:val="19"/>
              </w:rPr>
              <w:t xml:space="preserve">14.2</w:t>
            </w:r>
          </w:p>
        </w:tc>
        <w:tc>
          <w:tcPr>
            <w:tcW w:type="dxa" w:w="4314"/>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before="0"/>
            </w:pPr>
            <w:r>
              <w:rPr>
                <w:b w:val="false"/>
                <w:bCs w:val="false"/>
                <w:sz w:val="19"/>
                <w:szCs w:val="19"/>
              </w:rPr>
              <w:t xml:space="preserve">Acceptance Checks (final section)</w:t>
            </w:r>
          </w:p>
        </w:tc>
        <w:tc>
          <w:tcPr>
            <w:tcW w:type="dxa" w:w="1948"/>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before="0"/>
            </w:pPr>
            <w:r>
              <w:rPr>
                <w:b w:val="false"/>
                <w:bCs w:val="false"/>
                <w:sz w:val="19"/>
                <w:szCs w:val="19"/>
              </w:rPr>
              <w:t xml:space="preserve">Appendices A to F</w:t>
            </w:r>
          </w:p>
        </w:tc>
        <w:tc>
          <w:tcPr>
            <w:tcW w:type="dxa" w:w="1969"/>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before="0"/>
            </w:pPr>
            <w:r>
              <w:rPr>
                <w:b w:val="false"/>
                <w:bCs w:val="false"/>
                <w:sz w:val="19"/>
                <w:szCs w:val="19"/>
              </w:rPr>
              <w:t xml:space="preserve">Appendices A to F</w:t>
            </w:r>
          </w:p>
        </w:tc>
      </w:tr>
    </w:tbl>
    <w:p>
      <w:pPr>
        <w:spacing w:after="120" w:before="0"/>
      </w:pPr>
    </w:p>
    <w:p>
      <w:pPr>
        <w:pStyle w:val="Heading2"/>
        <w:keepNext/>
      </w:pPr>
      <w:r>
        <w:t xml:space="preserve">Rules added in v3.3</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841"/>
        <w:gridCol w:w="3988"/>
        <w:gridCol w:w="1251"/>
      </w:tblGrid>
      <w:tr>
        <w:trPr>
          <w:cantSplit w:val="false"/>
          <w:tblHeader/>
        </w:trPr>
        <w:tc>
          <w:tcPr>
            <w:tcW w:type="dxa" w:w="4841"/>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tcPr>
          <w:p>
            <w:pPr>
              <w:spacing w:after="0" w:before="0"/>
            </w:pPr>
            <w:r>
              <w:rPr>
                <w:b/>
                <w:bCs/>
                <w:sz w:val="19"/>
                <w:szCs w:val="19"/>
              </w:rPr>
              <w:t xml:space="preserve">Rule</w:t>
            </w:r>
          </w:p>
        </w:tc>
        <w:tc>
          <w:tcPr>
            <w:tcW w:type="dxa" w:w="3988"/>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tcPr>
          <w:p>
            <w:pPr>
              <w:spacing w:after="0" w:before="0"/>
            </w:pPr>
            <w:r>
              <w:rPr>
                <w:b/>
                <w:bCs/>
                <w:sz w:val="19"/>
                <w:szCs w:val="19"/>
              </w:rPr>
              <w:t xml:space="preserve">Reviewer comment it answers</w:t>
            </w:r>
          </w:p>
        </w:tc>
        <w:tc>
          <w:tcPr>
            <w:tcW w:type="dxa" w:w="1251"/>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tcPr>
          <w:p>
            <w:pPr>
              <w:spacing w:after="0" w:before="0"/>
            </w:pPr>
            <w:r>
              <w:rPr>
                <w:b/>
                <w:bCs/>
                <w:sz w:val="19"/>
                <w:szCs w:val="19"/>
              </w:rPr>
              <w:t xml:space="preserve">Where</w:t>
            </w:r>
          </w:p>
        </w:tc>
      </w:tr>
      <w:tr>
        <w:trPr>
          <w:cantSplit w:val="false"/>
          <w:tblHeader w:val="false"/>
        </w:trPr>
        <w:tc>
          <w:tcPr>
            <w:tcW w:type="dxa" w:w="4841"/>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before="0"/>
            </w:pPr>
            <w:r>
              <w:rPr>
                <w:b w:val="false"/>
                <w:bCs w:val="false"/>
                <w:sz w:val="19"/>
                <w:szCs w:val="19"/>
              </w:rPr>
              <w:t xml:space="preserve">Complete sentences for any line that states a fact, rule, condition, relationship, or action; fragments only for names, labels, and noun-phrase options</w:t>
            </w:r>
          </w:p>
        </w:tc>
        <w:tc>
          <w:tcPr>
            <w:tcW w:type="dxa" w:w="3988"/>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before="0"/>
            </w:pPr>
            <w:r>
              <w:rPr>
                <w:b w:val="false"/>
                <w:bCs w:val="false"/>
                <w:sz w:val="19"/>
                <w:szCs w:val="19"/>
              </w:rPr>
              <w:t xml:space="preserve">"Should use full sentences - otherwise it is difficult to understand and connect meaning"</w:t>
            </w:r>
          </w:p>
        </w:tc>
        <w:tc>
          <w:tcPr>
            <w:tcW w:type="dxa" w:w="1251"/>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before="0"/>
            </w:pPr>
            <w:r>
              <w:rPr>
                <w:b w:val="false"/>
                <w:bCs w:val="false"/>
                <w:sz w:val="19"/>
                <w:szCs w:val="19"/>
              </w:rPr>
              <w:t xml:space="preserve">T2.1; acceptance line 12</w:t>
            </w:r>
          </w:p>
        </w:tc>
      </w:tr>
      <w:tr>
        <w:trPr>
          <w:cantSplit w:val="false"/>
          <w:tblHeader w:val="false"/>
        </w:trPr>
        <w:tc>
          <w:tcPr>
            <w:tcW w:type="dxa" w:w="4841"/>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before="0"/>
            </w:pPr>
            <w:r>
              <w:rPr>
                <w:b w:val="false"/>
                <w:bCs w:val="false"/>
                <w:sz w:val="19"/>
                <w:szCs w:val="19"/>
              </w:rPr>
              <w:t xml:space="preserve">One slide, one term</w:t>
            </w:r>
          </w:p>
        </w:tc>
        <w:tc>
          <w:tcPr>
            <w:tcW w:type="dxa" w:w="3988"/>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before="0"/>
            </w:pPr>
            <w:r>
              <w:rPr>
                <w:b w:val="false"/>
                <w:bCs w:val="false"/>
                <w:sz w:val="19"/>
                <w:szCs w:val="19"/>
              </w:rPr>
              <w:t xml:space="preserve">"You call them stages and processes - which is it?"</w:t>
            </w:r>
          </w:p>
        </w:tc>
        <w:tc>
          <w:tcPr>
            <w:tcW w:type="dxa" w:w="1251"/>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before="0"/>
            </w:pPr>
            <w:r>
              <w:rPr>
                <w:b w:val="false"/>
                <w:bCs w:val="false"/>
                <w:sz w:val="19"/>
                <w:szCs w:val="19"/>
              </w:rPr>
              <w:t xml:space="preserve">T2.1; acceptance line 12</w:t>
            </w:r>
          </w:p>
        </w:tc>
      </w:tr>
      <w:tr>
        <w:trPr>
          <w:cantSplit w:val="false"/>
          <w:tblHeader w:val="false"/>
        </w:trPr>
        <w:tc>
          <w:tcPr>
            <w:tcW w:type="dxa" w:w="4841"/>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before="0"/>
            </w:pPr>
            <w:r>
              <w:rPr>
                <w:b w:val="false"/>
                <w:bCs w:val="false"/>
                <w:sz w:val="19"/>
                <w:szCs w:val="19"/>
              </w:rPr>
              <w:t xml:space="preserve">Slide Title column equals the Heading 1</w:t>
            </w:r>
          </w:p>
        </w:tc>
        <w:tc>
          <w:tcPr>
            <w:tcW w:type="dxa" w:w="3988"/>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before="0"/>
            </w:pPr>
            <w:r>
              <w:rPr>
                <w:b w:val="false"/>
                <w:bCs w:val="false"/>
                <w:sz w:val="19"/>
                <w:szCs w:val="19"/>
              </w:rPr>
              <w:t xml:space="preserve">"Titles should be the same"</w:t>
            </w:r>
          </w:p>
        </w:tc>
        <w:tc>
          <w:tcPr>
            <w:tcW w:type="dxa" w:w="1251"/>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before="0"/>
            </w:pPr>
            <w:r>
              <w:rPr>
                <w:b w:val="false"/>
                <w:bCs w:val="false"/>
                <w:sz w:val="19"/>
                <w:szCs w:val="19"/>
              </w:rPr>
              <w:t xml:space="preserve">F3.1; acceptance line 10</w:t>
            </w:r>
          </w:p>
        </w:tc>
      </w:tr>
      <w:tr>
        <w:trPr>
          <w:cantSplit w:val="false"/>
          <w:tblHeader w:val="false"/>
        </w:trPr>
        <w:tc>
          <w:tcPr>
            <w:tcW w:type="dxa" w:w="4841"/>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before="0"/>
            </w:pPr>
            <w:r>
              <w:rPr>
                <w:b w:val="false"/>
                <w:bCs w:val="false"/>
                <w:sz w:val="19"/>
                <w:szCs w:val="19"/>
              </w:rPr>
              <w:t xml:space="preserve">Teach by the job question: decision-type objectives are taught as a decision walk-through; comparison tables support, never replace, the worked example</w:t>
            </w:r>
          </w:p>
        </w:tc>
        <w:tc>
          <w:tcPr>
            <w:tcW w:type="dxa" w:w="3988"/>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before="0"/>
            </w:pPr>
            <w:r>
              <w:rPr>
                <w:b w:val="false"/>
                <w:bCs w:val="false"/>
                <w:sz w:val="19"/>
                <w:szCs w:val="19"/>
              </w:rPr>
              <w:t xml:space="preserve">"Consider restructuring the content around a workplace decision"; "not clear on when to use each one"</w:t>
            </w:r>
          </w:p>
        </w:tc>
        <w:tc>
          <w:tcPr>
            <w:tcW w:type="dxa" w:w="1251"/>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before="0"/>
            </w:pPr>
            <w:r>
              <w:rPr>
                <w:b w:val="false"/>
                <w:bCs w:val="false"/>
                <w:sz w:val="19"/>
                <w:szCs w:val="19"/>
              </w:rPr>
              <w:t xml:space="preserve">A2.5; A9.2; acceptance line 20</w:t>
            </w:r>
          </w:p>
        </w:tc>
      </w:tr>
      <w:tr>
        <w:trPr>
          <w:cantSplit w:val="false"/>
          <w:tblHeader w:val="false"/>
        </w:trPr>
        <w:tc>
          <w:tcPr>
            <w:tcW w:type="dxa" w:w="4841"/>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before="0"/>
            </w:pPr>
            <w:r>
              <w:rPr>
                <w:b w:val="false"/>
                <w:bCs w:val="false"/>
                <w:sz w:val="19"/>
                <w:szCs w:val="19"/>
              </w:rPr>
              <w:t xml:space="preserve">Stem before every practice or assessment activity</w:t>
            </w:r>
          </w:p>
        </w:tc>
        <w:tc>
          <w:tcPr>
            <w:tcW w:type="dxa" w:w="3988"/>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before="0"/>
            </w:pPr>
            <w:r>
              <w:rPr>
                <w:b w:val="false"/>
                <w:bCs w:val="false"/>
                <w:sz w:val="19"/>
                <w:szCs w:val="19"/>
              </w:rPr>
              <w:t xml:space="preserve">"What is the actual question stem? The intent of this activity is not immediately clear"</w:t>
            </w:r>
          </w:p>
        </w:tc>
        <w:tc>
          <w:tcPr>
            <w:tcW w:type="dxa" w:w="1251"/>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before="0"/>
            </w:pPr>
            <w:r>
              <w:rPr>
                <w:b w:val="false"/>
                <w:bCs w:val="false"/>
                <w:sz w:val="19"/>
                <w:szCs w:val="19"/>
              </w:rPr>
              <w:t xml:space="preserve">F5.1, F5.2, Appendix A; acceptance line 20</w:t>
            </w:r>
          </w:p>
        </w:tc>
      </w:tr>
      <w:tr>
        <w:trPr>
          <w:cantSplit w:val="false"/>
          <w:tblHeader w:val="false"/>
        </w:trPr>
        <w:tc>
          <w:tcPr>
            <w:tcW w:type="dxa" w:w="4841"/>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before="0"/>
            </w:pPr>
            <w:r>
              <w:rPr>
                <w:b w:val="false"/>
                <w:bCs w:val="false"/>
                <w:sz w:val="19"/>
                <w:szCs w:val="19"/>
              </w:rPr>
              <w:t xml:space="preserve">Plain-pair mappings using learner-visible names; no re-listing of items already in Text Content</w:t>
            </w:r>
          </w:p>
        </w:tc>
        <w:tc>
          <w:tcPr>
            <w:tcW w:type="dxa" w:w="3988"/>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before="0"/>
            </w:pPr>
            <w:r>
              <w:rPr>
                <w:b w:val="false"/>
                <w:bCs w:val="false"/>
                <w:sz w:val="19"/>
                <w:szCs w:val="19"/>
              </w:rPr>
              <w:t xml:space="preserve">"show this - no one has the time to try to figure out what this means"</w:t>
            </w:r>
          </w:p>
        </w:tc>
        <w:tc>
          <w:tcPr>
            <w:tcW w:type="dxa" w:w="1251"/>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before="0"/>
            </w:pPr>
            <w:r>
              <w:rPr>
                <w:b w:val="false"/>
                <w:bCs w:val="false"/>
                <w:sz w:val="19"/>
                <w:szCs w:val="19"/>
              </w:rPr>
              <w:t xml:space="preserve">A4.4; acceptance line 19</w:t>
            </w:r>
          </w:p>
        </w:tc>
      </w:tr>
      <w:tr>
        <w:trPr>
          <w:cantSplit w:val="false"/>
          <w:tblHeader w:val="false"/>
        </w:trPr>
        <w:tc>
          <w:tcPr>
            <w:tcW w:type="dxa" w:w="4841"/>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before="0"/>
            </w:pPr>
            <w:r>
              <w:rPr>
                <w:b w:val="false"/>
                <w:bCs w:val="false"/>
                <w:sz w:val="19"/>
                <w:szCs w:val="19"/>
              </w:rPr>
              <w:t xml:space="preserve">Behaviour fields (keyboard, focus, retry, reset, retained items, attempts, completion) are Development-owned and stay out of rows unless the slide is an exception</w:t>
            </w:r>
          </w:p>
        </w:tc>
        <w:tc>
          <w:tcPr>
            <w:tcW w:type="dxa" w:w="3988"/>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before="0"/>
            </w:pPr>
            <w:r>
              <w:rPr>
                <w:b w:val="false"/>
                <w:bCs w:val="false"/>
                <w:sz w:val="19"/>
                <w:szCs w:val="19"/>
              </w:rPr>
              <w:t xml:space="preserve">"Devs don't program this. Delete."; "it's already explained in the Dev notes at the top - no need to repeat here"</w:t>
            </w:r>
          </w:p>
        </w:tc>
        <w:tc>
          <w:tcPr>
            <w:tcW w:type="dxa" w:w="1251"/>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before="0"/>
            </w:pPr>
            <w:r>
              <w:rPr>
                <w:b w:val="false"/>
                <w:bCs w:val="false"/>
                <w:sz w:val="19"/>
                <w:szCs w:val="19"/>
              </w:rPr>
              <w:t xml:space="preserve">A4.2, A5.2; acceptance line 4</w:t>
            </w:r>
          </w:p>
        </w:tc>
      </w:tr>
      <w:tr>
        <w:trPr>
          <w:cantSplit w:val="false"/>
          <w:tblHeader w:val="false"/>
        </w:trPr>
        <w:tc>
          <w:tcPr>
            <w:tcW w:type="dxa" w:w="4841"/>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before="0"/>
            </w:pPr>
            <w:r>
              <w:rPr>
                <w:b w:val="false"/>
                <w:bCs w:val="false"/>
                <w:sz w:val="19"/>
                <w:szCs w:val="19"/>
              </w:rPr>
              <w:t xml:space="preserve">Attempts and Completion lines only when different from Developer Notes – All Slides</w:t>
            </w:r>
          </w:p>
        </w:tc>
        <w:tc>
          <w:tcPr>
            <w:tcW w:type="dxa" w:w="3988"/>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before="0"/>
            </w:pPr>
            <w:r>
              <w:rPr>
                <w:b w:val="false"/>
                <w:bCs w:val="false"/>
                <w:sz w:val="19"/>
                <w:szCs w:val="19"/>
              </w:rPr>
              <w:t xml:space="preserve">"if it's non-scoring why 2 attempts?"</w:t>
            </w:r>
          </w:p>
        </w:tc>
        <w:tc>
          <w:tcPr>
            <w:tcW w:type="dxa" w:w="1251"/>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before="0"/>
            </w:pPr>
            <w:r>
              <w:rPr>
                <w:b w:val="false"/>
                <w:bCs w:val="false"/>
                <w:sz w:val="19"/>
                <w:szCs w:val="19"/>
              </w:rPr>
              <w:t xml:space="preserve">A5.2, F5.2, Appendix A</w:t>
            </w:r>
          </w:p>
        </w:tc>
      </w:tr>
      <w:tr>
        <w:trPr>
          <w:cantSplit w:val="false"/>
          <w:tblHeader w:val="false"/>
        </w:trPr>
        <w:tc>
          <w:tcPr>
            <w:tcW w:type="dxa" w:w="4841"/>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before="0"/>
            </w:pPr>
            <w:r>
              <w:rPr>
                <w:b w:val="false"/>
                <w:bCs w:val="false"/>
                <w:sz w:val="19"/>
                <w:szCs w:val="19"/>
              </w:rPr>
              <w:t xml:space="preserve">Non-scored practice: Final Incorrect Feedback repeats the Correct Feedback when the component reveals the model answer</w:t>
            </w:r>
          </w:p>
        </w:tc>
        <w:tc>
          <w:tcPr>
            <w:tcW w:type="dxa" w:w="3988"/>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before="0"/>
            </w:pPr>
            <w:r>
              <w:rPr>
                <w:b w:val="false"/>
                <w:bCs w:val="false"/>
                <w:sz w:val="19"/>
                <w:szCs w:val="19"/>
              </w:rPr>
              <w:t xml:space="preserve">"The correct feedback and 2nd incorrect should be the same. There is no need to state what the matches are"</w:t>
            </w:r>
          </w:p>
        </w:tc>
        <w:tc>
          <w:tcPr>
            <w:tcW w:type="dxa" w:w="1251"/>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before="0"/>
            </w:pPr>
            <w:r>
              <w:rPr>
                <w:b w:val="false"/>
                <w:bCs w:val="false"/>
                <w:sz w:val="19"/>
                <w:szCs w:val="19"/>
              </w:rPr>
              <w:t xml:space="preserve">A5.2 (decision 15 below)</w:t>
            </w:r>
          </w:p>
        </w:tc>
      </w:tr>
      <w:tr>
        <w:trPr>
          <w:cantSplit w:val="false"/>
          <w:tblHeader w:val="false"/>
        </w:trPr>
        <w:tc>
          <w:tcPr>
            <w:tcW w:type="dxa" w:w="4841"/>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before="0"/>
            </w:pPr>
            <w:r>
              <w:rPr>
                <w:b w:val="false"/>
                <w:bCs w:val="false"/>
                <w:sz w:val="19"/>
                <w:szCs w:val="19"/>
              </w:rPr>
              <w:t xml:space="preserve">Mock-up for any layout with more than five objects or a non-obvious arrangement</w:t>
            </w:r>
          </w:p>
        </w:tc>
        <w:tc>
          <w:tcPr>
            <w:tcW w:type="dxa" w:w="3988"/>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before="0"/>
            </w:pPr>
            <w:r>
              <w:rPr>
                <w:b w:val="false"/>
                <w:bCs w:val="false"/>
                <w:sz w:val="19"/>
                <w:szCs w:val="19"/>
              </w:rPr>
              <w:t xml:space="preserve">"So you have a visual of how you want them to arrange the processes?"</w:t>
            </w:r>
          </w:p>
        </w:tc>
        <w:tc>
          <w:tcPr>
            <w:tcW w:type="dxa" w:w="1251"/>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before="0"/>
            </w:pPr>
            <w:r>
              <w:rPr>
                <w:b w:val="false"/>
                <w:bCs w:val="false"/>
                <w:sz w:val="19"/>
                <w:szCs w:val="19"/>
              </w:rPr>
              <w:t xml:space="preserve">F4; acceptance line 26</w:t>
            </w:r>
          </w:p>
        </w:tc>
      </w:tr>
      <w:tr>
        <w:trPr>
          <w:cantSplit w:val="false"/>
          <w:tblHeader w:val="false"/>
        </w:trPr>
        <w:tc>
          <w:tcPr>
            <w:tcW w:type="dxa" w:w="4841"/>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before="0"/>
            </w:pPr>
            <w:r>
              <w:rPr>
                <w:b w:val="false"/>
                <w:bCs w:val="false"/>
                <w:sz w:val="19"/>
                <w:szCs w:val="19"/>
              </w:rPr>
              <w:t xml:space="preserve">Objective derivation procedure with a domain-neutral worked example</w:t>
            </w:r>
          </w:p>
        </w:tc>
        <w:tc>
          <w:tcPr>
            <w:tcW w:type="dxa" w:w="3988"/>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before="0"/>
            </w:pPr>
            <w:r>
              <w:rPr>
                <w:b w:val="false"/>
                <w:bCs w:val="false"/>
                <w:sz w:val="19"/>
                <w:szCs w:val="19"/>
              </w:rPr>
              <w:t xml:space="preserve">Question on how the generator gets from a job requirement to progressive, task-based objectives</w:t>
            </w:r>
          </w:p>
        </w:tc>
        <w:tc>
          <w:tcPr>
            <w:tcW w:type="dxa" w:w="1251"/>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before="0"/>
            </w:pPr>
            <w:r>
              <w:rPr>
                <w:b w:val="false"/>
                <w:bCs w:val="false"/>
                <w:sz w:val="19"/>
                <w:szCs w:val="19"/>
              </w:rPr>
              <w:t xml:space="preserve">A1.3</w:t>
            </w:r>
          </w:p>
        </w:tc>
      </w:tr>
      <w:tr>
        <w:trPr>
          <w:cantSplit w:val="false"/>
          <w:tblHeader w:val="false"/>
        </w:trPr>
        <w:tc>
          <w:tcPr>
            <w:tcW w:type="dxa" w:w="4841"/>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before="0"/>
            </w:pPr>
            <w:r>
              <w:rPr>
                <w:b w:val="false"/>
                <w:bCs w:val="false"/>
                <w:sz w:val="19"/>
                <w:szCs w:val="19"/>
              </w:rPr>
              <w:t xml:space="preserve">Three readers (learner, client reviewer, developer) and known failure patterns</w:t>
            </w:r>
          </w:p>
        </w:tc>
        <w:tc>
          <w:tcPr>
            <w:tcW w:type="dxa" w:w="3988"/>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before="0"/>
            </w:pPr>
            <w:r>
              <w:rPr>
                <w:b w:val="false"/>
                <w:bCs w:val="false"/>
                <w:sz w:val="19"/>
                <w:szCs w:val="19"/>
              </w:rPr>
              <w:t xml:space="preserve">Context for all of the above</w:t>
            </w:r>
          </w:p>
        </w:tc>
        <w:tc>
          <w:tcPr>
            <w:tcW w:type="dxa" w:w="1251"/>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before="0"/>
            </w:pPr>
            <w:r>
              <w:rPr>
                <w:b w:val="false"/>
                <w:bCs w:val="false"/>
                <w:sz w:val="19"/>
                <w:szCs w:val="19"/>
              </w:rPr>
              <w:t xml:space="preserve">T1, C5, R</w:t>
            </w:r>
          </w:p>
        </w:tc>
      </w:tr>
    </w:tbl>
    <w:p>
      <w:pPr>
        <w:spacing w:after="120" w:before="0"/>
      </w:pPr>
    </w:p>
    <w:p>
      <w:pPr>
        <w:pStyle w:val="Heading2"/>
        <w:keepNext/>
      </w:pPr>
      <w:r>
        <w:t xml:space="preserve">Decisions taken in v3.3</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78"/>
        <w:gridCol w:w="8324"/>
        <w:gridCol w:w="878"/>
      </w:tblGrid>
      <w:tr>
        <w:trPr>
          <w:cantSplit w:val="false"/>
          <w:tblHeader/>
        </w:trPr>
        <w:tc>
          <w:tcPr>
            <w:tcW w:type="dxa" w:w="878"/>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tcPr>
          <w:p>
            <w:pPr>
              <w:spacing w:after="0" w:before="0"/>
            </w:pPr>
            <w:r>
              <w:rPr>
                <w:b/>
                <w:bCs/>
                <w:sz w:val="19"/>
                <w:szCs w:val="19"/>
              </w:rPr>
              <w:t xml:space="preserve">#</w:t>
            </w:r>
          </w:p>
        </w:tc>
        <w:tc>
          <w:tcPr>
            <w:tcW w:type="dxa" w:w="8324"/>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tcPr>
          <w:p>
            <w:pPr>
              <w:spacing w:after="0" w:before="0"/>
            </w:pPr>
            <w:r>
              <w:rPr>
                <w:b/>
                <w:bCs/>
                <w:sz w:val="19"/>
                <w:szCs w:val="19"/>
              </w:rPr>
              <w:t xml:space="preserve">Decision</w:t>
            </w:r>
          </w:p>
        </w:tc>
        <w:tc>
          <w:tcPr>
            <w:tcW w:type="dxa" w:w="878"/>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tcPr>
          <w:p>
            <w:pPr>
              <w:spacing w:after="0" w:before="0"/>
            </w:pPr>
            <w:r>
              <w:rPr>
                <w:b/>
                <w:bCs/>
                <w:sz w:val="19"/>
                <w:szCs w:val="19"/>
              </w:rPr>
              <w:t xml:space="preserve">Where to reverse it</w:t>
            </w:r>
          </w:p>
        </w:tc>
      </w:tr>
      <w:tr>
        <w:trPr>
          <w:cantSplit w:val="false"/>
          <w:tblHeader w:val="false"/>
        </w:trPr>
        <w:tc>
          <w:tcPr>
            <w:tcW w:type="dxa" w:w="878"/>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before="0"/>
            </w:pPr>
            <w:r>
              <w:rPr>
                <w:b w:val="false"/>
                <w:bCs w:val="false"/>
                <w:sz w:val="19"/>
                <w:szCs w:val="19"/>
              </w:rPr>
              <w:t xml:space="preserve">15</w:t>
            </w:r>
          </w:p>
        </w:tc>
        <w:tc>
          <w:tcPr>
            <w:tcW w:type="dxa" w:w="8324"/>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before="0"/>
            </w:pPr>
            <w:r>
              <w:rPr>
                <w:b w:val="false"/>
                <w:bCs w:val="false"/>
                <w:sz w:val="19"/>
                <w:szCs w:val="19"/>
              </w:rPr>
              <w:t xml:space="preserve">For non-scored practice, when the component reveals the model answer after the final attempt (assumed for DominKnow matching, sorting, and sequence), Final Incorrect Feedback uses the Correct Feedback text and does not restate the answer. Scored questions still state the exact correct answer. If Development confirms the components do not reveal the model answer, delete the reveal clause in A5.2.</w:t>
            </w:r>
          </w:p>
        </w:tc>
        <w:tc>
          <w:tcPr>
            <w:tcW w:type="dxa" w:w="878"/>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before="0"/>
            </w:pPr>
            <w:r>
              <w:rPr>
                <w:b w:val="false"/>
                <w:bCs w:val="false"/>
                <w:sz w:val="19"/>
                <w:szCs w:val="19"/>
              </w:rPr>
              <w:t xml:space="preserve">A5.2</w:t>
            </w:r>
          </w:p>
        </w:tc>
      </w:tr>
      <w:tr>
        <w:trPr>
          <w:cantSplit w:val="false"/>
          <w:tblHeader w:val="false"/>
        </w:trPr>
        <w:tc>
          <w:tcPr>
            <w:tcW w:type="dxa" w:w="878"/>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before="0"/>
            </w:pPr>
            <w:r>
              <w:rPr>
                <w:b w:val="false"/>
                <w:bCs w:val="false"/>
                <w:sz w:val="19"/>
                <w:szCs w:val="19"/>
              </w:rPr>
              <w:t xml:space="preserve">16</w:t>
            </w:r>
          </w:p>
        </w:tc>
        <w:tc>
          <w:tcPr>
            <w:tcW w:type="dxa" w:w="8324"/>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before="0"/>
            </w:pPr>
            <w:r>
              <w:rPr>
                <w:b w:val="false"/>
                <w:bCs w:val="false"/>
                <w:sz w:val="19"/>
                <w:szCs w:val="19"/>
              </w:rPr>
              <w:t xml:space="preserve">Non-scored practice follows the Developer Notes – All Slides attempt convention unless intake 26E supplies a practice convention. If the client wants unlimited or single-attempt practice, state it in 26E.</w:t>
            </w:r>
          </w:p>
        </w:tc>
        <w:tc>
          <w:tcPr>
            <w:tcW w:type="dxa" w:w="878"/>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before="0"/>
            </w:pPr>
            <w:r>
              <w:rPr>
                <w:b w:val="false"/>
                <w:bCs w:val="false"/>
                <w:sz w:val="19"/>
                <w:szCs w:val="19"/>
              </w:rPr>
              <w:t xml:space="preserve">A5.2</w:t>
            </w:r>
          </w:p>
        </w:tc>
      </w:tr>
      <w:tr>
        <w:trPr>
          <w:cantSplit w:val="false"/>
          <w:tblHeader w:val="false"/>
        </w:trPr>
        <w:tc>
          <w:tcPr>
            <w:tcW w:type="dxa" w:w="878"/>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before="0"/>
            </w:pPr>
            <w:r>
              <w:rPr>
                <w:b w:val="false"/>
                <w:bCs w:val="false"/>
                <w:sz w:val="19"/>
                <w:szCs w:val="19"/>
              </w:rPr>
              <w:t xml:space="preserve">17</w:t>
            </w:r>
          </w:p>
        </w:tc>
        <w:tc>
          <w:tcPr>
            <w:tcW w:type="dxa" w:w="8324"/>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before="0"/>
            </w:pPr>
            <w:r>
              <w:rPr>
                <w:b w:val="false"/>
                <w:bCs w:val="false"/>
                <w:sz w:val="19"/>
                <w:szCs w:val="19"/>
              </w:rPr>
              <w:t xml:space="preserve">Behaviour fields default to the Development standard and are never marked for Development confirmation in a row; an undocumented behaviour is recorded in the Internal Slide Notes instead.</w:t>
            </w:r>
          </w:p>
        </w:tc>
        <w:tc>
          <w:tcPr>
            <w:tcW w:type="dxa" w:w="878"/>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before="0"/>
            </w:pPr>
            <w:r>
              <w:rPr>
                <w:b w:val="false"/>
                <w:bCs w:val="false"/>
                <w:sz w:val="19"/>
                <w:szCs w:val="19"/>
              </w:rPr>
              <w:t xml:space="preserve">A4.2, A5.2</w:t>
            </w:r>
          </w:p>
        </w:tc>
      </w:tr>
      <w:tr>
        <w:trPr>
          <w:cantSplit w:val="false"/>
          <w:tblHeader w:val="false"/>
        </w:trPr>
        <w:tc>
          <w:tcPr>
            <w:tcW w:type="dxa" w:w="878"/>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before="0"/>
            </w:pPr>
            <w:r>
              <w:rPr>
                <w:b w:val="false"/>
                <w:bCs w:val="false"/>
                <w:sz w:val="19"/>
                <w:szCs w:val="19"/>
              </w:rPr>
              <w:t xml:space="preserve">18</w:t>
            </w:r>
          </w:p>
        </w:tc>
        <w:tc>
          <w:tcPr>
            <w:tcW w:type="dxa" w:w="8324"/>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before="0"/>
            </w:pPr>
            <w:r>
              <w:rPr>
                <w:b w:val="false"/>
                <w:bCs w:val="false"/>
                <w:sz w:val="19"/>
                <w:szCs w:val="19"/>
              </w:rPr>
              <w:t xml:space="preserve">The mock-up threshold is five objects or more than one axis of arrangement.</w:t>
            </w:r>
          </w:p>
        </w:tc>
        <w:tc>
          <w:tcPr>
            <w:tcW w:type="dxa" w:w="878"/>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before="0"/>
            </w:pPr>
            <w:r>
              <w:rPr>
                <w:b w:val="false"/>
                <w:bCs w:val="false"/>
                <w:sz w:val="19"/>
                <w:szCs w:val="19"/>
              </w:rPr>
              <w:t xml:space="preserve">F4</w:t>
            </w:r>
          </w:p>
        </w:tc>
      </w:tr>
    </w:tbl>
    <w:p>
      <w:pPr>
        <w:spacing w:after="120" w:before="0"/>
      </w:pPr>
    </w:p>
    <w:p>
      <w:pPr>
        <w:pStyle w:val="Heading2"/>
        <w:keepNext/>
      </w:pPr>
      <w:r>
        <w:t xml:space="preserve">Word count</w:t>
      </w:r>
    </w:p>
    <w:p>
      <w:pPr>
        <w:spacing w:after="100"/>
      </w:pPr>
      <w:r>
        <w:t xml:space="preserve">v3.2 about 15,900 words; v3.3 about 18,000 words. The additions are the rules above and the two context blocks; nothing was removed.</w:t>
      </w:r>
    </w:p>
    <w:p>
      <w:pPr>
        <w:pStyle w:val="Heading2"/>
        <w:keepNext/>
      </w:pPr>
      <w:r>
        <w:t xml:space="preserve">v3.3 completeness audit against v3.1</w:t>
      </w:r>
    </w:p>
    <w:p>
      <w:pPr>
        <w:spacing w:after="100"/>
      </w:pPr>
      <w:r>
        <w:t xml:space="preserve">A line-by-line comparison of the original v3.1 against v3.3 (413 distinctive terms, quoted strings, markers, numbers, and field names, plus a content-word coverage score for all 592 substantive lines) found no lost rule. It found these items, which were then restored: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754"/>
        <w:gridCol w:w="2641"/>
        <w:gridCol w:w="1685"/>
      </w:tblGrid>
      <w:tr>
        <w:trPr>
          <w:cantSplit w:val="false"/>
          <w:tblHeader/>
        </w:trPr>
        <w:tc>
          <w:tcPr>
            <w:tcW w:type="dxa" w:w="5754"/>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tcPr>
          <w:p>
            <w:pPr>
              <w:spacing w:after="0" w:before="0"/>
            </w:pPr>
            <w:r>
              <w:rPr>
                <w:b/>
                <w:bCs/>
                <w:sz w:val="19"/>
                <w:szCs w:val="19"/>
              </w:rPr>
              <w:t xml:space="preserve">Item from v3.1</w:t>
            </w:r>
          </w:p>
        </w:tc>
        <w:tc>
          <w:tcPr>
            <w:tcW w:type="dxa" w:w="2641"/>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tcPr>
          <w:p>
            <w:pPr>
              <w:spacing w:after="0" w:before="0"/>
            </w:pPr>
            <w:r>
              <w:rPr>
                <w:b/>
                <w:bCs/>
                <w:sz w:val="19"/>
                <w:szCs w:val="19"/>
              </w:rPr>
              <w:t xml:space="preserve">Status before the audit</w:t>
            </w:r>
          </w:p>
        </w:tc>
        <w:tc>
          <w:tcPr>
            <w:tcW w:type="dxa" w:w="1685"/>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tcPr>
          <w:p>
            <w:pPr>
              <w:spacing w:after="0" w:before="0"/>
            </w:pPr>
            <w:r>
              <w:rPr>
                <w:b/>
                <w:bCs/>
                <w:sz w:val="19"/>
                <w:szCs w:val="19"/>
              </w:rPr>
              <w:t xml:space="preserve">Restored in</w:t>
            </w:r>
          </w:p>
        </w:tc>
      </w:tr>
      <w:tr>
        <w:trPr>
          <w:cantSplit w:val="false"/>
          <w:tblHeader w:val="false"/>
        </w:trPr>
        <w:tc>
          <w:tcPr>
            <w:tcW w:type="dxa" w:w="5754"/>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before="0"/>
            </w:pPr>
            <w:r>
              <w:rPr>
                <w:b w:val="false"/>
                <w:bCs w:val="false"/>
                <w:sz w:val="19"/>
                <w:szCs w:val="19"/>
              </w:rPr>
              <w:t xml:space="preserve">Step 3 "Adapted Project Storyboard Master Prompt": a copy-ready project prompt adapted to the new project</w:t>
            </w:r>
          </w:p>
        </w:tc>
        <w:tc>
          <w:tcPr>
            <w:tcW w:type="dxa" w:w="2641"/>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before="0"/>
            </w:pPr>
            <w:r>
              <w:rPr>
                <w:b w:val="false"/>
                <w:bCs w:val="false"/>
                <w:sz w:val="19"/>
                <w:szCs w:val="19"/>
              </w:rPr>
              <w:t xml:space="preserve">Removed as dead framing (it wrapped sections A to S)</w:t>
            </w:r>
          </w:p>
        </w:tc>
        <w:tc>
          <w:tcPr>
            <w:tcW w:type="dxa" w:w="1685"/>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before="0"/>
            </w:pPr>
            <w:r>
              <w:rPr>
                <w:b w:val="false"/>
                <w:bCs w:val="false"/>
                <w:sz w:val="19"/>
                <w:szCs w:val="19"/>
              </w:rPr>
              <w:t xml:space="preserve">C2.3 artifact table as an export-on-request artifact; A1.5 names it as Step 3</w:t>
            </w:r>
          </w:p>
        </w:tc>
      </w:tr>
      <w:tr>
        <w:trPr>
          <w:cantSplit w:val="false"/>
          <w:tblHeader w:val="false"/>
        </w:trPr>
        <w:tc>
          <w:tcPr>
            <w:tcW w:type="dxa" w:w="5754"/>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before="0"/>
            </w:pPr>
            <w:r>
              <w:rPr>
                <w:b w:val="false"/>
                <w:bCs w:val="false"/>
                <w:sz w:val="19"/>
                <w:szCs w:val="19"/>
              </w:rPr>
              <w:t xml:space="preserve">Chunking Map field "Worked example/model slide(s)"</w:t>
            </w:r>
          </w:p>
        </w:tc>
        <w:tc>
          <w:tcPr>
            <w:tcW w:type="dxa" w:w="2641"/>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before="0"/>
            </w:pPr>
            <w:r>
              <w:rPr>
                <w:b w:val="false"/>
                <w:bCs w:val="false"/>
                <w:sz w:val="19"/>
                <w:szCs w:val="19"/>
              </w:rPr>
              <w:t xml:space="preserve">Present only in the Objective Coverage Map (Appendix B2)</w:t>
            </w:r>
          </w:p>
        </w:tc>
        <w:tc>
          <w:tcPr>
            <w:tcW w:type="dxa" w:w="1685"/>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before="0"/>
            </w:pPr>
            <w:r>
              <w:rPr>
                <w:b w:val="false"/>
                <w:bCs w:val="false"/>
                <w:sz w:val="19"/>
                <w:szCs w:val="19"/>
              </w:rPr>
              <w:t xml:space="preserve">Appendix C</w:t>
            </w:r>
          </w:p>
        </w:tc>
      </w:tr>
      <w:tr>
        <w:trPr>
          <w:cantSplit w:val="false"/>
          <w:tblHeader w:val="false"/>
        </w:trPr>
        <w:tc>
          <w:tcPr>
            <w:tcW w:type="dxa" w:w="5754"/>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before="0"/>
            </w:pPr>
            <w:r>
              <w:rPr>
                <w:b w:val="false"/>
                <w:bCs w:val="false"/>
                <w:sz w:val="19"/>
                <w:szCs w:val="19"/>
              </w:rPr>
              <w:t xml:space="preserve">Assessment Map fields "Target or criterion", "Required evidence", "Required feedback"; Interaction and Assessment Map field "Feedback approach"</w:t>
            </w:r>
          </w:p>
        </w:tc>
        <w:tc>
          <w:tcPr>
            <w:tcW w:type="dxa" w:w="2641"/>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before="0"/>
            </w:pPr>
            <w:r>
              <w:rPr>
                <w:b w:val="false"/>
                <w:bCs w:val="false"/>
                <w:sz w:val="19"/>
                <w:szCs w:val="19"/>
              </w:rPr>
              <w:t xml:space="preserve">Not carried as named fields</w:t>
            </w:r>
          </w:p>
        </w:tc>
        <w:tc>
          <w:tcPr>
            <w:tcW w:type="dxa" w:w="1685"/>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before="0"/>
            </w:pPr>
            <w:r>
              <w:rPr>
                <w:b w:val="false"/>
                <w:bCs w:val="false"/>
                <w:sz w:val="19"/>
                <w:szCs w:val="19"/>
              </w:rPr>
              <w:t xml:space="preserve">Appendix C</w:t>
            </w:r>
          </w:p>
        </w:tc>
      </w:tr>
      <w:tr>
        <w:trPr>
          <w:cantSplit w:val="false"/>
          <w:tblHeader w:val="false"/>
        </w:trPr>
        <w:tc>
          <w:tcPr>
            <w:tcW w:type="dxa" w:w="5754"/>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before="0"/>
            </w:pPr>
            <w:r>
              <w:rPr>
                <w:b w:val="false"/>
                <w:bCs w:val="false"/>
                <w:sz w:val="19"/>
                <w:szCs w:val="19"/>
              </w:rPr>
              <w:t xml:space="preserve">Internal notes fields "Build / implementation notes", "Interaction logic", "Feedback logic"</w:t>
            </w:r>
          </w:p>
        </w:tc>
        <w:tc>
          <w:tcPr>
            <w:tcW w:type="dxa" w:w="2641"/>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before="0"/>
            </w:pPr>
            <w:r>
              <w:rPr>
                <w:b w:val="false"/>
                <w:bCs w:val="false"/>
                <w:sz w:val="19"/>
                <w:szCs w:val="19"/>
              </w:rPr>
              <w:t xml:space="preserve">Not carried as named fields</w:t>
            </w:r>
          </w:p>
        </w:tc>
        <w:tc>
          <w:tcPr>
            <w:tcW w:type="dxa" w:w="1685"/>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before="0"/>
            </w:pPr>
            <w:r>
              <w:rPr>
                <w:b w:val="false"/>
                <w:bCs w:val="false"/>
                <w:sz w:val="19"/>
                <w:szCs w:val="19"/>
              </w:rPr>
              <w:t xml:space="preserve">Appendix C</w:t>
            </w:r>
          </w:p>
        </w:tc>
      </w:tr>
    </w:tbl>
    <w:p>
      <w:pPr>
        <w:spacing w:after="120" w:before="0"/>
      </w:pPr>
    </w:p>
    <w:p>
      <w:pPr>
        <w:spacing w:after="100"/>
      </w:pPr>
      <w:r>
        <w:t xml:space="preserve">Deliberately not carried, by decision: Notes for Maintaining the Generator (section 5 of this file), Appendix 12 (replaced by the C2.3 table), Appendix 14 (its resolutions are now the rules), Layer 2 section 1 (release notes), Layer 2 section 29 (integration instructions), the Public Affairs example in Appendix 10 (replaced by a neutral example), the two alternative wordings of the "confirm component" marker (one marker), and the three-mode Interaction model (replaced by five modes).</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80" w:hanging="270"/>
      </w:pPr>
    </w:lvl>
    <w:lvl w:ilvl="2" w15:tentative="1">
      <w:start w:val="1"/>
      <w:numFmt w:val="bullet"/>
      <w:lvlText w:val="·"/>
      <w:lvlJc w:val="left"/>
      <w:pPr>
        <w:ind w:left="1620" w:hanging="27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000000"/>
        <w:sz w:val="22"/>
        <w:szCs w:val="22"/>
      </w:rPr>
    </w:rPrDefault>
    <w:pPrDefault>
      <w:pPr>
        <w:spacing w:line="264"/>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spacing w:after="200" w:before="0"/>
    </w:pPr>
    <w:rPr>
      <w:rFonts w:ascii="Calibri" w:cs="Calibri" w:eastAsia="Calibri" w:hAnsi="Calibri"/>
      <w:b/>
      <w:bCs/>
      <w:color w:val="1F3864"/>
      <w:sz w:val="40"/>
      <w:szCs w:val="40"/>
    </w:rPr>
  </w:style>
  <w:style w:type="paragraph" w:styleId="Heading1">
    <w:name w:val="Heading 1"/>
    <w:basedOn w:val="Normal"/>
    <w:next w:val="Normal"/>
    <w:qFormat/>
    <w:pPr>
      <w:spacing w:after="120" w:before="360"/>
      <w:outlineLvl w:val="0"/>
    </w:pPr>
    <w:rPr>
      <w:rFonts w:ascii="Calibri" w:cs="Calibri" w:eastAsia="Calibri" w:hAnsi="Calibri"/>
      <w:b/>
      <w:bCs/>
      <w:color w:val="1F3864"/>
      <w:sz w:val="30"/>
      <w:szCs w:val="30"/>
    </w:rPr>
  </w:style>
  <w:style w:type="paragraph" w:styleId="Heading2">
    <w:name w:val="Heading 2"/>
    <w:basedOn w:val="Normal"/>
    <w:next w:val="Normal"/>
    <w:qFormat/>
    <w:pPr>
      <w:spacing w:after="100" w:before="240"/>
      <w:outlineLvl w:val="1"/>
    </w:pPr>
    <w:rPr>
      <w:rFonts w:ascii="Calibri" w:cs="Calibri" w:eastAsia="Calibri" w:hAnsi="Calibri"/>
      <w:b/>
      <w:bCs/>
      <w:color w:val="2E5C8A"/>
      <w:sz w:val="25"/>
      <w:szCs w:val="25"/>
    </w:rPr>
  </w:style>
  <w:style w:type="paragraph" w:styleId="Heading3">
    <w:name w:val="Heading 3"/>
    <w:basedOn w:val="Normal"/>
    <w:next w:val="Normal"/>
    <w:qFormat/>
    <w:pPr>
      <w:spacing w:after="80" w:before="200"/>
      <w:outlineLvl w:val="2"/>
    </w:pPr>
    <w:rPr>
      <w:rFonts w:ascii="Calibri" w:cs="Calibri" w:eastAsia="Calibri" w:hAnsi="Calibri"/>
      <w:b/>
      <w:bCs/>
      <w:color w:val="00000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v3.2 and v3.3 change log and crosswalk</dc:title>
  <dc:creator>Storyboard Generator maintainer</dc:creator>
  <cp:lastModifiedBy>Un-named</cp:lastModifiedBy>
  <cp:revision>1</cp:revision>
  <dcterms:created xsi:type="dcterms:W3CDTF">2026-09-12T14:02:17.783Z</dcterms:created>
  <dcterms:modified xsi:type="dcterms:W3CDTF">2026-09-12T14:02:17.783Z</dcterms:modified>
</cp:coreProperties>
</file>

<file path=docProps/custom.xml><?xml version="1.0" encoding="utf-8"?>
<Properties xmlns="http://schemas.openxmlformats.org/officeDocument/2006/custom-properties" xmlns:vt="http://schemas.openxmlformats.org/officeDocument/2006/docPropsVTypes"/>
</file>