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0F6E56"/>
          <w:sz w:val="64"/>
          <w:szCs w:val="64"/>
        </w:rPr>
        <w:t xml:space="preserve">DueLook</w:t>
      </w:r>
    </w:p>
    <w:p>
      <w:pPr>
        <w:spacing w:after="120" w:before="0"/>
        <w:jc w:val="center"/>
      </w:pPr>
      <w:r>
        <w:rPr>
          <w:rFonts w:ascii="Arial" w:cs="Arial" w:eastAsia="Arial" w:hAnsi="Arial"/>
          <w:i/>
          <w:iCs/>
          <w:color w:val="6b6a66"/>
          <w:sz w:val="28"/>
          <w:szCs w:val="28"/>
        </w:rPr>
        <w:t xml:space="preserve">Let us look for what’s due.</w:t>
      </w:r>
    </w:p>
    <w:p>
      <w:pPr>
        <w:spacing w:after="80" w:before="0"/>
        <w:jc w:val="center"/>
      </w:pPr>
      <w:r>
        <w:rPr>
          <w:rFonts w:ascii="Arial" w:cs="Arial" w:eastAsia="Arial" w:hAnsi="Arial"/>
          <w:color w:val="9b9a96"/>
          <w:sz w:val="22"/>
          <w:szCs w:val="22"/>
        </w:rPr>
        <w:t xml:space="preserve">NUS Orbital 2025  ·  Proposed Level: Artemis</w:t>
      </w:r>
    </w:p>
    <w:p>
      <w:pPr>
        <w:spacing w:after="2880" w:before="0"/>
        <w:jc w:val="center"/>
      </w:pPr>
      <w:r>
        <w:rPr>
          <w:rFonts w:ascii="Arial" w:cs="Arial" w:eastAsia="Arial" w:hAnsi="Arial"/>
          <w:color w:val="9b9a96"/>
          <w:sz w:val="22"/>
          <w:szCs w:val="22"/>
        </w:rPr>
        <w:t xml:space="preserve">Team of 2  ·  AY2024/25</w:t>
      </w:r>
    </w:p>
    <w:p>
      <w:r>
        <w:br w:type="page"/>
      </w:r>
    </w:p>
    <w:p>
      <w:pPr>
        <w:pStyle w:val="Heading1"/>
        <w:spacing w:after="120" w:before="320"/>
      </w:pPr>
      <w:r>
        <w:rPr>
          <w:rFonts w:ascii="Arial" w:cs="Arial" w:eastAsia="Arial" w:hAnsi="Arial"/>
          <w:b/>
          <w:bCs/>
          <w:color w:val="1A1A18"/>
          <w:sz w:val="32"/>
          <w:szCs w:val="32"/>
        </w:rPr>
        <w:t xml:space="preserve">1. Motivation &amp; Problem Statement</w:t>
      </w:r>
    </w:p>
    <w:p>
      <w:pPr>
        <w:spacing w:after="120" w:before="60"/>
      </w:pPr>
      <w:r>
        <w:rPr>
          <w:rFonts w:ascii="Arial" w:cs="Arial" w:eastAsia="Arial" w:hAnsi="Arial"/>
          <w:color w:val="333330"/>
          <w:sz w:val="22"/>
          <w:szCs w:val="22"/>
        </w:rPr>
        <w:t xml:space="preserve">The transition to Year 1 comes with a severe digital culture shock: the overwhelming flood of the university inbox. New students are suddenly bombarded with an unmanageable volume of emails — ranging from career fair announcements and internship opportunities to CCA recruitment and administrative blasts.</w:t>
      </w:r>
    </w:p>
    <w:p>
      <w:pPr>
        <w:spacing w:after="120" w:before="60"/>
      </w:pPr>
      <w:r>
        <w:rPr>
          <w:rFonts w:ascii="Arial" w:cs="Arial" w:eastAsia="Arial" w:hAnsi="Arial"/>
          <w:color w:val="333330"/>
          <w:sz w:val="22"/>
          <w:szCs w:val="22"/>
        </w:rPr>
        <w:t xml:space="preserve">In this daily chaos, the inbox becomes a source of anxiety rather than a tool for productivity. Critical action items inevitably get buried under the noise, resulting in a universal student experience: missing a crucial programming assignment or forgetting to attend a mandatory CCA rehearsal simply because the notification was pushed off the first page.</w:t>
      </w:r>
    </w:p>
    <w:p>
      <w:pPr>
        <w:spacing w:after="120" w:before="60"/>
      </w:pPr>
      <w:r>
        <w:rPr>
          <w:rFonts w:ascii="Arial" w:cs="Arial" w:eastAsia="Arial" w:hAnsi="Arial"/>
          <w:color w:val="333330"/>
          <w:sz w:val="22"/>
          <w:szCs w:val="22"/>
        </w:rPr>
        <w:t xml:space="preserve">There is a critical need for a zero-configuration workflow engine that inherently understands the structure of a university semester and rescues students from inbox fatigue.</w:t>
      </w:r>
    </w:p>
    <w:p>
      <w:pPr>
        <w:spacing w:after="120" w:before="0"/>
      </w:pPr>
      <w:r>
        <w:t xml:space="preserve"/>
      </w:r>
    </w:p>
    <w:p>
      <w:pPr>
        <w:pStyle w:val="Heading1"/>
        <w:spacing w:after="120" w:before="320"/>
      </w:pPr>
      <w:r>
        <w:rPr>
          <w:rFonts w:ascii="Arial" w:cs="Arial" w:eastAsia="Arial" w:hAnsi="Arial"/>
          <w:b/>
          <w:bCs/>
          <w:color w:val="1A1A18"/>
          <w:sz w:val="32"/>
          <w:szCs w:val="32"/>
        </w:rPr>
        <w:t xml:space="preserve">2. Aim</w:t>
      </w:r>
    </w:p>
    <w:p>
      <w:pPr>
        <w:spacing w:after="120" w:before="60"/>
      </w:pPr>
      <w:r>
        <w:rPr>
          <w:rFonts w:ascii="Arial" w:cs="Arial" w:eastAsia="Arial" w:hAnsi="Arial"/>
          <w:color w:val="333330"/>
          <w:sz w:val="22"/>
          <w:szCs w:val="22"/>
        </w:rPr>
        <w:t xml:space="preserve">DueLook is a web-based productivity tool designed to cure Year 1 inbox overwhelm by transforming a messy university email account into an actionable, automated workflow. Instead of acting as a passive email reader, DueLook:</w:t>
      </w:r>
    </w:p>
    <w:p>
      <w:pPr>
        <w:pStyle w:val="ListParagraph"/>
        <w:numPr>
          <w:ilvl w:val="0"/>
          <w:numId w:val="2"/>
        </w:numPr>
        <w:spacing w:after="40" w:before="40"/>
      </w:pPr>
      <w:r>
        <w:rPr>
          <w:rFonts w:ascii="Arial" w:cs="Arial" w:eastAsia="Arial" w:hAnsi="Arial"/>
          <w:color w:val="333330"/>
          <w:sz w:val="22"/>
          <w:szCs w:val="22"/>
        </w:rPr>
        <w:t xml:space="preserve">Automatically categorises incoming mail into clean visual folders (Academics, CCA, Internships, Newsletter, Promotions, Others)</w:t>
      </w:r>
    </w:p>
    <w:p>
      <w:pPr>
        <w:pStyle w:val="ListParagraph"/>
        <w:numPr>
          <w:ilvl w:val="0"/>
          <w:numId w:val="2"/>
        </w:numPr>
        <w:spacing w:after="40" w:before="40"/>
      </w:pPr>
      <w:r>
        <w:rPr>
          <w:rFonts w:ascii="Arial" w:cs="Arial" w:eastAsia="Arial" w:hAnsi="Arial"/>
          <w:color w:val="333330"/>
          <w:sz w:val="22"/>
          <w:szCs w:val="22"/>
        </w:rPr>
        <w:t xml:space="preserve">Extracts hard deadlines using AI and surfaces them on a live calendar with a configurable panic window</w:t>
      </w:r>
    </w:p>
    <w:p>
      <w:pPr>
        <w:pStyle w:val="ListParagraph"/>
        <w:numPr>
          <w:ilvl w:val="0"/>
          <w:numId w:val="2"/>
        </w:numPr>
        <w:spacing w:after="40" w:before="40"/>
      </w:pPr>
      <w:r>
        <w:rPr>
          <w:rFonts w:ascii="Arial" w:cs="Arial" w:eastAsia="Arial" w:hAnsi="Arial"/>
          <w:color w:val="333330"/>
          <w:sz w:val="22"/>
          <w:szCs w:val="22"/>
        </w:rPr>
        <w:t xml:space="preserve">Routes emails with uncertain or conflicting dates to a dedicated “Needs Review” tab rather than silently guessing</w:t>
      </w:r>
    </w:p>
    <w:p>
      <w:pPr>
        <w:pStyle w:val="ListParagraph"/>
        <w:numPr>
          <w:ilvl w:val="0"/>
          <w:numId w:val="2"/>
        </w:numPr>
        <w:spacing w:after="40" w:before="40"/>
      </w:pPr>
      <w:r>
        <w:rPr>
          <w:rFonts w:ascii="Arial" w:cs="Arial" w:eastAsia="Arial" w:hAnsi="Arial"/>
          <w:color w:val="333330"/>
          <w:sz w:val="22"/>
          <w:szCs w:val="22"/>
        </w:rPr>
        <w:t xml:space="preserve">Gamifies task completion through a real-time Inbox Health bar to build consistent email habits in students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12"/>
              <w:left w:val="none" w:color="FFFFFF" w:sz="0"/>
              <w:bottom w:val="none" w:color="FFFFFF" w:sz="0"/>
              <w:right w:val="none" w:color="FFFFFF" w:sz="0"/>
            </w:tcBorders>
            <w:shd w:fill="F7F6F2" w:val="clear"/>
            <w:tcMar>
              <w:top w:type="dxa" w:w="120"/>
              <w:left w:type="dxa" w:w="200"/>
              <w:bottom w:type="dxa" w:w="120"/>
              <w:right w:type="dxa" w:w="200"/>
            </w:tcMar>
          </w:tcPr>
          <w:p>
            <w:pPr>
              <w:spacing w:after="40" w:before="0"/>
            </w:pPr>
            <w:r>
              <w:rPr>
                <w:rFonts w:ascii="Arial" w:cs="Arial" w:eastAsia="Arial" w:hAnsi="Arial"/>
                <w:b/>
                <w:bCs/>
                <w:color w:val="1D9E75"/>
                <w:sz w:val="20"/>
                <w:szCs w:val="20"/>
              </w:rPr>
              <w:t xml:space="preserve">Demo scope note</w:t>
            </w:r>
          </w:p>
          <w:p>
            <w:pPr>
              <w:spacing w:after="0" w:before="0"/>
            </w:pPr>
            <w:r>
              <w:rPr>
                <w:rFonts w:ascii="Arial" w:cs="Arial" w:eastAsia="Arial" w:hAnsi="Arial"/>
                <w:i/>
                <w:iCs/>
                <w:color w:val="444440"/>
                <w:sz w:val="20"/>
                <w:szCs w:val="20"/>
              </w:rPr>
              <w:t xml:space="preserve">Because live NUS OAuth integration requires IT policy approval outside project scope, DueLook will be demonstrated using a pre-populated staging account mirroring a real student inbox. All core features are fully functional within this sandbox environment.</w:t>
            </w:r>
          </w:p>
        </w:tc>
      </w:tr>
    </w:tbl>
    <w:p>
      <w:pPr>
        <w:spacing w:after="120" w:before="0"/>
      </w:pPr>
      <w:r>
        <w:t xml:space="preserve"/>
      </w:r>
    </w:p>
    <w:p>
      <w:pPr>
        <w:pStyle w:val="Heading1"/>
        <w:spacing w:after="120" w:before="320"/>
      </w:pPr>
      <w:r>
        <w:rPr>
          <w:rFonts w:ascii="Arial" w:cs="Arial" w:eastAsia="Arial" w:hAnsi="Arial"/>
          <w:b/>
          <w:bCs/>
          <w:color w:val="1A1A18"/>
          <w:sz w:val="32"/>
          <w:szCs w:val="32"/>
        </w:rPr>
        <w:t xml:space="preserve">3. User Interface Design</w:t>
      </w:r>
    </w:p>
    <w:p>
      <w:pPr>
        <w:spacing w:after="120" w:before="60"/>
      </w:pPr>
      <w:r>
        <w:rPr>
          <w:rFonts w:ascii="Arial" w:cs="Arial" w:eastAsia="Arial" w:hAnsi="Arial"/>
          <w:color w:val="333330"/>
          <w:sz w:val="22"/>
          <w:szCs w:val="22"/>
        </w:rPr>
        <w:t xml:space="preserve">DueLook organises every email into exactly one of five states. The interface reflects this state machine directly as five labelled tabs.</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3.1  Tab 1 — Filtered (Confirmed &amp; sorted)</w:t>
      </w:r>
    </w:p>
    <w:p>
      <w:pPr>
        <w:spacing w:after="120" w:before="60"/>
      </w:pPr>
      <w:r>
        <w:rPr>
          <w:rFonts w:ascii="Arial" w:cs="Arial" w:eastAsia="Arial" w:hAnsi="Arial"/>
          <w:color w:val="333330"/>
          <w:sz w:val="22"/>
          <w:szCs w:val="22"/>
        </w:rPr>
        <w:t xml:space="preserve">The primary working view. Contains emails where the AI has extracted a confident, unambiguous deadline.</w:t>
      </w:r>
    </w:p>
    <w:p>
      <w:pPr>
        <w:pStyle w:val="ListParagraph"/>
        <w:numPr>
          <w:ilvl w:val="0"/>
          <w:numId w:val="2"/>
        </w:numPr>
        <w:spacing w:after="40" w:before="40"/>
      </w:pPr>
      <w:r>
        <w:rPr>
          <w:rFonts w:ascii="Arial" w:cs="Arial" w:eastAsia="Arial" w:hAnsi="Arial"/>
          <w:color w:val="333330"/>
          <w:sz w:val="22"/>
          <w:szCs w:val="22"/>
        </w:rPr>
        <w:t xml:space="preserve">Top-left: Interactive calendar. Dates with pending deadlines are marked. Clicking a date filters the email list below to show only items due that day; clicking again clears the filter.</w:t>
      </w:r>
    </w:p>
    <w:p>
      <w:pPr>
        <w:pStyle w:val="ListParagraph"/>
        <w:numPr>
          <w:ilvl w:val="0"/>
          <w:numId w:val="2"/>
        </w:numPr>
        <w:spacing w:after="40" w:before="40"/>
      </w:pPr>
      <w:r>
        <w:rPr>
          <w:rFonts w:ascii="Arial" w:cs="Arial" w:eastAsia="Arial" w:hAnsi="Arial"/>
          <w:color w:val="333330"/>
          <w:sz w:val="22"/>
          <w:szCs w:val="22"/>
        </w:rPr>
        <w:t xml:space="preserve">Top-right: 3-day deadline notice panel. Lists only confirmed deadlines within the user’s configured panic window, colour-coded by urgency (red &lt; 1 day, amber 1–3 days, green approaching 3 days).</w:t>
      </w:r>
    </w:p>
    <w:p>
      <w:pPr>
        <w:pStyle w:val="ListParagraph"/>
        <w:numPr>
          <w:ilvl w:val="0"/>
          <w:numId w:val="2"/>
        </w:numPr>
        <w:spacing w:after="40" w:before="40"/>
      </w:pPr>
      <w:r>
        <w:rPr>
          <w:rFonts w:ascii="Arial" w:cs="Arial" w:eastAsia="Arial" w:hAnsi="Arial"/>
          <w:color w:val="333330"/>
          <w:sz w:val="22"/>
          <w:szCs w:val="22"/>
        </w:rPr>
        <w:t xml:space="preserve">Below: Folder row with dynamic folder management (see Section 3.6). Email cards display subject, sender, extracted deadline, and a “Mark done +2hp” action.</w:t>
      </w:r>
    </w:p>
    <w:p>
      <w:pPr>
        <w:pStyle w:val="ListParagraph"/>
        <w:numPr>
          <w:ilvl w:val="0"/>
          <w:numId w:val="2"/>
        </w:numPr>
        <w:spacing w:after="40" w:before="40"/>
      </w:pPr>
      <w:r>
        <w:rPr>
          <w:rFonts w:ascii="Arial" w:cs="Arial" w:eastAsia="Arial" w:hAnsi="Arial"/>
          <w:color w:val="333330"/>
          <w:sz w:val="22"/>
          <w:szCs w:val="22"/>
        </w:rPr>
        <w:t xml:space="preserve">Marking an email done removes it from the calendar, adds 2 HP, and moves the card to Tab 3 (Done).</w:t>
      </w:r>
    </w:p>
    <w:p>
      <w:pPr>
        <w:pStyle w:val="ListParagraph"/>
        <w:numPr>
          <w:ilvl w:val="0"/>
          <w:numId w:val="2"/>
        </w:numPr>
        <w:spacing w:after="40" w:before="40"/>
      </w:pPr>
      <w:r>
        <w:rPr>
          <w:rFonts w:ascii="Arial" w:cs="Arial" w:eastAsia="Arial" w:hAnsi="Arial"/>
          <w:color w:val="333330"/>
          <w:sz w:val="22"/>
          <w:szCs w:val="22"/>
        </w:rPr>
        <w:t xml:space="preserve">If a deadline passes without being marked done, the card automatically moves to Tab 4 (Missed) and deducts 3 HP.</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3.2  Tab 2 — Needs Review</w:t>
      </w:r>
    </w:p>
    <w:p>
      <w:pPr>
        <w:spacing w:after="120" w:before="60"/>
      </w:pPr>
      <w:r>
        <w:rPr>
          <w:rFonts w:ascii="Arial" w:cs="Arial" w:eastAsia="Arial" w:hAnsi="Arial"/>
          <w:color w:val="333330"/>
          <w:sz w:val="22"/>
          <w:szCs w:val="22"/>
        </w:rPr>
        <w:t xml:space="preserve">A triage queue for emails the AI could not confidently date. The goal is to keep this tab nearly empty on a typical day.</w:t>
      </w:r>
    </w:p>
    <w:p>
      <w:pPr>
        <w:pStyle w:val="ListParagraph"/>
        <w:numPr>
          <w:ilvl w:val="0"/>
          <w:numId w:val="2"/>
        </w:numPr>
        <w:spacing w:after="40" w:before="40"/>
      </w:pPr>
      <w:r>
        <w:rPr>
          <w:rFonts w:ascii="Arial" w:cs="Arial" w:eastAsia="Arial" w:hAnsi="Arial"/>
          <w:color w:val="333330"/>
          <w:sz w:val="22"/>
          <w:szCs w:val="22"/>
        </w:rPr>
        <w:t xml:space="preserve">Contains only emails flagged for one of three reasons: multiple conflicting dates detected; only a relative date found (e.g. “before tutorial next Friday”); or action words present but no date at all.</w:t>
      </w:r>
    </w:p>
    <w:p>
      <w:pPr>
        <w:pStyle w:val="ListParagraph"/>
        <w:numPr>
          <w:ilvl w:val="0"/>
          <w:numId w:val="2"/>
        </w:numPr>
        <w:spacing w:after="40" w:before="40"/>
      </w:pPr>
      <w:r>
        <w:rPr>
          <w:rFonts w:ascii="Arial" w:cs="Arial" w:eastAsia="Arial" w:hAnsi="Arial"/>
          <w:color w:val="333330"/>
          <w:sz w:val="22"/>
          <w:szCs w:val="22"/>
        </w:rPr>
        <w:t xml:space="preserve">Each card shows the AI’s reasoning (e.g. “3 dates detected: 14 Jun, 21 Jun, 28 Jun”).</w:t>
      </w:r>
    </w:p>
    <w:p>
      <w:pPr>
        <w:pStyle w:val="ListParagraph"/>
        <w:numPr>
          <w:ilvl w:val="0"/>
          <w:numId w:val="2"/>
        </w:numPr>
        <w:spacing w:after="40" w:before="40"/>
      </w:pPr>
      <w:r>
        <w:rPr>
          <w:rFonts w:ascii="Arial" w:cs="Arial" w:eastAsia="Arial" w:hAnsi="Arial"/>
          <w:color w:val="333330"/>
          <w:sz w:val="22"/>
          <w:szCs w:val="22"/>
        </w:rPr>
        <w:t xml:space="preserve">Two actions per card: “Set date” opens a modal where the user can enter the correct deadline (moves to Tab 1) or select “No deadline” (moves to Tab 5). “Mark done” awards +1 HP and moves to Tab 3.</w:t>
      </w:r>
    </w:p>
    <w:p>
      <w:pPr>
        <w:pStyle w:val="ListParagraph"/>
        <w:numPr>
          <w:ilvl w:val="0"/>
          <w:numId w:val="2"/>
        </w:numPr>
        <w:spacing w:after="40" w:before="40"/>
      </w:pPr>
      <w:r>
        <w:rPr>
          <w:rFonts w:ascii="Arial" w:cs="Arial" w:eastAsia="Arial" w:hAnsi="Arial"/>
          <w:color w:val="333330"/>
          <w:sz w:val="22"/>
          <w:szCs w:val="22"/>
        </w:rPr>
        <w:t xml:space="preserve">7-day auto-escalation: any card unreviewe after 7 days auto-moves to Tab 4 (Missed) with a smaller HP penalty of −1, to prevent the tab becoming a graveyard.</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3.3  Tab 3 — Done</w:t>
      </w:r>
    </w:p>
    <w:p>
      <w:pPr>
        <w:spacing w:after="120" w:before="60"/>
      </w:pPr>
      <w:r>
        <w:rPr>
          <w:rFonts w:ascii="Arial" w:cs="Arial" w:eastAsia="Arial" w:hAnsi="Arial"/>
          <w:color w:val="333330"/>
          <w:sz w:val="22"/>
          <w:szCs w:val="22"/>
        </w:rPr>
        <w:t xml:space="preserve">A read-only archive of completed items. Provides a sense of accomplishment and a paper trail. No actions available.</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3.4  Tab 4 — Missed</w:t>
      </w:r>
    </w:p>
    <w:p>
      <w:pPr>
        <w:spacing w:after="120" w:before="60"/>
      </w:pPr>
      <w:r>
        <w:rPr>
          <w:rFonts w:ascii="Arial" w:cs="Arial" w:eastAsia="Arial" w:hAnsi="Arial"/>
          <w:color w:val="333330"/>
          <w:sz w:val="22"/>
          <w:szCs w:val="22"/>
        </w:rPr>
        <w:t xml:space="preserve">Emails whose deadlines passed without a “Mark done” action.</w:t>
      </w:r>
    </w:p>
    <w:p>
      <w:pPr>
        <w:pStyle w:val="ListParagraph"/>
        <w:numPr>
          <w:ilvl w:val="0"/>
          <w:numId w:val="2"/>
        </w:numPr>
        <w:spacing w:after="40" w:before="40"/>
      </w:pPr>
      <w:r>
        <w:rPr>
          <w:rFonts w:ascii="Arial" w:cs="Arial" w:eastAsia="Arial" w:hAnsi="Arial"/>
          <w:color w:val="333330"/>
          <w:sz w:val="22"/>
          <w:szCs w:val="22"/>
        </w:rPr>
        <w:t xml:space="preserve">Includes a fairness escape hatch: “I did this” button moves the card to Done and restores +2 HP, acknowledging that students complete tasks without always marking them.</w:t>
      </w:r>
    </w:p>
    <w:p>
      <w:pPr>
        <w:pStyle w:val="ListParagraph"/>
        <w:numPr>
          <w:ilvl w:val="0"/>
          <w:numId w:val="2"/>
        </w:numPr>
        <w:spacing w:after="40" w:before="40"/>
      </w:pPr>
      <w:r>
        <w:rPr>
          <w:rFonts w:ascii="Arial" w:cs="Arial" w:eastAsia="Arial" w:hAnsi="Arial"/>
          <w:color w:val="333330"/>
          <w:sz w:val="22"/>
          <w:szCs w:val="22"/>
        </w:rPr>
        <w:t xml:space="preserve">Even with “I did this”, the net HP effect is slightly negative (−3 on miss, +2 on recovery = −1 net) to gently incentivise the habit of marking done in time.</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3.5  Inbox Health Bar</w:t>
      </w:r>
    </w:p>
    <w:p>
      <w:pPr>
        <w:spacing w:after="120" w:before="60"/>
      </w:pPr>
      <w:r>
        <w:rPr>
          <w:rFonts w:ascii="Arial" w:cs="Arial" w:eastAsia="Arial" w:hAnsi="Arial"/>
          <w:color w:val="333330"/>
          <w:sz w:val="22"/>
          <w:szCs w:val="22"/>
        </w:rPr>
        <w:t xml:space="preserve">A persistent gamification element displayed at the very top of the app, styled like a video game character health bar.</w:t>
      </w:r>
    </w:p>
    <w:p>
      <w:pPr>
        <w:pStyle w:val="ListParagraph"/>
        <w:numPr>
          <w:ilvl w:val="0"/>
          <w:numId w:val="2"/>
        </w:numPr>
        <w:spacing w:after="40" w:before="40"/>
      </w:pPr>
      <w:r>
        <w:rPr>
          <w:rFonts w:ascii="Arial" w:cs="Arial" w:eastAsia="Arial" w:hAnsi="Arial"/>
          <w:color w:val="333330"/>
          <w:sz w:val="22"/>
          <w:szCs w:val="22"/>
        </w:rPr>
        <w:t xml:space="preserve">Starts at 72/100 for demo purposes; in production, initialised at 100 for new users.</w:t>
      </w:r>
    </w:p>
    <w:p>
      <w:pPr>
        <w:pStyle w:val="ListParagraph"/>
        <w:numPr>
          <w:ilvl w:val="0"/>
          <w:numId w:val="2"/>
        </w:numPr>
        <w:spacing w:after="40" w:before="40"/>
      </w:pPr>
      <w:r>
        <w:rPr>
          <w:rFonts w:ascii="Arial" w:cs="Arial" w:eastAsia="Arial" w:hAnsi="Arial"/>
          <w:color w:val="333330"/>
          <w:sz w:val="22"/>
          <w:szCs w:val="22"/>
        </w:rPr>
        <w:t xml:space="preserve">HP rules: Mark done on time = +2. Mark done in Section 2 without setting date = +1. I did this (late recovery) = +2. Missed deadline = −3. 7-day unreviewed escalation = −1.</w:t>
      </w:r>
    </w:p>
    <w:p>
      <w:pPr>
        <w:pStyle w:val="ListParagraph"/>
        <w:numPr>
          <w:ilvl w:val="0"/>
          <w:numId w:val="2"/>
        </w:numPr>
        <w:spacing w:after="40" w:before="40"/>
      </w:pPr>
      <w:r>
        <w:rPr>
          <w:rFonts w:ascii="Arial" w:cs="Arial" w:eastAsia="Arial" w:hAnsi="Arial"/>
          <w:color w:val="333330"/>
          <w:sz w:val="22"/>
          <w:szCs w:val="22"/>
        </w:rPr>
        <w:t xml:space="preserve">Bar colour shifts: green (≥60), amber (30–59), red (&lt;30). Provides immediate visual feedback on habits.</w:t>
      </w:r>
    </w:p>
    <w:p>
      <w:pPr>
        <w:pStyle w:val="ListParagraph"/>
        <w:numPr>
          <w:ilvl w:val="0"/>
          <w:numId w:val="2"/>
        </w:numPr>
        <w:spacing w:after="40" w:before="40"/>
      </w:pPr>
      <w:r>
        <w:rPr>
          <w:rFonts w:ascii="Arial" w:cs="Arial" w:eastAsia="Arial" w:hAnsi="Arial"/>
          <w:color w:val="333330"/>
          <w:sz w:val="22"/>
          <w:szCs w:val="22"/>
        </w:rPr>
        <w:t xml:space="preserve">Floor of 0 — bar never goes negative.</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3.6  Dynamic Folder System</w:t>
      </w:r>
    </w:p>
    <w:p>
      <w:pPr>
        <w:spacing w:after="120" w:before="60"/>
      </w:pPr>
      <w:r>
        <w:rPr>
          <w:rFonts w:ascii="Arial" w:cs="Arial" w:eastAsia="Arial" w:hAnsi="Arial"/>
          <w:color w:val="333330"/>
          <w:sz w:val="22"/>
          <w:szCs w:val="22"/>
        </w:rPr>
        <w:t xml:space="preserve">Users see only the folders relevant to them, reducing visual clutter.</w:t>
      </w:r>
    </w:p>
    <w:p>
      <w:pPr>
        <w:pStyle w:val="ListParagraph"/>
        <w:numPr>
          <w:ilvl w:val="0"/>
          <w:numId w:val="2"/>
        </w:numPr>
        <w:spacing w:after="40" w:before="40"/>
      </w:pPr>
      <w:r>
        <w:rPr>
          <w:rFonts w:ascii="Arial" w:cs="Arial" w:eastAsia="Arial" w:hAnsi="Arial"/>
          <w:color w:val="333330"/>
          <w:sz w:val="22"/>
          <w:szCs w:val="22"/>
        </w:rPr>
        <w:t xml:space="preserve">Default folders always present: Academics, CCA, Others.</w:t>
      </w:r>
    </w:p>
    <w:p>
      <w:pPr>
        <w:pStyle w:val="ListParagraph"/>
        <w:numPr>
          <w:ilvl w:val="0"/>
          <w:numId w:val="2"/>
        </w:numPr>
        <w:spacing w:after="40" w:before="40"/>
      </w:pPr>
      <w:r>
        <w:rPr>
          <w:rFonts w:ascii="Arial" w:cs="Arial" w:eastAsia="Arial" w:hAnsi="Arial"/>
          <w:color w:val="333330"/>
          <w:sz w:val="22"/>
          <w:szCs w:val="22"/>
        </w:rPr>
        <w:t xml:space="preserve">Optional folders available to add: Internships, Newsletter, Promotions. Added folders appear in the row like an ArrayList; any added folder can be removed with the ✕ button.</w:t>
      </w:r>
    </w:p>
    <w:p>
      <w:pPr>
        <w:pStyle w:val="ListParagraph"/>
        <w:numPr>
          <w:ilvl w:val="0"/>
          <w:numId w:val="2"/>
        </w:numPr>
        <w:spacing w:after="40" w:before="40"/>
      </w:pPr>
      <w:r>
        <w:rPr>
          <w:rFonts w:ascii="Arial" w:cs="Arial" w:eastAsia="Arial" w:hAnsi="Arial"/>
          <w:color w:val="333330"/>
          <w:sz w:val="22"/>
          <w:szCs w:val="22"/>
        </w:rPr>
        <w:t xml:space="preserve">Folder state is independent per tab. A folder added in Tab 1 does not automatically appear in Tab 2.</w:t>
      </w:r>
    </w:p>
    <w:p>
      <w:pPr>
        <w:pStyle w:val="ListParagraph"/>
        <w:numPr>
          <w:ilvl w:val="0"/>
          <w:numId w:val="2"/>
        </w:numPr>
        <w:spacing w:after="40" w:before="40"/>
      </w:pPr>
      <w:r>
        <w:rPr>
          <w:rFonts w:ascii="Arial" w:cs="Arial" w:eastAsia="Arial" w:hAnsi="Arial"/>
          <w:color w:val="333330"/>
          <w:sz w:val="22"/>
          <w:szCs w:val="22"/>
        </w:rPr>
        <w:t xml:space="preserve">Toggling a folder pill on/off shows or hides all emails of that category within the current tab.</w:t>
      </w:r>
    </w:p>
    <w:p>
      <w:pPr>
        <w:pStyle w:val="ListParagraph"/>
        <w:numPr>
          <w:ilvl w:val="0"/>
          <w:numId w:val="2"/>
        </w:numPr>
        <w:spacing w:after="40" w:before="40"/>
      </w:pPr>
      <w:r>
        <w:rPr>
          <w:rFonts w:ascii="Arial" w:cs="Arial" w:eastAsia="Arial" w:hAnsi="Arial"/>
          <w:color w:val="333330"/>
          <w:sz w:val="22"/>
          <w:szCs w:val="22"/>
        </w:rPr>
        <w:t xml:space="preserve">Note: Module-level sub-folders within Academics (e.g. CS2103T, MA1521) are planned for Milestone 3 but excluded from the demo to manage scope.</w:t>
      </w:r>
    </w:p>
    <w:p>
      <w:pPr>
        <w:spacing w:after="120" w:before="0"/>
      </w:pPr>
      <w:r>
        <w:t xml:space="preserve"/>
      </w:r>
    </w:p>
    <w:p>
      <w:pPr>
        <w:pStyle w:val="Heading1"/>
        <w:spacing w:after="120" w:before="320"/>
      </w:pPr>
      <w:r>
        <w:rPr>
          <w:rFonts w:ascii="Arial" w:cs="Arial" w:eastAsia="Arial" w:hAnsi="Arial"/>
          <w:b/>
          <w:bCs/>
          <w:color w:val="1A1A18"/>
          <w:sz w:val="32"/>
          <w:szCs w:val="32"/>
        </w:rPr>
        <w:t xml:space="preserve">4. Development Phases &amp; Core Features</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Pre-Orbital: Artemis Technical Proof of Concept (Mid-Liftoff, ~14 May)</w:t>
      </w:r>
    </w:p>
    <w:p>
      <w:pPr>
        <w:spacing w:after="120" w:before="60"/>
      </w:pPr>
      <w:r>
        <w:rPr>
          <w:rFonts w:ascii="Arial" w:cs="Arial" w:eastAsia="Arial" w:hAnsi="Arial"/>
          <w:color w:val="333330"/>
          <w:sz w:val="22"/>
          <w:szCs w:val="22"/>
        </w:rPr>
        <w:t xml:space="preserve">As required for the Artemis track, the team commits to delivering a fully integrated technical proof of concept by the middle of the Lift-off period. This PoC will successfully execute the OAuth 2.0 flow within a sandbox environment, connecting the React frontend to the FastAPI backend to securely pull and display real-world sample email data.</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Milestone 1: The Pipeline (Ideation — 1 Jun)</w:t>
      </w:r>
    </w:p>
    <w:p>
      <w:pPr>
        <w:spacing w:after="60" w:before="200"/>
      </w:pPr>
      <w:r>
        <w:rPr>
          <w:rFonts w:ascii="Arial" w:cs="Arial" w:eastAsia="Arial" w:hAnsi="Arial"/>
          <w:b/>
          <w:bCs/>
          <w:color w:val="1a1a18"/>
          <w:sz w:val="22"/>
          <w:szCs w:val="22"/>
        </w:rPr>
        <w:t xml:space="preserve">Goal</w:t>
      </w:r>
    </w:p>
    <w:p>
      <w:pPr>
        <w:spacing w:after="120" w:before="60"/>
      </w:pPr>
      <w:r>
        <w:rPr>
          <w:rFonts w:ascii="Arial" w:cs="Arial" w:eastAsia="Arial" w:hAnsi="Arial"/>
          <w:color w:val="333330"/>
          <w:sz w:val="22"/>
          <w:szCs w:val="22"/>
        </w:rPr>
        <w:t xml:space="preserve">Establish a secure data pipeline to prove the tech stack can fetch inbox data.</w:t>
      </w:r>
    </w:p>
    <w:p>
      <w:pPr>
        <w:spacing w:after="60" w:before="200"/>
      </w:pPr>
      <w:r>
        <w:rPr>
          <w:rFonts w:ascii="Arial" w:cs="Arial" w:eastAsia="Arial" w:hAnsi="Arial"/>
          <w:b/>
          <w:bCs/>
          <w:color w:val="1a1a18"/>
          <w:sz w:val="22"/>
          <w:szCs w:val="22"/>
        </w:rPr>
        <w:t xml:space="preserve">Implementation</w:t>
      </w:r>
    </w:p>
    <w:p>
      <w:pPr>
        <w:pStyle w:val="ListParagraph"/>
        <w:numPr>
          <w:ilvl w:val="0"/>
          <w:numId w:val="2"/>
        </w:numPr>
        <w:spacing w:after="40" w:before="40"/>
      </w:pPr>
      <w:r>
        <w:rPr>
          <w:rFonts w:ascii="Arial" w:cs="Arial" w:eastAsia="Arial" w:hAnsi="Arial"/>
          <w:color w:val="333330"/>
          <w:sz w:val="22"/>
          <w:szCs w:val="22"/>
        </w:rPr>
        <w:t xml:space="preserve">Engineer the backend connection using the Microsoft Graph API linked to a dedicated staging account populated with real-world forwarded NUS inbox data.</w:t>
      </w:r>
    </w:p>
    <w:p>
      <w:pPr>
        <w:pStyle w:val="ListParagraph"/>
        <w:numPr>
          <w:ilvl w:val="0"/>
          <w:numId w:val="2"/>
        </w:numPr>
        <w:spacing w:after="40" w:before="40"/>
      </w:pPr>
      <w:r>
        <w:rPr>
          <w:rFonts w:ascii="Arial" w:cs="Arial" w:eastAsia="Arial" w:hAnsi="Arial"/>
          <w:color w:val="333330"/>
          <w:sz w:val="22"/>
          <w:szCs w:val="22"/>
        </w:rPr>
        <w:t xml:space="preserve">This sandbox approach is the intentional final strategy for the judging demo, as live NUS OAuth integration requires IT policy approval outside project scope.</w:t>
      </w:r>
    </w:p>
    <w:p>
      <w:pPr>
        <w:spacing w:after="60" w:before="200"/>
      </w:pPr>
      <w:r>
        <w:rPr>
          <w:rFonts w:ascii="Arial" w:cs="Arial" w:eastAsia="Arial" w:hAnsi="Arial"/>
          <w:b/>
          <w:bCs/>
          <w:color w:val="1a1a18"/>
          <w:sz w:val="22"/>
          <w:szCs w:val="22"/>
        </w:rPr>
        <w:t xml:space="preserve">Deliverable</w:t>
      </w:r>
    </w:p>
    <w:p>
      <w:pPr>
        <w:spacing w:after="120" w:before="60"/>
      </w:pPr>
      <w:r>
        <w:rPr>
          <w:rFonts w:ascii="Arial" w:cs="Arial" w:eastAsia="Arial" w:hAnsi="Arial"/>
          <w:color w:val="333330"/>
          <w:sz w:val="22"/>
          <w:szCs w:val="22"/>
        </w:rPr>
        <w:t xml:space="preserve">A working FastAPI backend that authenticates and fetches raw email data, displayed on a bare-bones React frontend as a simple list.</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Milestone 2: The MVP (Prototyping — 29 Jun)</w:t>
      </w:r>
    </w:p>
    <w:p>
      <w:pPr>
        <w:spacing w:after="60" w:before="200"/>
      </w:pPr>
      <w:r>
        <w:rPr>
          <w:rFonts w:ascii="Arial" w:cs="Arial" w:eastAsia="Arial" w:hAnsi="Arial"/>
          <w:b/>
          <w:bCs/>
          <w:color w:val="1a1a18"/>
          <w:sz w:val="22"/>
          <w:szCs w:val="22"/>
        </w:rPr>
        <w:t xml:space="preserve">Goal</w:t>
      </w:r>
    </w:p>
    <w:p>
      <w:pPr>
        <w:spacing w:after="120" w:before="60"/>
      </w:pPr>
      <w:r>
        <w:rPr>
          <w:rFonts w:ascii="Arial" w:cs="Arial" w:eastAsia="Arial" w:hAnsi="Arial"/>
          <w:color w:val="333330"/>
          <w:sz w:val="22"/>
          <w:szCs w:val="22"/>
        </w:rPr>
        <w:t xml:space="preserve">Transform the raw data list into a user-friendly, five-tab task manager that automatically sorts emails without the user configuring a single rule.</w:t>
      </w:r>
    </w:p>
    <w:p>
      <w:pPr>
        <w:spacing w:after="60" w:before="200"/>
      </w:pPr>
      <w:r>
        <w:rPr>
          <w:rFonts w:ascii="Arial" w:cs="Arial" w:eastAsia="Arial" w:hAnsi="Arial"/>
          <w:b/>
          <w:bCs/>
          <w:color w:val="1a1a18"/>
          <w:sz w:val="22"/>
          <w:szCs w:val="22"/>
        </w:rPr>
        <w:t xml:space="preserve">Implementation</w:t>
      </w:r>
    </w:p>
    <w:p>
      <w:pPr>
        <w:pStyle w:val="ListParagraph"/>
        <w:numPr>
          <w:ilvl w:val="0"/>
          <w:numId w:val="2"/>
        </w:numPr>
        <w:spacing w:after="40" w:before="40"/>
      </w:pPr>
      <w:r>
        <w:rPr>
          <w:rFonts w:ascii="Arial" w:cs="Arial" w:eastAsia="Arial" w:hAnsi="Arial"/>
          <w:b/>
          <w:bCs/>
          <w:color w:val="333330"/>
          <w:sz w:val="22"/>
          <w:szCs w:val="22"/>
        </w:rPr>
        <w:t xml:space="preserve">Categorisation: </w:t>
      </w:r>
      <w:r>
        <w:rPr>
          <w:rFonts w:ascii="Arial" w:cs="Arial" w:eastAsia="Arial" w:hAnsi="Arial"/>
          <w:color w:val="333330"/>
          <w:sz w:val="22"/>
          <w:szCs w:val="22"/>
        </w:rPr>
        <w:t xml:space="preserve">Backend sorting engine: Rule-based classifier using sender address patterns and subject-line keywords as a deliberate baseline. This is acknowledged as a first-pass heuristic; ML classification is introduced in Milestone 3.</w:t>
      </w:r>
    </w:p>
    <w:p>
      <w:pPr>
        <w:pStyle w:val="ListParagraph"/>
        <w:numPr>
          <w:ilvl w:val="0"/>
          <w:numId w:val="2"/>
        </w:numPr>
        <w:spacing w:after="40" w:before="40"/>
      </w:pPr>
      <w:r>
        <w:rPr>
          <w:rFonts w:ascii="Arial" w:cs="Arial" w:eastAsia="Arial" w:hAnsi="Arial"/>
          <w:b/>
          <w:bCs/>
          <w:color w:val="333330"/>
          <w:sz w:val="22"/>
          <w:szCs w:val="22"/>
        </w:rPr>
        <w:t xml:space="preserve">Database: </w:t>
      </w:r>
      <w:r>
        <w:rPr>
          <w:rFonts w:ascii="Arial" w:cs="Arial" w:eastAsia="Arial" w:hAnsi="Arial"/>
          <w:color w:val="333330"/>
          <w:sz w:val="22"/>
          <w:szCs w:val="22"/>
        </w:rPr>
        <w:t xml:space="preserve">PostgreSQL database to track email state (Filtered / Needs Review / Done / Missed / No Deadline) and user HP.</w:t>
      </w:r>
    </w:p>
    <w:p>
      <w:pPr>
        <w:pStyle w:val="ListParagraph"/>
        <w:numPr>
          <w:ilvl w:val="0"/>
          <w:numId w:val="2"/>
        </w:numPr>
        <w:spacing w:after="40" w:before="40"/>
      </w:pPr>
      <w:r>
        <w:rPr>
          <w:rFonts w:ascii="Arial" w:cs="Arial" w:eastAsia="Arial" w:hAnsi="Arial"/>
          <w:b/>
          <w:bCs/>
          <w:color w:val="333330"/>
          <w:sz w:val="22"/>
          <w:szCs w:val="22"/>
        </w:rPr>
        <w:t xml:space="preserve">Frontend: </w:t>
      </w:r>
      <w:r>
        <w:rPr>
          <w:rFonts w:ascii="Arial" w:cs="Arial" w:eastAsia="Arial" w:hAnsi="Arial"/>
          <w:color w:val="333330"/>
          <w:sz w:val="22"/>
          <w:szCs w:val="22"/>
        </w:rPr>
        <w:t xml:space="preserve">Full five-tab React dashboard matching the UI design in Section 3, including dynamic folder management, calendar filter, 3-day panic panel, and Inbox Health bar.</w:t>
      </w:r>
    </w:p>
    <w:p>
      <w:pPr>
        <w:pStyle w:val="ListParagraph"/>
        <w:numPr>
          <w:ilvl w:val="0"/>
          <w:numId w:val="2"/>
        </w:numPr>
        <w:spacing w:after="40" w:before="40"/>
      </w:pPr>
      <w:r>
        <w:rPr>
          <w:rFonts w:ascii="Arial" w:cs="Arial" w:eastAsia="Arial" w:hAnsi="Arial"/>
          <w:b/>
          <w:bCs/>
          <w:color w:val="333330"/>
          <w:sz w:val="22"/>
          <w:szCs w:val="22"/>
        </w:rPr>
        <w:t xml:space="preserve">Email viewer: </w:t>
      </w:r>
      <w:r>
        <w:rPr>
          <w:rFonts w:ascii="Arial" w:cs="Arial" w:eastAsia="Arial" w:hAnsi="Arial"/>
          <w:color w:val="333330"/>
          <w:sz w:val="22"/>
          <w:szCs w:val="22"/>
        </w:rPr>
        <w:t xml:space="preserve">Unaltered email modal: clicking any card opens the original email with full formatting intact, ensuring no visual context is lost.</w:t>
      </w:r>
    </w:p>
    <w:p>
      <w:pPr>
        <w:spacing w:after="60" w:before="200"/>
      </w:pPr>
      <w:r>
        <w:rPr>
          <w:rFonts w:ascii="Arial" w:cs="Arial" w:eastAsia="Arial" w:hAnsi="Arial"/>
          <w:b/>
          <w:bCs/>
          <w:color w:val="1a1a18"/>
          <w:sz w:val="22"/>
          <w:szCs w:val="22"/>
        </w:rPr>
        <w:t xml:space="preserve">Evaluation</w:t>
      </w:r>
    </w:p>
    <w:p>
      <w:pPr>
        <w:spacing w:after="120" w:before="60"/>
      </w:pPr>
      <w:r>
        <w:rPr>
          <w:rFonts w:ascii="Arial" w:cs="Arial" w:eastAsia="Arial" w:hAnsi="Arial"/>
          <w:color w:val="333330"/>
          <w:sz w:val="22"/>
          <w:szCs w:val="22"/>
        </w:rPr>
        <w:t xml:space="preserve">Basic user testing with NUS Year 1 students to validate that the sorting is accurate and the UI reduces rather than adds cognitive load.</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Milestone 3: The Extension (Extension — 27 Jul)</w:t>
      </w:r>
    </w:p>
    <w:p>
      <w:pPr>
        <w:spacing w:after="60" w:before="200"/>
      </w:pPr>
      <w:r>
        <w:rPr>
          <w:rFonts w:ascii="Arial" w:cs="Arial" w:eastAsia="Arial" w:hAnsi="Arial"/>
          <w:b/>
          <w:bCs/>
          <w:color w:val="1a1a18"/>
          <w:sz w:val="22"/>
          <w:szCs w:val="22"/>
        </w:rPr>
        <w:t xml:space="preserve">Goal</w:t>
      </w:r>
    </w:p>
    <w:p>
      <w:pPr>
        <w:spacing w:after="120" w:before="60"/>
      </w:pPr>
      <w:r>
        <w:rPr>
          <w:rFonts w:ascii="Arial" w:cs="Arial" w:eastAsia="Arial" w:hAnsi="Arial"/>
          <w:color w:val="333330"/>
          <w:sz w:val="22"/>
          <w:szCs w:val="22"/>
        </w:rPr>
        <w:t xml:space="preserve">Elevate DueLook from a sorting tool into an intelligent, proactive academic assistant with AI-powered deadline extraction.</w:t>
      </w:r>
    </w:p>
    <w:p>
      <w:pPr>
        <w:spacing w:after="60" w:before="200"/>
      </w:pPr>
      <w:r>
        <w:rPr>
          <w:rFonts w:ascii="Arial" w:cs="Arial" w:eastAsia="Arial" w:hAnsi="Arial"/>
          <w:b/>
          <w:bCs/>
          <w:color w:val="1a1a18"/>
          <w:sz w:val="22"/>
          <w:szCs w:val="22"/>
        </w:rPr>
        <w:t xml:space="preserve">Implementation</w:t>
      </w:r>
    </w:p>
    <w:p>
      <w:pPr>
        <w:pStyle w:val="ListParagraph"/>
        <w:numPr>
          <w:ilvl w:val="0"/>
          <w:numId w:val="2"/>
        </w:numPr>
        <w:spacing w:after="40" w:before="40"/>
      </w:pPr>
      <w:r>
        <w:rPr>
          <w:rFonts w:ascii="Arial" w:cs="Arial" w:eastAsia="Arial" w:hAnsi="Arial"/>
          <w:b/>
          <w:bCs/>
          <w:color w:val="333330"/>
          <w:sz w:val="22"/>
          <w:szCs w:val="22"/>
        </w:rPr>
        <w:t xml:space="preserve">AI deadline extraction: </w:t>
      </w:r>
      <w:r>
        <w:rPr>
          <w:rFonts w:ascii="Arial" w:cs="Arial" w:eastAsia="Arial" w:hAnsi="Arial"/>
          <w:color w:val="333330"/>
          <w:sz w:val="22"/>
          <w:szCs w:val="22"/>
        </w:rPr>
        <w:t xml:space="preserve">Integrate Gemini API as a contextual parser for complex academic emails. The AI extracts exact dates from natural language (e.g. “submit before our tutorial next Friday”). When confidence is low or multiple dates are detected, the email is routed to Needs Review with the AI’s reasoning shown to the user rather than silently guessed.</w:t>
      </w:r>
    </w:p>
    <w:p>
      <w:pPr>
        <w:pStyle w:val="ListParagraph"/>
        <w:numPr>
          <w:ilvl w:val="0"/>
          <w:numId w:val="2"/>
        </w:numPr>
        <w:spacing w:after="40" w:before="40"/>
      </w:pPr>
      <w:r>
        <w:rPr>
          <w:rFonts w:ascii="Arial" w:cs="Arial" w:eastAsia="Arial" w:hAnsi="Arial"/>
          <w:b/>
          <w:bCs/>
          <w:color w:val="333330"/>
          <w:sz w:val="22"/>
          <w:szCs w:val="22"/>
        </w:rPr>
        <w:t xml:space="preserve">Dynamic panic window: </w:t>
      </w:r>
      <w:r>
        <w:rPr>
          <w:rFonts w:ascii="Arial" w:cs="Arial" w:eastAsia="Arial" w:hAnsi="Arial"/>
          <w:color w:val="333330"/>
          <w:sz w:val="22"/>
          <w:szCs w:val="22"/>
        </w:rPr>
        <w:t xml:space="preserve">Configurable panic window: users set their own threshold (default 3 days). The system pins approaching deadlines to the top of Tab 1 and highlights them in the calendar.</w:t>
      </w:r>
    </w:p>
    <w:p>
      <w:pPr>
        <w:pStyle w:val="ListParagraph"/>
        <w:numPr>
          <w:ilvl w:val="0"/>
          <w:numId w:val="2"/>
        </w:numPr>
        <w:spacing w:after="40" w:before="40"/>
      </w:pPr>
      <w:r>
        <w:rPr>
          <w:rFonts w:ascii="Arial" w:cs="Arial" w:eastAsia="Arial" w:hAnsi="Arial"/>
          <w:b/>
          <w:bCs/>
          <w:color w:val="333330"/>
          <w:sz w:val="22"/>
          <w:szCs w:val="22"/>
        </w:rPr>
        <w:t xml:space="preserve">Calendar &amp; modules: </w:t>
      </w:r>
      <w:r>
        <w:rPr>
          <w:rFonts w:ascii="Arial" w:cs="Arial" w:eastAsia="Arial" w:hAnsi="Arial"/>
          <w:color w:val="333330"/>
          <w:sz w:val="22"/>
          <w:szCs w:val="22"/>
        </w:rPr>
        <w:t xml:space="preserve">Calendar sync: extracted deadlines sync to the built-in calendar view. Module-level sub-folders within Academics are introduced in this milestone.</w:t>
      </w:r>
    </w:p>
    <w:p>
      <w:pPr>
        <w:pStyle w:val="ListParagraph"/>
        <w:numPr>
          <w:ilvl w:val="0"/>
          <w:numId w:val="2"/>
        </w:numPr>
        <w:spacing w:after="40" w:before="40"/>
      </w:pPr>
      <w:r>
        <w:rPr>
          <w:rFonts w:ascii="Arial" w:cs="Arial" w:eastAsia="Arial" w:hAnsi="Arial"/>
          <w:b/>
          <w:bCs/>
          <w:color w:val="333330"/>
          <w:sz w:val="22"/>
          <w:szCs w:val="22"/>
        </w:rPr>
        <w:t xml:space="preserve">Settings: </w:t>
      </w:r>
      <w:r>
        <w:rPr>
          <w:rFonts w:ascii="Arial" w:cs="Arial" w:eastAsia="Arial" w:hAnsi="Arial"/>
          <w:color w:val="333330"/>
          <w:sz w:val="22"/>
          <w:szCs w:val="22"/>
        </w:rPr>
        <w:t xml:space="preserve">User-configured panic window persisted to the database.</w:t>
      </w:r>
    </w:p>
    <w:p>
      <w:pPr>
        <w:spacing w:after="120" w:before="0"/>
      </w:pPr>
      <w:r>
        <w:t xml:space="preserve"/>
      </w:r>
    </w:p>
    <w:p>
      <w:pPr>
        <w:pStyle w:val="Heading2"/>
        <w:spacing w:after="80" w:before="240"/>
      </w:pPr>
      <w:r>
        <w:rPr>
          <w:rFonts w:ascii="Arial" w:cs="Arial" w:eastAsia="Arial" w:hAnsi="Arial"/>
          <w:b/>
          <w:bCs/>
          <w:color w:val="0F6E56"/>
          <w:sz w:val="26"/>
          <w:szCs w:val="26"/>
        </w:rPr>
        <w:t xml:space="preserve">Splashdown (Refinement — 26 Aug)</w:t>
      </w:r>
    </w:p>
    <w:p>
      <w:pPr>
        <w:spacing w:after="120" w:before="60"/>
      </w:pPr>
      <w:r>
        <w:rPr>
          <w:rFonts w:ascii="Arial" w:cs="Arial" w:eastAsia="Arial" w:hAnsi="Arial"/>
          <w:color w:val="333330"/>
          <w:sz w:val="22"/>
          <w:szCs w:val="22"/>
        </w:rPr>
        <w:t xml:space="preserve">Final bug fixing, performance tuning, polish, and preparation for the physical poster session and exhibition.</w:t>
      </w:r>
    </w:p>
    <w:p>
      <w:pPr>
        <w:spacing w:after="120" w:before="0"/>
      </w:pPr>
      <w:r>
        <w:t xml:space="preserve"/>
      </w:r>
    </w:p>
    <w:p>
      <w:pPr>
        <w:pStyle w:val="Heading1"/>
        <w:spacing w:after="120" w:before="320"/>
      </w:pPr>
      <w:r>
        <w:rPr>
          <w:rFonts w:ascii="Arial" w:cs="Arial" w:eastAsia="Arial" w:hAnsi="Arial"/>
          <w:b/>
          <w:bCs/>
          <w:color w:val="1A1A18"/>
          <w:sz w:val="32"/>
          <w:szCs w:val="32"/>
        </w:rPr>
        <w:t xml:space="preserve">5. Privacy &amp;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12"/>
              <w:left w:val="none" w:color="FFFFFF" w:sz="0"/>
              <w:bottom w:val="none" w:color="FFFFFF" w:sz="0"/>
              <w:right w:val="none" w:color="FFFFFF" w:sz="0"/>
            </w:tcBorders>
            <w:shd w:fill="F7F6F2" w:val="clear"/>
            <w:tcMar>
              <w:top w:type="dxa" w:w="120"/>
              <w:left w:type="dxa" w:w="200"/>
              <w:bottom w:type="dxa" w:w="120"/>
              <w:right w:type="dxa" w:w="200"/>
            </w:tcMar>
          </w:tcPr>
          <w:p>
            <w:pPr>
              <w:spacing w:after="40" w:before="0"/>
            </w:pPr>
            <w:r>
              <w:rPr>
                <w:rFonts w:ascii="Arial" w:cs="Arial" w:eastAsia="Arial" w:hAnsi="Arial"/>
                <w:b/>
                <w:bCs/>
                <w:color w:val="D85A30"/>
                <w:sz w:val="20"/>
                <w:szCs w:val="20"/>
              </w:rPr>
              <w:t xml:space="preserve">Important</w:t>
            </w:r>
          </w:p>
          <w:p>
            <w:pPr>
              <w:spacing w:after="0" w:before="0"/>
            </w:pPr>
            <w:r>
              <w:rPr>
                <w:rFonts w:ascii="Arial" w:cs="Arial" w:eastAsia="Arial" w:hAnsi="Arial"/>
                <w:i/>
                <w:iCs/>
                <w:color w:val="444440"/>
                <w:sz w:val="20"/>
                <w:szCs w:val="20"/>
              </w:rPr>
              <w:t xml:space="preserve">DueLook reads email content only to extract metadata (subject, sender, date). Raw email bodies are never stored permanently. OAuth access tokens are stored in encrypted server-side sessions and never exposed to the client. The staging demo account contains only emails that have been explicitly forwarded with consent.</w:t>
            </w:r>
          </w:p>
        </w:tc>
      </w:tr>
    </w:tbl>
    <w:p>
      <w:pPr>
        <w:spacing w:after="120" w:before="0"/>
      </w:pPr>
      <w:r>
        <w:t xml:space="preserve"/>
      </w:r>
    </w:p>
    <w:p>
      <w:pPr>
        <w:pStyle w:val="ListParagraph"/>
        <w:numPr>
          <w:ilvl w:val="0"/>
          <w:numId w:val="2"/>
        </w:numPr>
        <w:spacing w:after="40" w:before="40"/>
      </w:pPr>
      <w:r>
        <w:rPr>
          <w:rFonts w:ascii="Arial" w:cs="Arial" w:eastAsia="Arial" w:hAnsi="Arial"/>
          <w:color w:val="333330"/>
          <w:sz w:val="22"/>
          <w:szCs w:val="22"/>
        </w:rPr>
        <w:t xml:space="preserve">No email content is retained beyond the active session in the Milestone 1–2 demo.</w:t>
      </w:r>
    </w:p>
    <w:p>
      <w:pPr>
        <w:pStyle w:val="ListParagraph"/>
        <w:numPr>
          <w:ilvl w:val="0"/>
          <w:numId w:val="2"/>
        </w:numPr>
        <w:spacing w:after="40" w:before="40"/>
      </w:pPr>
      <w:r>
        <w:rPr>
          <w:rFonts w:ascii="Arial" w:cs="Arial" w:eastAsia="Arial" w:hAnsi="Arial"/>
          <w:color w:val="333330"/>
          <w:sz w:val="22"/>
          <w:szCs w:val="22"/>
        </w:rPr>
        <w:t xml:space="preserve">The production architecture (Milestone 3) will store only extracted deadline metadata and user HP state, not raw email text.</w:t>
      </w:r>
    </w:p>
    <w:p>
      <w:pPr>
        <w:pStyle w:val="ListParagraph"/>
        <w:numPr>
          <w:ilvl w:val="0"/>
          <w:numId w:val="2"/>
        </w:numPr>
        <w:spacing w:after="40" w:before="40"/>
      </w:pPr>
      <w:r>
        <w:rPr>
          <w:rFonts w:ascii="Arial" w:cs="Arial" w:eastAsia="Arial" w:hAnsi="Arial"/>
          <w:color w:val="333330"/>
          <w:sz w:val="22"/>
          <w:szCs w:val="22"/>
        </w:rPr>
        <w:t xml:space="preserve">Users can revoke OAuth access at any time from their Microsoft account settings, which immediately invalidates the stored token.</w:t>
      </w:r>
    </w:p>
    <w:p>
      <w:pPr>
        <w:spacing w:after="120" w:before="0"/>
      </w:pPr>
      <w:r>
        <w:t xml:space="preserve"/>
      </w:r>
    </w:p>
    <w:p>
      <w:pPr>
        <w:pStyle w:val="Heading1"/>
        <w:spacing w:after="120" w:before="320"/>
      </w:pPr>
      <w:r>
        <w:rPr>
          <w:rFonts w:ascii="Arial" w:cs="Arial" w:eastAsia="Arial" w:hAnsi="Arial"/>
          <w:b/>
          <w:bCs/>
          <w:color w:val="1A1A18"/>
          <w:sz w:val="32"/>
          <w:szCs w:val="32"/>
        </w:rPr>
        <w:t xml:space="preserve">6. Tech Stack &amp; Software Engineering Practices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Layer</w:t>
            </w:r>
          </w:p>
        </w:tc>
        <w:tc>
          <w:tcPr>
            <w:tcW w:type="dxa" w:w="716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Technology &amp; rationale</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333330"/>
                <w:sz w:val="20"/>
                <w:szCs w:val="20"/>
              </w:rPr>
              <w:t xml:space="preserve">Frontend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React.js (Vercel) — component-based UI maps cleanly to the five-tab state machine. Deployed to Vercel for zero-config hosting.</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333330"/>
                <w:sz w:val="20"/>
                <w:szCs w:val="20"/>
              </w:rPr>
              <w:t xml:space="preserve">Backend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Python / FastAPI (Render) — async-first, ideal for non-blocking Graph API calls. Pydantic models enforce data contracts.</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333330"/>
                <w:sz w:val="20"/>
                <w:szCs w:val="20"/>
              </w:rPr>
              <w:t xml:space="preserve">Database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SQLite (dev) → PostgreSQL (production) — tracks email state and user HP. Explicit migration path avoids the dev/prod schema drift.</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333330"/>
                <w:sz w:val="20"/>
                <w:szCs w:val="20"/>
              </w:rPr>
              <w:t xml:space="preserve">Auth</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Microsoft Graph API with OAuth 2.0 — secure token management within staging environment. Refresh token rotation handled server-side.</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333330"/>
                <w:sz w:val="20"/>
                <w:szCs w:val="20"/>
              </w:rPr>
              <w:t xml:space="preserve">AI parsing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Gemini API (Milestone 3) — used only for contextual date extraction on flagged emails, not bulk classification. Responses include a confidence score used to route to Needs Review.</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333330"/>
                <w:sz w:val="20"/>
                <w:szCs w:val="20"/>
              </w:rPr>
              <w:t xml:space="preserve">Testing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Pytest (backend logic), Jest (frontend components), structured user testing with NUS Year 1 students.</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333330"/>
                <w:sz w:val="20"/>
                <w:szCs w:val="20"/>
              </w:rPr>
              <w:t xml:space="preserve">CI/CD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Git branching strategy (Feature / Dev / Main) with GitHub Actions automating test pipelines on every pull request.</w:t>
            </w:r>
          </w:p>
        </w:tc>
      </w:tr>
    </w:tbl>
    <w:p>
      <w:pPr>
        <w:spacing w:after="120" w:before="0"/>
      </w:pPr>
      <w:r>
        <w:t xml:space="preserve"/>
      </w:r>
    </w:p>
    <w:p>
      <w:pPr>
        <w:pStyle w:val="Heading1"/>
        <w:spacing w:after="120" w:before="320"/>
      </w:pPr>
      <w:r>
        <w:rPr>
          <w:rFonts w:ascii="Arial" w:cs="Arial" w:eastAsia="Arial" w:hAnsi="Arial"/>
          <w:b/>
          <w:bCs/>
          <w:color w:val="1A1A18"/>
          <w:sz w:val="32"/>
          <w:szCs w:val="32"/>
        </w:rPr>
        <w:t xml:space="preserve">7. Expected Workload</w:t>
      </w:r>
    </w:p>
    <w:p>
      <w:pPr>
        <w:spacing w:after="120" w:before="60"/>
      </w:pPr>
      <w:r>
        <w:rPr>
          <w:rFonts w:ascii="Arial" w:cs="Arial" w:eastAsia="Arial" w:hAnsi="Arial"/>
          <w:color w:val="333330"/>
          <w:sz w:val="22"/>
          <w:szCs w:val="22"/>
        </w:rPr>
        <w:t xml:space="preserve">~140 hours per student across the full Orbital timeline, consistent with Artemis track requirements. Key learning investments: React fundamentals, OAuth 2.0 + Microsoft Graph API, FastAPI async patterns, PostgreSQL schema design, and Gemini API prompt engineering.</w:t>
      </w:r>
    </w:p>
    <w:p>
      <w:pPr>
        <w:spacing w:after="120" w:before="0"/>
      </w:pPr>
      <w:r>
        <w:t xml:space="preserve"/>
      </w:r>
    </w:p>
    <w:p>
      <w:pPr>
        <w:pStyle w:val="Heading1"/>
        <w:spacing w:after="120" w:before="320"/>
      </w:pPr>
      <w:r>
        <w:rPr>
          <w:rFonts w:ascii="Arial" w:cs="Arial" w:eastAsia="Arial" w:hAnsi="Arial"/>
          <w:b/>
          <w:bCs/>
          <w:color w:val="1A1A18"/>
          <w:sz w:val="32"/>
          <w:szCs w:val="32"/>
        </w:rPr>
        <w:t xml:space="preserve">8. Risk Register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Risk</w:t>
            </w:r>
          </w:p>
        </w:tc>
        <w:tc>
          <w:tcPr>
            <w:tcW w:type="dxa" w:w="36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Impact</w:t>
            </w:r>
          </w:p>
        </w:tc>
        <w:tc>
          <w:tcPr>
            <w:tcW w:type="dxa" w:w="316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Mitigation</w:t>
            </w:r>
          </w:p>
        </w:tc>
      </w:tr>
      <w:tr>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0"/>
                <w:sz w:val="20"/>
                <w:szCs w:val="20"/>
              </w:rPr>
              <w:t xml:space="preserve">IT policy blocks Graph API</w:t>
            </w:r>
          </w:p>
        </w:tc>
        <w:tc>
          <w:tcPr>
            <w:tcW w:type="dxa" w:w="3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Cannot access live NUS inbox</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Sandbox staging account as primary demo strategy — explicitly scoped in proposal</w:t>
            </w:r>
          </w:p>
        </w:tc>
      </w:tr>
      <w:tr>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0"/>
                <w:sz w:val="20"/>
                <w:szCs w:val="20"/>
              </w:rPr>
              <w:t xml:space="preserve">AI date extraction errors</w:t>
            </w:r>
          </w:p>
        </w:tc>
        <w:tc>
          <w:tcPr>
            <w:tcW w:type="dxa" w:w="3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Wrong deadline shown to user, missed assignment</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Needs Review tab surfaces uncertain items; user confirms before moving to Tab 1</w:t>
            </w:r>
          </w:p>
        </w:tc>
      </w:tr>
      <w:tr>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0"/>
                <w:sz w:val="20"/>
                <w:szCs w:val="20"/>
              </w:rPr>
              <w:t xml:space="preserve">Needs Review tab overflows</w:t>
            </w:r>
          </w:p>
        </w:tc>
        <w:tc>
          <w:tcPr>
            <w:tcW w:type="dxa" w:w="3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Recreates inbox overwhelm problem</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AI trained to route no-deadline emails directly to Tab 5; Needs Review target &lt;10% of total</w:t>
            </w:r>
          </w:p>
        </w:tc>
      </w:tr>
      <w:tr>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0"/>
                <w:sz w:val="20"/>
                <w:szCs w:val="20"/>
              </w:rPr>
              <w:t xml:space="preserve">OAuth token management complexity</w:t>
            </w:r>
          </w:p>
        </w:tc>
        <w:tc>
          <w:tcPr>
            <w:tcW w:type="dxa" w:w="3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Auth bugs block all features</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Server-side session storage; refresh token rotation; staged integration starting Milestone 1</w:t>
            </w:r>
          </w:p>
        </w:tc>
      </w:tr>
      <w:tr>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0"/>
                <w:sz w:val="20"/>
                <w:szCs w:val="20"/>
              </w:rPr>
              <w:t xml:space="preserve">Scope creep (Kanban, multiple views)</w:t>
            </w:r>
          </w:p>
        </w:tc>
        <w:tc>
          <w:tcPr>
            <w:tcW w:type="dxa" w:w="3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Features ship half-baked</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0"/>
                <w:sz w:val="20"/>
                <w:szCs w:val="20"/>
              </w:rPr>
              <w:t xml:space="preserve">Cut Kanban in favour of calendar-only; module sub-folders deferred to Milestone 3</w:t>
            </w:r>
          </w:p>
        </w:tc>
      </w:tr>
    </w:tbl>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2026-03-14T07:49:01.601Z</dcterms:created>
  <dcterms:modified xsi:type="dcterms:W3CDTF">2026-03-14T07:49:01.602Z</dcterms:modified>
</cp:coreProperties>
</file>

<file path=docProps/custom.xml><?xml version="1.0" encoding="utf-8"?>
<Properties xmlns="http://schemas.openxmlformats.org/officeDocument/2006/custom-properties" xmlns:vt="http://schemas.openxmlformats.org/officeDocument/2006/docPropsVTypes"/>
</file>