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oogleSans-bold.ttf" ContentType="application/x-font-ttf"/>
  <Override PartName="/word/fonts/GoogleSans-boldItalic.ttf" ContentType="application/x-font-ttf"/>
  <Override PartName="/word/fonts/GoogleSans-italic.ttf" ContentType="application/x-font-ttf"/>
  <Override PartName="/word/fonts/Google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车辆违规处罚通知单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单号： {{单号}}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签发日期： {{签发日期}}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一、 违规车辆信息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车牌号码： {{车牌号码}} 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违规时间： {{违规时间}}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当班司机： 该车当班驾驶员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>
        <w:t>二、 违规事实 经车载监控及平台视频巡查核实，该车随车照管员在上述时间段的运营过程中， 存在使用手机等电子设备的行为（详见视频监控截图） 。该行为分散照管员注意力，影响学生看护。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>
        <w:t>三、 处罚依据及决定 鉴于随车照管员在行车过程中使用手机，直接影响其对学生的看护职责履行，该车的违规行为已给公司的安全运营资质带来通报及停运风险。为严肃安全纪律，经研究决定，作出如下处罚：经济处罚： 处以违规罚款人民币 200 元。通报批评： 在全体管理群内予以通报，并记录在案。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四、 罚款缴纳方式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请该车相关负责人于收到本通知单起 3个工作日内 ，将上述罚款汇入以下公司指定处理账户，转账请务必备注“{{车牌号码}}罚款”：开户银行： 中国邮政储蓄银行 收 款 人： 刘爱群 银行卡号： 6217 9958 0055 1229 32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>
        <w:t>五、 申诉与要求 如对本次处罚有异议，请在接到本通知起 24 小时内，携带行车记录仪视频或相关证据向安全管理部提出申诉。再次重申： 随车照管员在行车过程中应专注学生看护，严禁使用手机等电子设备；一经发现，一律按违规从严处理，由此引发的市局扣分、罚款及停运损失，将由违规车辆方全额承担。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签发部门： 校车安全运营管理部 签发人： _________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