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车辆违规处罚通知单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单号： {{单号}}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签发日期： {{签发日期}}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一、 违规车辆信息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车牌号码： {{车牌号码}}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违规时间： {{违规时间}}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当班司机： 该车当班驾驶员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二、 违规事实 经车载监控及平台视频巡查核实，该车在上述时间段的运营过程中， 车辆起步或行驶过程中车门未完全关闭（详见视频监控截图） 。该行为存在学生跌落等严重安全隐患。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三、 处罚依据及决定 鉴于未关车门行为对学生人身安全构成直接威胁，且严重违反校车安全管理规定，该车的违规行为已给公司的安全运营资质带来通报及停运风险。为严肃安全纪律，经研究决定，作出如下处罚：经济处罚： 处以违规罚款人民币 200 元。通报批评： 在全体管理群内予以通报，并记录在案。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四、 罚款缴纳方式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请该车相关负责人于收到本通知单起 3个工作日内 ，将上述罚款汇入以下公司指定处理账户，转账请务必备注“{{车牌号码}}罚款”：开户银行： 中国邮政储蓄银行 收 款 人： 刘爱群 银行卡号： 6217 9958 0055 1229 32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>
        <w:t>五、 申诉与要求 如对本次处罚有异议，请在接到本通知起 24 小时内，携带行车记录仪视频或相关证据向安全管理部提出申诉。再次重申： 驾驶员及照管员必须在确认车门完全关闭后方可起步，行驶过程中严禁车门未关；一经发现，一律按违规从严处理，由此引发的市局扣分、罚款及停运损失，将由违规车辆方全额承担。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签发部门： 校车安全运营管理部 签发人： _________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