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429AA" w14:textId="3E4CDDBF" w:rsidR="004C75A8" w:rsidRPr="004C75A8" w:rsidRDefault="004C75A8" w:rsidP="004C75A8">
      <w:pPr>
        <w:spacing w:line="480" w:lineRule="auto"/>
        <w:rPr>
          <w:b/>
          <w:bCs/>
        </w:rPr>
      </w:pPr>
      <w:r>
        <w:rPr>
          <w:b/>
          <w:bCs/>
        </w:rPr>
        <w:t>Summary</w:t>
      </w:r>
    </w:p>
    <w:p w14:paraId="061E0758" w14:textId="4D619007" w:rsidR="00AE13B8" w:rsidRDefault="00AE13B8" w:rsidP="00E1697D">
      <w:pPr>
        <w:spacing w:line="480" w:lineRule="auto"/>
        <w:ind w:firstLine="567"/>
      </w:pPr>
      <w:r>
        <w:t>We created three synthetic ‘pseudoproxies’ (Sr/Ca, δ</w:t>
      </w:r>
      <w:r>
        <w:rPr>
          <w:vertAlign w:val="superscript"/>
        </w:rPr>
        <w:t>18</w:t>
      </w:r>
      <w:r>
        <w:t>O, δ</w:t>
      </w:r>
      <w:r>
        <w:rPr>
          <w:vertAlign w:val="superscript"/>
        </w:rPr>
        <w:t>11</w:t>
      </w:r>
      <w:r>
        <w:t xml:space="preserve">B) with various amounts of environmental information encoded into each, based on their theoretical dependence on </w:t>
      </w:r>
      <w:r w:rsidR="002228CF">
        <w:t>sea surface temperature (SST)</w:t>
      </w:r>
      <w:r>
        <w:t xml:space="preserve">, </w:t>
      </w:r>
      <w:r w:rsidR="002228CF">
        <w:t xml:space="preserve">sea surface salinity (SSS) </w:t>
      </w:r>
      <w:r>
        <w:t>and</w:t>
      </w:r>
      <w:r w:rsidR="00E1697D">
        <w:t xml:space="preserve"> seawater pH</w:t>
      </w:r>
      <w:r w:rsidR="002228CF">
        <w:t xml:space="preserve"> (</w:t>
      </w:r>
      <w:proofErr w:type="spellStart"/>
      <w:r w:rsidR="002228CF">
        <w:t>pH</w:t>
      </w:r>
      <w:r w:rsidR="002228CF">
        <w:rPr>
          <w:vertAlign w:val="subscript"/>
        </w:rPr>
        <w:t>sw</w:t>
      </w:r>
      <w:proofErr w:type="spellEnd"/>
      <w:r w:rsidR="002228CF">
        <w:t>)</w:t>
      </w:r>
      <w:r w:rsidR="00E1697D">
        <w:t xml:space="preserve">. </w:t>
      </w:r>
      <w:r>
        <w:t xml:space="preserve">The means by which we calculated our three synthetic pseudoproxies are highly idealized, meaning that each pseudoproxy has a near-perfect relationship with its corresponding </w:t>
      </w:r>
      <w:r w:rsidR="008C38B1">
        <w:t>climate target(s)</w:t>
      </w:r>
      <w:r>
        <w:t xml:space="preserve">. </w:t>
      </w:r>
      <w:r w:rsidRPr="00E1697D">
        <w:t xml:space="preserve">However, the uncertainty in each proxy ~ </w:t>
      </w:r>
      <w:r w:rsidR="00E1697D" w:rsidRPr="00E1697D">
        <w:t>climate target</w:t>
      </w:r>
      <w:r w:rsidRPr="00E1697D">
        <w:t xml:space="preserve"> relationship is considered in our experimental design, which examines how uncertainty in SST </w:t>
      </w:r>
      <w:r w:rsidR="00E1697D" w:rsidRPr="00E1697D">
        <w:t xml:space="preserve">and pH </w:t>
      </w:r>
      <w:r w:rsidRPr="00E1697D">
        <w:t>estimates increases as the degree of Gaussian and autocorrelated noise increases. The magnitude of Gaussian noise and the degree of autocorrelation considered in our experiment is well beyond that which is typically observed in coral-based paleoclimate studie</w:t>
      </w:r>
      <w:r w:rsidR="00E1697D" w:rsidRPr="00E1697D">
        <w:t>s</w:t>
      </w:r>
      <w:r w:rsidRPr="00E1697D">
        <w:t xml:space="preserve">. We expect therefore that all sources of uncertainty, and their subsequent impacts on SST </w:t>
      </w:r>
      <w:r w:rsidR="0048554C">
        <w:t xml:space="preserve">and pH </w:t>
      </w:r>
      <w:r w:rsidRPr="00E1697D">
        <w:t>estimates, are accounted for. The minimum uncertainty for each synthetic pseudoproxy was taken from the literature as analytical uncertainty. For synthetic Sr/Ca values, this was taken to be 0.009 mmol/mol</w:t>
      </w:r>
      <w:r w:rsidR="00E1697D">
        <w:t xml:space="preserve">, or approximately 0.1% RSD </w:t>
      </w:r>
      <w:r w:rsidR="009D11A8">
        <w:fldChar w:fldCharType="begin"/>
      </w:r>
      <w:r w:rsidR="009D11A8">
        <w:instrText xml:space="preserve"> ADDIN EN.CITE &lt;EndNote&gt;&lt;Cite&gt;&lt;Author&gt;Schrag&lt;/Author&gt;&lt;Year&gt;1999&lt;/Year&gt;&lt;RecNum&gt;746&lt;/RecNum&gt;&lt;DisplayText&gt;(Schrag, 1999)&lt;/DisplayText&gt;&lt;record&gt;&lt;rec-number&gt;746&lt;/rec-number&gt;&lt;foreign-keys&gt;&lt;key app="EN" db-id="ap92v52v3as9vrederpxe2wov25et2dfssd9" timestamp="1621</w:instrText>
      </w:r>
      <w:r w:rsidR="009D11A8">
        <w:rPr>
          <w:rFonts w:hint="eastAsia"/>
        </w:rPr>
        <w:instrText>430228"&gt;746&lt;/key&gt;&lt;/foreign-keys&gt;&lt;ref-type name="Journal Article"&gt;17&lt;/ref-type&gt;&lt;contributors&gt;&lt;authors&gt;&lt;author&gt;Schrag, Daniel P&lt;/author&gt;&lt;/authors&gt;&lt;/contributors&gt;&lt;titles&gt;&lt;title&gt;Rapid analysis of high</w:instrText>
      </w:r>
      <w:r w:rsidR="009D11A8">
        <w:rPr>
          <w:rFonts w:hint="eastAsia"/>
        </w:rPr>
        <w:instrText>‐</w:instrText>
      </w:r>
      <w:r w:rsidR="009D11A8">
        <w:rPr>
          <w:rFonts w:hint="eastAsia"/>
        </w:rPr>
        <w:instrText>precision Sr/Ca ratios in corals and other marine carbonat</w:instrText>
      </w:r>
      <w:r w:rsidR="009D11A8">
        <w:instrText>es&lt;/title&gt;&lt;secondary-title&gt;Paleoceanography&lt;/secondary-title&gt;&lt;/titles&gt;&lt;periodical&gt;&lt;full-title&gt;Paleoceanography&lt;/full-title&gt;&lt;/periodical&gt;&lt;pages&gt;97-102&lt;/pages&gt;&lt;volume&gt;14&lt;/volume&gt;&lt;dates&gt;&lt;year&gt;1999&lt;/year&gt;&lt;/dates&gt;&lt;publisher&gt;Wiley Online Library&lt;/publisher&gt;&lt;urls&gt;&lt;related-urls&gt;&lt;url&gt;https://agupubs.onlinelibrary.wiley.com/doi/pdfdirect/10.1029/1998PA900025?download=true&lt;/url&gt;&lt;/related-urls&gt;&lt;/urls&gt;&lt;electronic-resource-num&gt;10.1029/1998PA900025&lt;/electronic-resource-num&gt;&lt;/record&gt;&lt;/Cite&gt;&lt;/EndNote&gt;</w:instrText>
      </w:r>
      <w:r w:rsidR="009D11A8">
        <w:fldChar w:fldCharType="separate"/>
      </w:r>
      <w:r w:rsidR="009D11A8">
        <w:rPr>
          <w:noProof/>
        </w:rPr>
        <w:t>(Schrag, 1999)</w:t>
      </w:r>
      <w:r w:rsidR="009D11A8">
        <w:fldChar w:fldCharType="end"/>
      </w:r>
      <w:r w:rsidRPr="00E1697D">
        <w:t>. For synthetic δ</w:t>
      </w:r>
      <w:r w:rsidRPr="00E1697D">
        <w:rPr>
          <w:vertAlign w:val="superscript"/>
        </w:rPr>
        <w:t>18</w:t>
      </w:r>
      <w:r w:rsidRPr="00E1697D">
        <w:t xml:space="preserve">O values, we used an analytical uncertainty of 0.1‰ </w:t>
      </w:r>
      <w:r w:rsidR="009D11A8">
        <w:fldChar w:fldCharType="begin"/>
      </w:r>
      <w:r w:rsidR="009D11A8">
        <w:instrText xml:space="preserve"> ADDIN EN.CITE &lt;EndNote&gt;&lt;Cite&gt;&lt;Author&gt;Epstein&lt;/Author&gt;&lt;Year&gt;1953&lt;/Year&gt;&lt;RecNum&gt;2042&lt;/RecNum&gt;&lt;DisplayText&gt;(Epstein &amp;amp; Mayeda, 1953)&lt;/DisplayText&gt;&lt;record&gt;&lt;rec-number&gt;2042&lt;/rec-number&gt;&lt;foreign-keys&gt;&lt;key app="EN" db-id="ap92v52v3as9vrederpxe2wov25et2dfssd9" timestamp="1679409516"&gt;2042&lt;/key&gt;&lt;/foreign-keys&gt;&lt;ref-type name="Journal Article"&gt;17&lt;/ref-type&gt;&lt;contributors&gt;&lt;authors&gt;&lt;author&gt;Epstein, S.&lt;/author&gt;&lt;author&gt;Mayeda, T.&lt;/author&gt;&lt;/authors&gt;&lt;/contributors&gt;&lt;titles&gt;&lt;title&gt;Variation of O18 content of waters from natural sources&lt;/title&gt;&lt;secondary-title&gt;Geochim. Cosmochim. Acta&lt;/secondary-title&gt;&lt;/titles&gt;&lt;periodical&gt;&lt;full-title&gt;Geochim. Cosmochim. Acta&lt;/full-title&gt;&lt;/periodical&gt;&lt;pages&gt;213-224&lt;/pages&gt;&lt;volume&gt;4&lt;/volume&gt;&lt;number&gt;5&lt;/number&gt;&lt;dates&gt;&lt;year&gt;1953&lt;/year&gt;&lt;pub-dates&gt;&lt;date&gt;1953/11/01/&lt;/date&gt;&lt;/pub-dates&gt;&lt;/dates&gt;&lt;isbn&gt;0016-7037&lt;/isbn&gt;&lt;urls&gt;&lt;related-urls&gt;&lt;url&gt;https://www.sciencedirect.com/science/article/pii/0016703753900519&lt;/url&gt;&lt;/related-urls&gt;&lt;/urls&gt;&lt;electronic-resource-num&gt;10.1016/0016-7037(53)90051-9&lt;/electronic-resource-num&gt;&lt;/record&gt;&lt;/Cite&gt;&lt;/EndNote&gt;</w:instrText>
      </w:r>
      <w:r w:rsidR="009D11A8">
        <w:fldChar w:fldCharType="separate"/>
      </w:r>
      <w:r w:rsidR="009D11A8">
        <w:rPr>
          <w:noProof/>
        </w:rPr>
        <w:t>(Epstein &amp; Mayeda, 1953)</w:t>
      </w:r>
      <w:r w:rsidR="009D11A8">
        <w:fldChar w:fldCharType="end"/>
      </w:r>
      <w:r w:rsidRPr="00E1697D">
        <w:t>. For synthetic δ</w:t>
      </w:r>
      <w:r w:rsidRPr="00E1697D">
        <w:rPr>
          <w:vertAlign w:val="superscript"/>
        </w:rPr>
        <w:t>11</w:t>
      </w:r>
      <w:r w:rsidRPr="00E1697D">
        <w:t xml:space="preserve">B values, analytical uncertainty was taken to be 0.18‰ </w:t>
      </w:r>
      <w:r w:rsidR="009D11A8">
        <w:fldChar w:fldCharType="begin"/>
      </w:r>
      <w:r w:rsidR="009D11A8">
        <w:instrText xml:space="preserve"> ADDIN EN.CITE &lt;EndNote&gt;&lt;Cite&gt;&lt;Author&gt;Stewart&lt;/Author&gt;&lt;Year&gt;2021&lt;/Year&gt;&lt;RecNum&gt;2029&lt;/RecNum&gt;&lt;DisplayText&gt;(Stewart et al., 2021)&lt;/DisplayText&gt;&lt;record&gt;&lt;rec-number&gt;2029&lt;/rec-number&gt;&lt;foreign-keys&gt;&lt;key app="EN" db-id="ap92v52v3as9vrederpxe2wov25et2dfssd9" timestamp="1677171780"&gt;2029&lt;/key&gt;&lt;/foreign-keys&gt;&lt;ref-type name="Journal Article"&gt;17&lt;/ref-type&gt;&lt;contributors&gt;&lt;authors&gt;&lt;author&gt;Stewart, Joseph A.&lt;/author&gt;&lt;author&gt;Christopher, Steven J.&lt;/author&gt;&lt;author&gt;Kucklick, John R.&lt;/author&gt;&lt;author&gt;Bordier, Louise&lt;/author&gt;&lt;author&gt;Chalk, Thomas B.&lt;/author&gt;&lt;author&gt;Dapoigny, Arnaud&lt;/author&gt;&lt;author&gt;Douville, Eric&lt;/author&gt;&lt;author&gt;Foster, Gavin L.&lt;/author&gt;&lt;author&gt;Gray, William R.&lt;/author&gt;&lt;author&gt;Greenop, Rosanna&lt;/author&gt;&lt;author&gt;Gutjahr, Marcus&lt;/author&gt;&lt;author&gt;Hemsing, Freya&lt;/author&gt;&lt;author&gt;Henehan, Michael J.&lt;/author&gt;&lt;author&gt;Holdship, Philip&lt;/author&gt;&lt;author&gt;Hsieh, Yu-Te&lt;/author&gt;&lt;author&gt;Kolevica, Ana&lt;/author&gt;&lt;author&gt;Lin, Yen-Po&lt;/author&gt;&lt;author&gt;Mawbey, Elaine M.&lt;/author&gt;&lt;author&gt;Rae, James W. B.&lt;/author&gt;&lt;author&gt;Robinson, Laura F.&lt;/author&gt;&lt;author&gt;Shuttleworth, Rachael&lt;/author&gt;&lt;author&gt;You, Chen-Feng&lt;/author&gt;&lt;author&gt;Zhang, Shuang&lt;/author&gt;&lt;author&gt;Day, Russell D.&lt;/author&gt;&lt;/authors&gt;&lt;/contributors&gt;&lt;titles&gt;&lt;title&gt;NIST RM 8301 Boron Isotopes in Marine Carbonate (Simulated Coral and Foraminifera Solutions): Inter-laboratory δ11B and Trace Element Ratio Value Assignment&lt;/title&gt;&lt;secondary-title&gt;Geostand. Geoanal. Res.&lt;/secondary-title&gt;&lt;/titles&gt;&lt;periodical&gt;&lt;full-title&gt;Geostand. Geoanal. Res.&lt;/full-title&gt;&lt;/periodical&gt;&lt;pages&gt;77-96&lt;/pages&gt;&lt;volume&gt;45&lt;/volume&gt;&lt;number&gt;1&lt;/number&gt;&lt;dates&gt;&lt;year&gt;2021&lt;/year&gt;&lt;/dates&gt;&lt;isbn&gt;1639-4488&lt;/isbn&gt;&lt;urls&gt;&lt;related-urls&gt;&lt;url&gt;https://onlinelibrary.wiley.com/doi/abs/10.1111/ggr.12363&lt;/url&gt;&lt;/related-urls&gt;&lt;/urls&gt;&lt;electronic-resource-num&gt;10.1111/ggr.12363&lt;/electronic-resource-num&gt;&lt;/record&gt;&lt;/Cite&gt;&lt;/EndNote&gt;</w:instrText>
      </w:r>
      <w:r w:rsidR="009D11A8">
        <w:fldChar w:fldCharType="separate"/>
      </w:r>
      <w:r w:rsidR="009D11A8">
        <w:rPr>
          <w:noProof/>
        </w:rPr>
        <w:t>(Stewart et al., 2021)</w:t>
      </w:r>
      <w:r w:rsidR="009D11A8">
        <w:fldChar w:fldCharType="end"/>
      </w:r>
      <w:r w:rsidRPr="00E1697D">
        <w:t>.</w:t>
      </w:r>
      <w:r>
        <w:t xml:space="preserve"> </w:t>
      </w:r>
    </w:p>
    <w:p w14:paraId="2B297911" w14:textId="53C9206E" w:rsidR="004C75A8" w:rsidRPr="00C77D15" w:rsidRDefault="00C77D15" w:rsidP="004C75A8">
      <w:pPr>
        <w:spacing w:line="480" w:lineRule="auto"/>
        <w:rPr>
          <w:b/>
          <w:bCs/>
        </w:rPr>
      </w:pPr>
      <w:r>
        <w:rPr>
          <w:b/>
          <w:bCs/>
        </w:rPr>
        <w:t>Environmental Data</w:t>
      </w:r>
    </w:p>
    <w:p w14:paraId="653EB67B" w14:textId="39E82BBF" w:rsidR="00AE13B8" w:rsidRDefault="00AE13B8" w:rsidP="00AE13B8">
      <w:pPr>
        <w:spacing w:line="480" w:lineRule="auto"/>
        <w:ind w:firstLine="567"/>
        <w:rPr>
          <w:bCs/>
        </w:rPr>
      </w:pPr>
      <w:r>
        <w:rPr>
          <w:bCs/>
        </w:rPr>
        <w:t>Monthly SST and seawater pH data from the Great Barrier Reef (18.5</w:t>
      </w:r>
      <w:r>
        <w:rPr>
          <w:bCs/>
          <w:vertAlign w:val="superscript"/>
        </w:rPr>
        <w:t>o</w:t>
      </w:r>
      <w:r>
        <w:rPr>
          <w:bCs/>
        </w:rPr>
        <w:t>S, 149.5</w:t>
      </w:r>
      <w:r>
        <w:rPr>
          <w:bCs/>
          <w:vertAlign w:val="superscript"/>
        </w:rPr>
        <w:t>o</w:t>
      </w:r>
      <w:r>
        <w:rPr>
          <w:bCs/>
        </w:rPr>
        <w:t xml:space="preserve">E) between 1900 and 2000 were acquired from </w:t>
      </w:r>
      <w:proofErr w:type="spellStart"/>
      <w:r>
        <w:rPr>
          <w:bCs/>
        </w:rPr>
        <w:t>Lenton</w:t>
      </w:r>
      <w:proofErr w:type="spellEnd"/>
      <w:r>
        <w:rPr>
          <w:bCs/>
        </w:rPr>
        <w:t xml:space="preserve"> et al. (2016), a 20</w:t>
      </w:r>
      <w:r>
        <w:rPr>
          <w:bCs/>
          <w:vertAlign w:val="superscript"/>
        </w:rPr>
        <w:t>th</w:t>
      </w:r>
      <w:r>
        <w:rPr>
          <w:bCs/>
        </w:rPr>
        <w:t xml:space="preserve"> century reconstruction of SST, SSS and </w:t>
      </w:r>
      <w:proofErr w:type="spellStart"/>
      <w:r>
        <w:rPr>
          <w:bCs/>
        </w:rPr>
        <w:t>pH</w:t>
      </w:r>
      <w:r w:rsidR="0048554C">
        <w:rPr>
          <w:bCs/>
          <w:vertAlign w:val="subscript"/>
        </w:rPr>
        <w:t>sw</w:t>
      </w:r>
      <w:proofErr w:type="spellEnd"/>
      <w:r>
        <w:rPr>
          <w:bCs/>
        </w:rPr>
        <w:t xml:space="preserve"> across the Great Barrier Reef (n = 1212). SSTs ranged from 21.83</w:t>
      </w:r>
      <w:r>
        <w:rPr>
          <w:bCs/>
          <w:vertAlign w:val="superscript"/>
        </w:rPr>
        <w:t>o</w:t>
      </w:r>
      <w:r>
        <w:rPr>
          <w:bCs/>
        </w:rPr>
        <w:t>C to 29.69</w:t>
      </w:r>
      <w:r>
        <w:rPr>
          <w:bCs/>
          <w:vertAlign w:val="superscript"/>
        </w:rPr>
        <w:t>o</w:t>
      </w:r>
      <w:r>
        <w:rPr>
          <w:bCs/>
        </w:rPr>
        <w:t>C (μ = 25.92</w:t>
      </w:r>
      <w:r>
        <w:rPr>
          <w:bCs/>
          <w:vertAlign w:val="superscript"/>
        </w:rPr>
        <w:t>o</w:t>
      </w:r>
      <w:r>
        <w:rPr>
          <w:bCs/>
        </w:rPr>
        <w:t xml:space="preserve">C ± 1.91, 1σ), while </w:t>
      </w:r>
      <w:proofErr w:type="spellStart"/>
      <w:r>
        <w:rPr>
          <w:bCs/>
        </w:rPr>
        <w:t>pH</w:t>
      </w:r>
      <w:r w:rsidR="002228CF">
        <w:rPr>
          <w:bCs/>
          <w:vertAlign w:val="subscript"/>
        </w:rPr>
        <w:t>sw</w:t>
      </w:r>
      <w:proofErr w:type="spellEnd"/>
      <w:r>
        <w:rPr>
          <w:bCs/>
        </w:rPr>
        <w:t xml:space="preserve"> ranged from 8.09 to 8.21 (μ = 8.16 ± 0.03). Although SSS is also available from this dataset for the same time interval, the data are not reflective of realistic </w:t>
      </w:r>
      <w:r>
        <w:rPr>
          <w:bCs/>
        </w:rPr>
        <w:lastRenderedPageBreak/>
        <w:t xml:space="preserve">salinity fluctuations in this region. Therefore, we used SSS data from the ORA20C dataset </w:t>
      </w:r>
      <w:r w:rsidR="009D11A8">
        <w:rPr>
          <w:bCs/>
        </w:rPr>
        <w:fldChar w:fldCharType="begin"/>
      </w:r>
      <w:r w:rsidR="009D11A8">
        <w:rPr>
          <w:bCs/>
        </w:rPr>
        <w:instrText xml:space="preserve"> ADDIN EN.CITE &lt;EndNote&gt;&lt;Cite&gt;&lt;Author&gt;de Boisséson&lt;/Author&gt;&lt;Year&gt;2018&lt;/Year&gt;&lt;RecNum&gt;941&lt;/RecNum&gt;&lt;DisplayText&gt;(de Boisséson et al., 2018)&lt;/DisplayText&gt;&lt;record&gt;&lt;rec-number&gt;941&lt;/rec-number&gt;&lt;foreign-keys&gt;&lt;key app="EN" db-id="ap92v52v3as9vrederpxe2wov25et2dfssd9" timestamp="1651777971"&gt;941&lt;/key&gt;&lt;/foreign-keys&gt;&lt;ref-type name="Journal Article"&gt;17&lt;/ref-type&gt;&lt;contributors&gt;&lt;authors&gt;&lt;author&gt;de Boisséson, Eric&lt;/author&gt;&lt;author&gt;Balmaseda, Magdalena Alonso&lt;/author&gt;&lt;author&gt;Mayer, Michael&lt;/author&gt;&lt;/authors&gt;&lt;/contributors&gt;&lt;titles&gt;&lt;title&gt;Ocean heat content variability in an ensemble of twentieth century ocean reanalyses&lt;/title&gt;&lt;secondary-title&gt;Clim. Dynam.&lt;/secondary-title&gt;&lt;/titles&gt;&lt;periodical&gt;&lt;full-title&gt;Clim. Dynam.&lt;/full-title&gt;&lt;/periodical&gt;&lt;pages&gt;3783-3798&lt;/pages&gt;&lt;volume&gt;50&lt;/volume&gt;&lt;number&gt;9&lt;/number&gt;&lt;dates&gt;&lt;year&gt;2018&lt;/year&gt;&lt;pub-dates&gt;&lt;date&gt;2018/05/01&lt;/date&gt;&lt;/pub-dates&gt;&lt;/dates&gt;&lt;isbn&gt;1432-0894&lt;/isbn&gt;&lt;urls&gt;&lt;related-urls&gt;&lt;url&gt;https://doi.org/10.1007/s00382-017-3845-0&lt;/url&gt;&lt;/related-urls&gt;&lt;/urls&gt;&lt;electronic-resource-num&gt;10.1007/s00382-017-3845-0&lt;/electronic-resource-num&gt;&lt;/record&gt;&lt;/Cite&gt;&lt;/EndNote&gt;</w:instrText>
      </w:r>
      <w:r w:rsidR="009D11A8">
        <w:rPr>
          <w:bCs/>
        </w:rPr>
        <w:fldChar w:fldCharType="separate"/>
      </w:r>
      <w:r w:rsidR="009D11A8">
        <w:rPr>
          <w:bCs/>
          <w:noProof/>
        </w:rPr>
        <w:t>(de Boisséson et al., 2018)</w:t>
      </w:r>
      <w:r w:rsidR="009D11A8">
        <w:rPr>
          <w:bCs/>
        </w:rPr>
        <w:fldChar w:fldCharType="end"/>
      </w:r>
      <w:r>
        <w:rPr>
          <w:bCs/>
        </w:rPr>
        <w:t xml:space="preserve"> from the same location and time interval. SSS ranged from 31.61 to 34.17 practical salinity units (</w:t>
      </w:r>
      <w:proofErr w:type="spellStart"/>
      <w:r>
        <w:rPr>
          <w:bCs/>
        </w:rPr>
        <w:t>psu</w:t>
      </w:r>
      <w:proofErr w:type="spellEnd"/>
      <w:r>
        <w:rPr>
          <w:bCs/>
        </w:rPr>
        <w:t xml:space="preserve">; μ = 33.69 ± 0.43 </w:t>
      </w:r>
      <w:proofErr w:type="spellStart"/>
      <w:r>
        <w:rPr>
          <w:bCs/>
        </w:rPr>
        <w:t>psu</w:t>
      </w:r>
      <w:proofErr w:type="spellEnd"/>
      <w:r>
        <w:rPr>
          <w:bCs/>
        </w:rPr>
        <w:t>)</w:t>
      </w:r>
      <w:r w:rsidR="004F7426">
        <w:rPr>
          <w:bCs/>
        </w:rPr>
        <w:t>.</w:t>
      </w:r>
    </w:p>
    <w:p w14:paraId="151DF946" w14:textId="25CA897C" w:rsidR="001B1CFD" w:rsidRPr="001B1CFD" w:rsidRDefault="001B1CFD" w:rsidP="001B1CFD">
      <w:pPr>
        <w:spacing w:line="480" w:lineRule="auto"/>
        <w:rPr>
          <w:b/>
        </w:rPr>
      </w:pPr>
      <w:r>
        <w:rPr>
          <w:b/>
        </w:rPr>
        <w:t>Synthetic Proxy Calculation</w:t>
      </w:r>
    </w:p>
    <w:p w14:paraId="31EB78CE" w14:textId="39913232" w:rsidR="00AE13B8" w:rsidRDefault="00AE13B8" w:rsidP="00AE13B8">
      <w:pPr>
        <w:spacing w:line="480" w:lineRule="auto"/>
        <w:ind w:firstLine="567"/>
        <w:rPr>
          <w:b/>
          <w:bCs/>
        </w:rPr>
      </w:pPr>
      <w:r>
        <w:rPr>
          <w:bCs/>
        </w:rPr>
        <w:t xml:space="preserve">Synthetic Sr/Ca ratios were calculated as a function of SST using the mean slopes and intercepts for the Sr/Ca ~ SST relationship from </w:t>
      </w:r>
      <w:r w:rsidR="009D11A8">
        <w:rPr>
          <w:bCs/>
        </w:rPr>
        <w:fldChar w:fldCharType="begin"/>
      </w:r>
      <w:r w:rsidR="009D11A8">
        <w:rPr>
          <w:bCs/>
        </w:rPr>
        <w:instrText xml:space="preserve"> ADDIN EN.CITE &lt;EndNote&gt;&lt;Cite&gt;&lt;Author&gt;Corrège&lt;/Author&gt;&lt;Year&gt;2006&lt;/Year&gt;&lt;RecNum&gt;797&lt;/RecNum&gt;&lt;DisplayText&gt;(Corrège, 2006)&lt;/DisplayText&gt;&lt;record&gt;&lt;rec-number&gt;797&lt;/rec-number&gt;&lt;foreign-keys&gt;&lt;key app="EN" db-id="ap92v52v3as9vrederpxe2wov25et2dfssd9" timestamp="1621430228"&gt;797&lt;/key&gt;&lt;/foreign-keys&gt;&lt;ref-type name="Journal Article"&gt;17&lt;/ref-type&gt;&lt;contributors&gt;&lt;authors&gt;&lt;author&gt;Corrège, Thierry&lt;/author&gt;&lt;/authors&gt;&lt;/contributors&gt;&lt;titles&gt;&lt;title&gt;Sea surface temperature and salinity reconstruction from coral geochemical tracers&lt;/title&gt;&lt;secondary-title&gt;Palaeogeogr. Palaeoclimatol. Palaeoecol.&lt;/secondary-title&gt;&lt;/titles&gt;&lt;periodical&gt;&lt;full-title&gt;Palaeogeogr. Palaeoclimatol. Palaeoecol.&lt;/full-title&gt;&lt;/periodical&gt;&lt;pages&gt;408-428&lt;/pages&gt;&lt;volume&gt;232&lt;/volume&gt;&lt;keywords&gt;&lt;keyword&gt;Corals&lt;/keyword&gt;&lt;keyword&gt;Geochemical tracers&lt;/keyword&gt;&lt;keyword&gt;Salinity&lt;/keyword&gt;&lt;keyword&gt;Temperature&lt;/keyword&gt;&lt;/keywords&gt;&lt;dates&gt;&lt;year&gt;2006&lt;/year&gt;&lt;/dates&gt;&lt;isbn&gt;0031-0182&lt;/isbn&gt;&lt;accession-num&gt;17152&lt;/accession-num&gt;&lt;urls&gt;&lt;/urls&gt;&lt;electronic-resource-num&gt;10.1016/j.palaeo.2005.10.014&lt;/electronic-resource-num&gt;&lt;research-notes&gt;- Main takeaway:&amp;#xD;- FARM FOR REFERENCES! THIS MOTHER FUCKER HAS EVERYTHING&amp;#xD;&amp;#xD;-REF: Corals can live up to 1000 years&amp;#xD;- Highlights need for tropical Atlantic reconstructions&lt;/research-notes&gt;&lt;/record&gt;&lt;/Cite&gt;&lt;/EndNote&gt;</w:instrText>
      </w:r>
      <w:r w:rsidR="009D11A8">
        <w:rPr>
          <w:bCs/>
        </w:rPr>
        <w:fldChar w:fldCharType="separate"/>
      </w:r>
      <w:r w:rsidR="009D11A8">
        <w:rPr>
          <w:bCs/>
          <w:noProof/>
        </w:rPr>
        <w:t>(Corrège, 2006)</w:t>
      </w:r>
      <w:r w:rsidR="009D11A8">
        <w:rPr>
          <w:bCs/>
        </w:rPr>
        <w:fldChar w:fldCharType="end"/>
      </w:r>
      <w:r>
        <w:rPr>
          <w:bCs/>
        </w:rPr>
        <w:t>.</w:t>
      </w:r>
    </w:p>
    <w:p w14:paraId="318654CC" w14:textId="02353D85" w:rsidR="00AE13B8" w:rsidRDefault="00000000" w:rsidP="00AE13B8">
      <w:pPr>
        <w:spacing w:line="480" w:lineRule="auto"/>
        <w:ind w:firstLine="567"/>
        <w:rPr>
          <w:rFonts w:eastAsiaTheme="minorEastAsia"/>
        </w:rPr>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Sr</m:t>
                  </m:r>
                </m:num>
                <m:den>
                  <m:r>
                    <w:rPr>
                      <w:rFonts w:ascii="Cambria Math" w:hAnsi="Cambria Math"/>
                    </w:rPr>
                    <m:t>Ca</m:t>
                  </m:r>
                </m:den>
              </m:f>
              <m:r>
                <w:rPr>
                  <w:rFonts w:ascii="Cambria Math" w:hAnsi="Cambria Math"/>
                </w:rPr>
                <m:t>= -0.0607(0.0090)T +10.553(0.292)#</m:t>
              </m:r>
              <m:d>
                <m:dPr>
                  <m:ctrlPr>
                    <w:rPr>
                      <w:rFonts w:ascii="Cambria Math" w:hAnsi="Cambria Math"/>
                      <w:i/>
                    </w:rPr>
                  </m:ctrlPr>
                </m:dPr>
                <m:e>
                  <m:r>
                    <w:rPr>
                      <w:rFonts w:ascii="Cambria Math" w:hAnsi="Cambria Math"/>
                    </w:rPr>
                    <m:t>1</m:t>
                  </m:r>
                </m:e>
              </m:d>
            </m:e>
          </m:eqArr>
        </m:oMath>
      </m:oMathPara>
    </w:p>
    <w:p w14:paraId="096FE769" w14:textId="77777777" w:rsidR="00AE13B8" w:rsidRDefault="00AE13B8" w:rsidP="00AE13B8">
      <w:pPr>
        <w:spacing w:line="480" w:lineRule="auto"/>
        <w:rPr>
          <w:bCs/>
        </w:rPr>
      </w:pPr>
      <w:r>
        <w:rPr>
          <w:bCs/>
        </w:rPr>
        <w:t xml:space="preserve">Where </w:t>
      </w:r>
      <w:r>
        <w:rPr>
          <w:bCs/>
          <w:i/>
        </w:rPr>
        <w:t>T</w:t>
      </w:r>
      <w:r>
        <w:rPr>
          <w:bCs/>
        </w:rPr>
        <w:t xml:space="preserve"> is temperature in degrees Celsius. Synthetic Sr/Ca ratios ranged from 8.75 to 9.23 mmol/mol (μ = 8.98 mmol/mol ± 0.12). </w:t>
      </w:r>
    </w:p>
    <w:p w14:paraId="250D5DB2" w14:textId="6CC403DE" w:rsidR="00AE13B8" w:rsidRDefault="00AE13B8" w:rsidP="00AE13B8">
      <w:pPr>
        <w:spacing w:line="480" w:lineRule="auto"/>
        <w:ind w:firstLine="720"/>
        <w:rPr>
          <w:b/>
          <w:bCs/>
        </w:rPr>
      </w:pPr>
      <w:r>
        <w:rPr>
          <w:bCs/>
        </w:rPr>
        <w:t>Synthetic δ</w:t>
      </w:r>
      <w:r>
        <w:rPr>
          <w:bCs/>
          <w:vertAlign w:val="superscript"/>
        </w:rPr>
        <w:t>18</w:t>
      </w:r>
      <w:r>
        <w:rPr>
          <w:bCs/>
        </w:rPr>
        <w:t>O values were calculated as a function of both SST and SSS. First, the oxygen isotope ratio of seawater (δ</w:t>
      </w:r>
      <w:r>
        <w:rPr>
          <w:bCs/>
          <w:vertAlign w:val="superscript"/>
        </w:rPr>
        <w:t>18</w:t>
      </w:r>
      <w:r>
        <w:rPr>
          <w:bCs/>
        </w:rPr>
        <w:t>O</w:t>
      </w:r>
      <w:r>
        <w:rPr>
          <w:bCs/>
          <w:vertAlign w:val="subscript"/>
        </w:rPr>
        <w:t>sw</w:t>
      </w:r>
      <w:r>
        <w:rPr>
          <w:bCs/>
        </w:rPr>
        <w:t xml:space="preserve">) was calculated as a function of SSS using the equation for the tropical Pacific from </w:t>
      </w:r>
      <w:r w:rsidR="009D11A8">
        <w:rPr>
          <w:bCs/>
        </w:rPr>
        <w:fldChar w:fldCharType="begin"/>
      </w:r>
      <w:r w:rsidR="009D11A8">
        <w:rPr>
          <w:bCs/>
        </w:rPr>
        <w:instrText xml:space="preserve"> ADDIN EN.CITE &lt;EndNote&gt;&lt;Cite&gt;&lt;Author&gt;LeGrande&lt;/Author&gt;&lt;Year&gt;2006&lt;/Year&gt;&lt;RecNum&gt;947&lt;/RecNum&gt;&lt;DisplayText&gt;(LeGrande &amp;amp; Schmidt, 2006)&lt;/DisplayText&gt;&lt;record&gt;&lt;rec-number&gt;947&lt;/rec-number&gt;&lt;foreign-keys&gt;&lt;key app="EN" db-id="ap92v52v3as9vrederpxe2wov25et2dfssd9" timestamp="1651785771"&gt;947&lt;/key&gt;&lt;/foreign-keys&gt;&lt;ref-type name="Journal Article"&gt;17&lt;/ref-type&gt;&lt;contributors&gt;&lt;authors&gt;&lt;author&gt;LeGrande, Allegra N.&lt;/author&gt;&lt;author&gt;Schmidt, Gavin A.&lt;/author&gt;&lt;/authors&gt;&lt;/contributors&gt;&lt;titles&gt;&lt;title&gt;Global gridded data set of the oxygen isotopic composition in seawater&lt;/title&gt;&lt;secondary-title&gt;Geophys. Res. Lett.&lt;/secondary-title&gt;&lt;/titles&gt;&lt;periodical&gt;&lt;full-title&gt;Geophys. Res. Lett.&lt;/full-title&gt;&lt;/periodical&gt;&lt;volume&gt;33&lt;/volume&gt;&lt;number&gt;12&lt;/number&gt;&lt;dates&gt;&lt;year&gt;2006&lt;/year&gt;&lt;/dates&gt;&lt;isbn&gt;0094-8276&lt;/isbn&gt;&lt;urls&gt;&lt;related-urls&gt;&lt;url&gt;https://agupubs.onlinelibrary.wiley.com/doi/abs/10.1029/2006GL026011&lt;/url&gt;&lt;/related-urls&gt;&lt;/urls&gt;&lt;electronic-resource-num&gt;10.1029/2006GL026011&lt;/electronic-resource-num&gt;&lt;/record&gt;&lt;/Cite&gt;&lt;/EndNote&gt;</w:instrText>
      </w:r>
      <w:r w:rsidR="009D11A8">
        <w:rPr>
          <w:bCs/>
        </w:rPr>
        <w:fldChar w:fldCharType="separate"/>
      </w:r>
      <w:r w:rsidR="009D11A8">
        <w:rPr>
          <w:bCs/>
          <w:noProof/>
        </w:rPr>
        <w:t>(LeGrande &amp; Schmidt, 2006)</w:t>
      </w:r>
      <w:r w:rsidR="009D11A8">
        <w:rPr>
          <w:bCs/>
        </w:rPr>
        <w:fldChar w:fldCharType="end"/>
      </w:r>
      <w:r>
        <w:rPr>
          <w:bCs/>
        </w:rPr>
        <w:t>.</w:t>
      </w:r>
    </w:p>
    <w:p w14:paraId="0CD03222" w14:textId="5A96815C" w:rsidR="00AE13B8" w:rsidRDefault="00000000" w:rsidP="00AE13B8">
      <w:pPr>
        <w:spacing w:line="480" w:lineRule="auto"/>
        <w:ind w:firstLine="720"/>
        <w:rPr>
          <w:rFonts w:eastAsiaTheme="minorEastAsia"/>
          <w:bCs/>
        </w:rPr>
      </w:pPr>
      <m:oMathPara>
        <m:oMath>
          <m:eqArr>
            <m:eqArrPr>
              <m:maxDist m:val="1"/>
              <m:ctrlPr>
                <w:rPr>
                  <w:rFonts w:ascii="Cambria Math" w:hAnsi="Cambria Math"/>
                  <w:i/>
                </w:rPr>
              </m:ctrlPr>
            </m:eqArrPr>
            <m:e>
              <m:sSup>
                <m:sSupPr>
                  <m:ctrlPr>
                    <w:rPr>
                      <w:rFonts w:ascii="Cambria Math" w:hAnsi="Cambria Math"/>
                      <w:bCs/>
                      <w:i/>
                    </w:rPr>
                  </m:ctrlPr>
                </m:sSupPr>
                <m:e>
                  <m:r>
                    <w:rPr>
                      <w:rFonts w:ascii="Cambria Math" w:hAnsi="Cambria Math"/>
                    </w:rPr>
                    <m:t>δ</m:t>
                  </m:r>
                </m:e>
                <m:sup>
                  <m:r>
                    <w:rPr>
                      <w:rFonts w:ascii="Cambria Math" w:hAnsi="Cambria Math"/>
                    </w:rPr>
                    <m:t>18</m:t>
                  </m:r>
                </m:sup>
              </m:sSup>
              <m:sSub>
                <m:sSubPr>
                  <m:ctrlPr>
                    <w:rPr>
                      <w:rFonts w:ascii="Cambria Math" w:hAnsi="Cambria Math"/>
                      <w:bCs/>
                      <w:i/>
                    </w:rPr>
                  </m:ctrlPr>
                </m:sSubPr>
                <m:e>
                  <m:r>
                    <w:rPr>
                      <w:rFonts w:ascii="Cambria Math" w:hAnsi="Cambria Math"/>
                    </w:rPr>
                    <m:t>O</m:t>
                  </m:r>
                </m:e>
                <m:sub>
                  <m:r>
                    <w:rPr>
                      <w:rFonts w:ascii="Cambria Math" w:hAnsi="Cambria Math"/>
                    </w:rPr>
                    <m:t>sw</m:t>
                  </m:r>
                </m:sub>
              </m:sSub>
              <m:r>
                <w:rPr>
                  <w:rFonts w:ascii="Cambria Math" w:hAnsi="Cambria Math"/>
                </w:rPr>
                <m:t>=0.27(0.006)SSS-8.88(0.201)#</m:t>
              </m:r>
              <m:d>
                <m:dPr>
                  <m:ctrlPr>
                    <w:rPr>
                      <w:rFonts w:ascii="Cambria Math" w:hAnsi="Cambria Math"/>
                      <w:i/>
                    </w:rPr>
                  </m:ctrlPr>
                </m:dPr>
                <m:e>
                  <m:r>
                    <w:rPr>
                      <w:rFonts w:ascii="Cambria Math" w:hAnsi="Cambria Math"/>
                    </w:rPr>
                    <m:t>2</m:t>
                  </m:r>
                </m:e>
              </m:d>
              <m:ctrlPr>
                <w:rPr>
                  <w:rFonts w:ascii="Cambria Math" w:hAnsi="Cambria Math"/>
                  <w:bCs/>
                  <w:i/>
                </w:rPr>
              </m:ctrlPr>
            </m:e>
          </m:eqArr>
        </m:oMath>
      </m:oMathPara>
    </w:p>
    <w:p w14:paraId="2A200C3C" w14:textId="77777777" w:rsidR="00AE13B8" w:rsidRDefault="00AE13B8" w:rsidP="00AE13B8">
      <w:pPr>
        <w:spacing w:line="480" w:lineRule="auto"/>
        <w:rPr>
          <w:bCs/>
        </w:rPr>
      </w:pPr>
      <w:r>
        <w:rPr>
          <w:bCs/>
        </w:rPr>
        <w:t>Synthetic δ</w:t>
      </w:r>
      <w:r>
        <w:rPr>
          <w:bCs/>
          <w:vertAlign w:val="superscript"/>
        </w:rPr>
        <w:t>18</w:t>
      </w:r>
      <w:r>
        <w:rPr>
          <w:bCs/>
        </w:rPr>
        <w:t xml:space="preserve">O values were then calculated by rearranging the temperature sensitivity equation from Epstein (1953) to a quadratic function. </w:t>
      </w:r>
    </w:p>
    <w:p w14:paraId="2A821105" w14:textId="65838ED2" w:rsidR="00AE13B8" w:rsidRDefault="00000000" w:rsidP="00AE13B8">
      <w:pPr>
        <w:spacing w:line="480" w:lineRule="auto"/>
        <w:rPr>
          <w:bCs/>
        </w:rPr>
      </w:pPr>
      <m:oMath>
        <m:eqArr>
          <m:eqArrPr>
            <m:maxDist m:val="1"/>
            <m:ctrlPr>
              <w:rPr>
                <w:rFonts w:ascii="Cambria Math" w:hAnsi="Cambria Math"/>
                <w:bCs/>
                <w:i/>
              </w:rPr>
            </m:ctrlPr>
          </m:eqArrPr>
          <m:e>
            <m:r>
              <w:rPr>
                <w:rFonts w:ascii="Cambria Math" w:hAnsi="Cambria Math"/>
              </w:rPr>
              <m:t>T=16.5-4.3</m:t>
            </m:r>
            <m:d>
              <m:dPr>
                <m:ctrlPr>
                  <w:rPr>
                    <w:rFonts w:ascii="Cambria Math" w:hAnsi="Cambria Math"/>
                    <w:bCs/>
                    <w:i/>
                  </w:rPr>
                </m:ctrlPr>
              </m:dPr>
              <m:e>
                <m:sSup>
                  <m:sSupPr>
                    <m:ctrlPr>
                      <w:rPr>
                        <w:rFonts w:ascii="Cambria Math" w:hAnsi="Cambria Math"/>
                        <w:bCs/>
                        <w:i/>
                      </w:rPr>
                    </m:ctrlPr>
                  </m:sSupPr>
                  <m:e>
                    <m:r>
                      <w:rPr>
                        <w:rFonts w:ascii="Cambria Math" w:hAnsi="Cambria Math"/>
                      </w:rPr>
                      <m:t>δ</m:t>
                    </m:r>
                  </m:e>
                  <m:sup>
                    <m:r>
                      <w:rPr>
                        <w:rFonts w:ascii="Cambria Math" w:hAnsi="Cambria Math"/>
                      </w:rPr>
                      <m:t>18</m:t>
                    </m:r>
                  </m:sup>
                </m:sSup>
                <m:sSub>
                  <m:sSubPr>
                    <m:ctrlPr>
                      <w:rPr>
                        <w:rFonts w:ascii="Cambria Math" w:hAnsi="Cambria Math"/>
                        <w:bCs/>
                        <w:i/>
                      </w:rPr>
                    </m:ctrlPr>
                  </m:sSubPr>
                  <m:e>
                    <m:r>
                      <w:rPr>
                        <w:rFonts w:ascii="Cambria Math" w:hAnsi="Cambria Math"/>
                      </w:rPr>
                      <m:t>O</m:t>
                    </m:r>
                  </m:e>
                  <m:sub>
                    <m:r>
                      <w:rPr>
                        <w:rFonts w:ascii="Cambria Math" w:hAnsi="Cambria Math"/>
                      </w:rPr>
                      <m:t>c</m:t>
                    </m:r>
                  </m:sub>
                </m:sSub>
                <m:r>
                  <w:rPr>
                    <w:rFonts w:ascii="Cambria Math" w:hAnsi="Cambria Math"/>
                  </w:rPr>
                  <m:t>-</m:t>
                </m:r>
                <m:sSup>
                  <m:sSupPr>
                    <m:ctrlPr>
                      <w:rPr>
                        <w:rFonts w:ascii="Cambria Math" w:hAnsi="Cambria Math"/>
                        <w:bCs/>
                        <w:i/>
                      </w:rPr>
                    </m:ctrlPr>
                  </m:sSupPr>
                  <m:e>
                    <m:r>
                      <w:rPr>
                        <w:rFonts w:ascii="Cambria Math" w:hAnsi="Cambria Math"/>
                      </w:rPr>
                      <m:t>δ</m:t>
                    </m:r>
                  </m:e>
                  <m:sup>
                    <m:r>
                      <w:rPr>
                        <w:rFonts w:ascii="Cambria Math" w:hAnsi="Cambria Math"/>
                      </w:rPr>
                      <m:t>18</m:t>
                    </m:r>
                  </m:sup>
                </m:sSup>
                <m:sSub>
                  <m:sSubPr>
                    <m:ctrlPr>
                      <w:rPr>
                        <w:rFonts w:ascii="Cambria Math" w:hAnsi="Cambria Math"/>
                        <w:bCs/>
                        <w:i/>
                      </w:rPr>
                    </m:ctrlPr>
                  </m:sSubPr>
                  <m:e>
                    <m:r>
                      <w:rPr>
                        <w:rFonts w:ascii="Cambria Math" w:hAnsi="Cambria Math"/>
                      </w:rPr>
                      <m:t>O</m:t>
                    </m:r>
                  </m:e>
                  <m:sub>
                    <m:r>
                      <w:rPr>
                        <w:rFonts w:ascii="Cambria Math" w:hAnsi="Cambria Math"/>
                      </w:rPr>
                      <m:t>sw</m:t>
                    </m:r>
                  </m:sub>
                </m:sSub>
              </m:e>
            </m:d>
            <m:r>
              <w:rPr>
                <w:rFonts w:ascii="Cambria Math" w:hAnsi="Cambria Math"/>
              </w:rPr>
              <m:t>+0.14</m:t>
            </m:r>
            <m:sSup>
              <m:sSupPr>
                <m:ctrlPr>
                  <w:rPr>
                    <w:rFonts w:ascii="Cambria Math" w:hAnsi="Cambria Math"/>
                    <w:bCs/>
                    <w:i/>
                  </w:rPr>
                </m:ctrlPr>
              </m:sSupPr>
              <m:e>
                <m:d>
                  <m:dPr>
                    <m:ctrlPr>
                      <w:rPr>
                        <w:rFonts w:ascii="Cambria Math" w:hAnsi="Cambria Math"/>
                        <w:bCs/>
                        <w:i/>
                      </w:rPr>
                    </m:ctrlPr>
                  </m:dPr>
                  <m:e>
                    <m:sSup>
                      <m:sSupPr>
                        <m:ctrlPr>
                          <w:rPr>
                            <w:rFonts w:ascii="Cambria Math" w:hAnsi="Cambria Math"/>
                            <w:bCs/>
                            <w:i/>
                          </w:rPr>
                        </m:ctrlPr>
                      </m:sSupPr>
                      <m:e>
                        <m:r>
                          <w:rPr>
                            <w:rFonts w:ascii="Cambria Math" w:hAnsi="Cambria Math"/>
                          </w:rPr>
                          <m:t>δ</m:t>
                        </m:r>
                      </m:e>
                      <m:sup>
                        <m:r>
                          <w:rPr>
                            <w:rFonts w:ascii="Cambria Math" w:hAnsi="Cambria Math"/>
                          </w:rPr>
                          <m:t>18</m:t>
                        </m:r>
                      </m:sup>
                    </m:sSup>
                    <m:sSub>
                      <m:sSubPr>
                        <m:ctrlPr>
                          <w:rPr>
                            <w:rFonts w:ascii="Cambria Math" w:hAnsi="Cambria Math"/>
                            <w:bCs/>
                            <w:i/>
                          </w:rPr>
                        </m:ctrlPr>
                      </m:sSubPr>
                      <m:e>
                        <m:r>
                          <w:rPr>
                            <w:rFonts w:ascii="Cambria Math" w:hAnsi="Cambria Math"/>
                          </w:rPr>
                          <m:t>O</m:t>
                        </m:r>
                      </m:e>
                      <m:sub>
                        <m:r>
                          <w:rPr>
                            <w:rFonts w:ascii="Cambria Math" w:hAnsi="Cambria Math"/>
                          </w:rPr>
                          <m:t>c</m:t>
                        </m:r>
                      </m:sub>
                    </m:sSub>
                    <m:r>
                      <w:rPr>
                        <w:rFonts w:ascii="Cambria Math" w:hAnsi="Cambria Math"/>
                      </w:rPr>
                      <m:t>-</m:t>
                    </m:r>
                    <m:sSup>
                      <m:sSupPr>
                        <m:ctrlPr>
                          <w:rPr>
                            <w:rFonts w:ascii="Cambria Math" w:hAnsi="Cambria Math"/>
                            <w:bCs/>
                            <w:i/>
                          </w:rPr>
                        </m:ctrlPr>
                      </m:sSupPr>
                      <m:e>
                        <m:r>
                          <w:rPr>
                            <w:rFonts w:ascii="Cambria Math" w:hAnsi="Cambria Math"/>
                          </w:rPr>
                          <m:t>δ</m:t>
                        </m:r>
                      </m:e>
                      <m:sup>
                        <m:r>
                          <w:rPr>
                            <w:rFonts w:ascii="Cambria Math" w:hAnsi="Cambria Math"/>
                          </w:rPr>
                          <m:t>18</m:t>
                        </m:r>
                      </m:sup>
                    </m:sSup>
                    <m:sSub>
                      <m:sSubPr>
                        <m:ctrlPr>
                          <w:rPr>
                            <w:rFonts w:ascii="Cambria Math" w:hAnsi="Cambria Math"/>
                            <w:bCs/>
                            <w:i/>
                          </w:rPr>
                        </m:ctrlPr>
                      </m:sSubPr>
                      <m:e>
                        <m:r>
                          <w:rPr>
                            <w:rFonts w:ascii="Cambria Math" w:hAnsi="Cambria Math"/>
                          </w:rPr>
                          <m:t>O</m:t>
                        </m:r>
                      </m:e>
                      <m:sub>
                        <m:r>
                          <w:rPr>
                            <w:rFonts w:ascii="Cambria Math" w:hAnsi="Cambria Math"/>
                          </w:rPr>
                          <m:t>sw</m:t>
                        </m:r>
                      </m:sub>
                    </m:sSub>
                  </m:e>
                </m:d>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3</m:t>
                </m:r>
              </m:e>
            </m:d>
            <m:ctrlPr>
              <w:rPr>
                <w:rFonts w:ascii="Cambria Math" w:hAnsi="Cambria Math"/>
                <w:i/>
              </w:rPr>
            </m:ctrlPr>
          </m:e>
        </m:eqArr>
      </m:oMath>
      <w:r w:rsidR="00AE13B8">
        <w:rPr>
          <w:rFonts w:eastAsiaTheme="minorEastAsia"/>
        </w:rPr>
        <w:t xml:space="preserve">Where </w:t>
      </w:r>
      <w:r w:rsidR="00AE13B8">
        <w:rPr>
          <w:rFonts w:eastAsiaTheme="minorEastAsia"/>
          <w:i/>
          <w:iCs/>
        </w:rPr>
        <w:t>δ</w:t>
      </w:r>
      <w:r w:rsidR="00AE13B8">
        <w:rPr>
          <w:rFonts w:eastAsiaTheme="minorEastAsia"/>
          <w:i/>
          <w:iCs/>
          <w:vertAlign w:val="superscript"/>
        </w:rPr>
        <w:t>18</w:t>
      </w:r>
      <w:r w:rsidR="00AE13B8">
        <w:rPr>
          <w:rFonts w:eastAsiaTheme="minorEastAsia"/>
          <w:i/>
          <w:iCs/>
        </w:rPr>
        <w:t>O</w:t>
      </w:r>
      <w:r w:rsidR="00AE13B8">
        <w:rPr>
          <w:rFonts w:eastAsiaTheme="minorEastAsia"/>
          <w:i/>
          <w:iCs/>
          <w:vertAlign w:val="subscript"/>
        </w:rPr>
        <w:t>c</w:t>
      </w:r>
      <w:r w:rsidR="00AE13B8">
        <w:rPr>
          <w:rFonts w:eastAsiaTheme="minorEastAsia"/>
        </w:rPr>
        <w:t xml:space="preserve"> is the oxygen isotope ratio of carbonate. Finally, we subtracted </w:t>
      </w:r>
      <w:r w:rsidR="00AE13B8">
        <w:rPr>
          <w:bCs/>
        </w:rPr>
        <w:t>1.08 from the final synthetic δ</w:t>
      </w:r>
      <w:r w:rsidR="00AE13B8">
        <w:rPr>
          <w:bCs/>
          <w:vertAlign w:val="superscript"/>
        </w:rPr>
        <w:t>18</w:t>
      </w:r>
      <w:r w:rsidR="00AE13B8">
        <w:rPr>
          <w:bCs/>
        </w:rPr>
        <w:t xml:space="preserve">O values, both to account for the correction factor to aragonite (+0.6) and to make </w:t>
      </w:r>
      <w:r w:rsidR="00AE13B8">
        <w:rPr>
          <w:bCs/>
        </w:rPr>
        <w:lastRenderedPageBreak/>
        <w:t>the values relative to VPDB (</w:t>
      </w:r>
      <w:r w:rsidR="00AE13B8">
        <w:rPr>
          <w:rFonts w:ascii="Cambria Math" w:hAnsi="Cambria Math"/>
          <w:bCs/>
        </w:rPr>
        <w:t>−</w:t>
      </w:r>
      <w:r w:rsidR="00AE13B8">
        <w:rPr>
          <w:bCs/>
        </w:rPr>
        <w:t>1.68). Synthetic δ</w:t>
      </w:r>
      <w:r w:rsidR="00AE13B8">
        <w:rPr>
          <w:bCs/>
          <w:vertAlign w:val="superscript"/>
        </w:rPr>
        <w:t>18</w:t>
      </w:r>
      <w:r w:rsidR="00AE13B8">
        <w:rPr>
          <w:bCs/>
        </w:rPr>
        <w:t xml:space="preserve">O values thus ranged from </w:t>
      </w:r>
      <w:r w:rsidR="00AE13B8">
        <w:rPr>
          <w:rFonts w:ascii="Cambria Math" w:hAnsi="Cambria Math"/>
          <w:bCs/>
        </w:rPr>
        <w:t>−</w:t>
      </w:r>
      <w:r w:rsidR="00AE13B8">
        <w:rPr>
          <w:bCs/>
        </w:rPr>
        <w:t xml:space="preserve">4.58 to </w:t>
      </w:r>
      <w:r w:rsidR="00AE13B8">
        <w:rPr>
          <w:rFonts w:ascii="Cambria Math" w:hAnsi="Cambria Math"/>
          <w:bCs/>
        </w:rPr>
        <w:t>−</w:t>
      </w:r>
      <w:r w:rsidR="00AE13B8">
        <w:rPr>
          <w:bCs/>
        </w:rPr>
        <w:t xml:space="preserve">2.47‰ (μ = </w:t>
      </w:r>
      <w:r w:rsidR="00AE13B8">
        <w:rPr>
          <w:rFonts w:ascii="Cambria Math" w:hAnsi="Cambria Math"/>
          <w:bCs/>
        </w:rPr>
        <w:t>−</w:t>
      </w:r>
      <w:r w:rsidR="00AE13B8">
        <w:rPr>
          <w:bCs/>
        </w:rPr>
        <w:t>3.39‰ ± 0.48).</w:t>
      </w:r>
    </w:p>
    <w:p w14:paraId="5AD3C1A2" w14:textId="226019F6" w:rsidR="00AE13B8" w:rsidRDefault="00AE13B8" w:rsidP="00AE13B8">
      <w:pPr>
        <w:spacing w:line="480" w:lineRule="auto"/>
        <w:ind w:firstLine="720"/>
        <w:rPr>
          <w:bCs/>
        </w:rPr>
      </w:pPr>
      <w:r>
        <w:rPr>
          <w:bCs/>
        </w:rPr>
        <w:t>Synthetic δ</w:t>
      </w:r>
      <w:r>
        <w:rPr>
          <w:bCs/>
          <w:vertAlign w:val="superscript"/>
        </w:rPr>
        <w:t>11</w:t>
      </w:r>
      <w:r>
        <w:rPr>
          <w:bCs/>
        </w:rPr>
        <w:t xml:space="preserve">B values were calculated as a function of SST, SSS and </w:t>
      </w:r>
      <w:proofErr w:type="spellStart"/>
      <w:r>
        <w:rPr>
          <w:bCs/>
        </w:rPr>
        <w:t>pH</w:t>
      </w:r>
      <w:r>
        <w:rPr>
          <w:bCs/>
          <w:vertAlign w:val="subscript"/>
        </w:rPr>
        <w:t>cf</w:t>
      </w:r>
      <w:proofErr w:type="spellEnd"/>
      <w:r>
        <w:rPr>
          <w:bCs/>
        </w:rPr>
        <w:t xml:space="preserve">. They were determined by rearranging the pH-dependent equation from </w:t>
      </w:r>
      <w:r w:rsidR="009D11A8">
        <w:rPr>
          <w:bCs/>
        </w:rPr>
        <w:fldChar w:fldCharType="begin"/>
      </w:r>
      <w:r w:rsidR="009D11A8">
        <w:rPr>
          <w:rFonts w:hint="eastAsia"/>
          <w:bCs/>
        </w:rPr>
        <w:instrText xml:space="preserve"> ADDIN EN.CITE &lt;EndNote&gt;&lt;Cite&gt;&lt;Author&gt;Zeebe&lt;/Author&gt;&lt;Year&gt;2001&lt;/Year&gt;&lt;RecNum&gt;2028&lt;/RecNum&gt;&lt;DisplayText&gt;(Zeebe &amp;amp; Wolf</w:instrText>
      </w:r>
      <w:r w:rsidR="009D11A8">
        <w:rPr>
          <w:rFonts w:hint="eastAsia"/>
          <w:bCs/>
        </w:rPr>
        <w:instrText>‐</w:instrText>
      </w:r>
      <w:r w:rsidR="009D11A8">
        <w:rPr>
          <w:rFonts w:hint="eastAsia"/>
          <w:bCs/>
        </w:rPr>
        <w:instrText>Gladrow, 2001)&lt;/DisplayText&gt;&lt;record&gt;&lt;rec-number&gt;2028&lt;/rec-number&gt;&lt;foreign-keys&gt;&lt;key app="EN" db-id="ap92v52v3as9vrederpxe2wov25et2dfssd9" timestamp="1677081715"&gt;2028&lt;/key&gt;&lt;/foreign-keys&gt;&lt;ref-type name="Book"&gt;6&lt;/ref-type&gt;&lt;contributors&gt;&lt;authors&gt;&lt;author&gt;Zeebe, R.E.&lt;/author&gt;&lt;author&gt;Wolf</w:instrText>
      </w:r>
      <w:r w:rsidR="009D11A8">
        <w:rPr>
          <w:rFonts w:hint="eastAsia"/>
          <w:bCs/>
        </w:rPr>
        <w:instrText>‐</w:instrText>
      </w:r>
      <w:r w:rsidR="009D11A8">
        <w:rPr>
          <w:rFonts w:hint="eastAsia"/>
          <w:bCs/>
        </w:rPr>
        <w:instrText>Gladrow, Dieter A&lt;/author&gt;&lt;/authors&gt;&lt;/contributors&gt;&lt;titles&gt;&lt;title&gt;CO2 in Seawater: Equilibrium, Kinetics,</w:instrText>
      </w:r>
      <w:r w:rsidR="009D11A8">
        <w:rPr>
          <w:bCs/>
        </w:rPr>
        <w:instrText xml:space="preserve"> Isotopes&lt;/title&gt;&lt;secondary-title&gt;Elsevier Oceanography Series&lt;/secondary-title&gt;&lt;/titles&gt;&lt;dates&gt;&lt;year&gt;2001&lt;/year&gt;&lt;/dates&gt;&lt;pub-location&gt;Amsterdam&lt;/pub-location&gt;&lt;urls&gt;&lt;/urls&gt;&lt;/record&gt;&lt;/Cite&gt;&lt;/EndNote&gt;</w:instrText>
      </w:r>
      <w:r w:rsidR="009D11A8">
        <w:rPr>
          <w:bCs/>
        </w:rPr>
        <w:fldChar w:fldCharType="separate"/>
      </w:r>
      <w:r w:rsidR="009D11A8">
        <w:rPr>
          <w:rFonts w:hint="eastAsia"/>
          <w:bCs/>
          <w:noProof/>
        </w:rPr>
        <w:t>(Zeebe &amp; Wolf</w:t>
      </w:r>
      <w:r w:rsidR="009D11A8">
        <w:rPr>
          <w:rFonts w:hint="eastAsia"/>
          <w:bCs/>
          <w:noProof/>
        </w:rPr>
        <w:t>‐</w:t>
      </w:r>
      <w:r w:rsidR="009D11A8">
        <w:rPr>
          <w:rFonts w:hint="eastAsia"/>
          <w:bCs/>
          <w:noProof/>
        </w:rPr>
        <w:t>Gladrow, 2001)</w:t>
      </w:r>
      <w:r w:rsidR="009D11A8">
        <w:rPr>
          <w:bCs/>
        </w:rPr>
        <w:fldChar w:fldCharType="end"/>
      </w:r>
      <w:r w:rsidR="002228CF">
        <w:rPr>
          <w:bCs/>
        </w:rPr>
        <w:t xml:space="preserve"> </w:t>
      </w:r>
      <w:r>
        <w:rPr>
          <w:bCs/>
        </w:rPr>
        <w:t>to solve for the boron isotope ratio of carbonate (</w:t>
      </w:r>
      <w:r>
        <w:rPr>
          <w:bCs/>
          <w:i/>
          <w:iCs/>
        </w:rPr>
        <w:t>δ</w:t>
      </w:r>
      <w:r>
        <w:rPr>
          <w:bCs/>
          <w:i/>
          <w:iCs/>
          <w:vertAlign w:val="superscript"/>
        </w:rPr>
        <w:t>11</w:t>
      </w:r>
      <w:r>
        <w:rPr>
          <w:bCs/>
          <w:i/>
          <w:iCs/>
        </w:rPr>
        <w:t>B</w:t>
      </w:r>
      <w:r>
        <w:rPr>
          <w:bCs/>
          <w:i/>
          <w:iCs/>
          <w:vertAlign w:val="subscript"/>
        </w:rPr>
        <w:t>c</w:t>
      </w:r>
      <w:r>
        <w:rPr>
          <w:bCs/>
        </w:rPr>
        <w:t>).</w:t>
      </w:r>
    </w:p>
    <w:p w14:paraId="08B8555F" w14:textId="54A60997" w:rsidR="00AE13B8" w:rsidRDefault="00000000" w:rsidP="00AE13B8">
      <w:pPr>
        <w:spacing w:line="480" w:lineRule="auto"/>
        <w:ind w:firstLine="720"/>
        <w:rPr>
          <w:rFonts w:eastAsiaTheme="minorEastAsia"/>
        </w:rPr>
      </w:pPr>
      <m:oMathPara>
        <m:oMath>
          <m:eqArr>
            <m:eqArrPr>
              <m:maxDist m:val="1"/>
              <m:ctrlPr>
                <w:rPr>
                  <w:rFonts w:ascii="Cambria Math" w:hAnsi="Cambria Math"/>
                  <w:i/>
                </w:rPr>
              </m:ctrlPr>
            </m:eqArrPr>
            <m:e>
              <m:r>
                <w:rPr>
                  <w:rFonts w:ascii="Cambria Math" w:hAnsi="Cambria Math"/>
                </w:rPr>
                <m:t xml:space="preserve">pH= </m:t>
              </m:r>
              <m:sSub>
                <m:sSubPr>
                  <m:ctrlPr>
                    <w:rPr>
                      <w:rFonts w:ascii="Cambria Math" w:hAnsi="Cambria Math"/>
                      <w:i/>
                    </w:rPr>
                  </m:ctrlPr>
                </m:sSubPr>
                <m:e>
                  <m:r>
                    <w:rPr>
                      <w:rFonts w:ascii="Cambria Math" w:hAnsi="Cambria Math"/>
                    </w:rPr>
                    <m:t>pK</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11</m:t>
                              </m:r>
                            </m:sup>
                          </m:sSup>
                          <m:sSub>
                            <m:sSubPr>
                              <m:ctrlPr>
                                <w:rPr>
                                  <w:rFonts w:ascii="Cambria Math" w:hAnsi="Cambria Math"/>
                                  <w:i/>
                                </w:rPr>
                              </m:ctrlPr>
                            </m:sSubPr>
                            <m:e>
                              <m:r>
                                <w:rPr>
                                  <w:rFonts w:ascii="Cambria Math" w:hAnsi="Cambria Math"/>
                                </w:rPr>
                                <m:t>B</m:t>
                              </m:r>
                            </m:e>
                            <m:sub>
                              <m:r>
                                <w:rPr>
                                  <w:rFonts w:ascii="Cambria Math" w:hAnsi="Cambria Math"/>
                                </w:rPr>
                                <m:t>sw</m:t>
                              </m:r>
                            </m:sub>
                          </m:sSub>
                          <m:r>
                            <w:rPr>
                              <w:rFonts w:ascii="Cambria Math" w:hAnsi="Cambria Math"/>
                            </w:rPr>
                            <m:t xml:space="preserve">- </m:t>
                          </m:r>
                          <m:sSup>
                            <m:sSupPr>
                              <m:ctrlPr>
                                <w:rPr>
                                  <w:rFonts w:ascii="Cambria Math" w:hAnsi="Cambria Math"/>
                                  <w:i/>
                                </w:rPr>
                              </m:ctrlPr>
                            </m:sSupPr>
                            <m:e>
                              <m:r>
                                <w:rPr>
                                  <w:rFonts w:ascii="Cambria Math" w:hAnsi="Cambria Math"/>
                                </w:rPr>
                                <m:t>δ</m:t>
                              </m:r>
                            </m:e>
                            <m:sup>
                              <m:r>
                                <w:rPr>
                                  <w:rFonts w:ascii="Cambria Math" w:hAnsi="Cambria Math"/>
                                </w:rPr>
                                <m:t>11</m:t>
                              </m:r>
                            </m:sup>
                          </m:sSup>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 xml:space="preserve"> </m:t>
                          </m:r>
                        </m:num>
                        <m:den>
                          <m:sSup>
                            <m:sSupPr>
                              <m:ctrlPr>
                                <w:rPr>
                                  <w:rFonts w:ascii="Cambria Math" w:hAnsi="Cambria Math"/>
                                  <w:i/>
                                </w:rPr>
                              </m:ctrlPr>
                            </m:sSupPr>
                            <m:e>
                              <m:r>
                                <w:rPr>
                                  <w:rFonts w:ascii="Cambria Math" w:hAnsi="Cambria Math"/>
                                </w:rPr>
                                <m:t>δ</m:t>
                              </m:r>
                            </m:e>
                            <m:sup>
                              <m:r>
                                <w:rPr>
                                  <w:rFonts w:ascii="Cambria Math" w:hAnsi="Cambria Math"/>
                                </w:rPr>
                                <m:t>11</m:t>
                              </m:r>
                            </m:sup>
                          </m:sSup>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 xml:space="preserve">- </m:t>
                          </m:r>
                          <m:sSup>
                            <m:sSupPr>
                              <m:ctrlPr>
                                <w:rPr>
                                  <w:rFonts w:ascii="Cambria Math" w:hAnsi="Cambria Math"/>
                                  <w:i/>
                                </w:rPr>
                              </m:ctrlPr>
                            </m:sSupPr>
                            <m:e>
                              <m:r>
                                <w:rPr>
                                  <w:rFonts w:ascii="Cambria Math" w:hAnsi="Cambria Math"/>
                                </w:rPr>
                                <m:t>δ</m:t>
                              </m:r>
                            </m:e>
                            <m:sup>
                              <m:r>
                                <w:rPr>
                                  <w:rFonts w:ascii="Cambria Math" w:hAnsi="Cambria Math"/>
                                </w:rPr>
                                <m:t>11</m:t>
                              </m:r>
                            </m:sup>
                          </m:sSup>
                          <m:sSub>
                            <m:sSubPr>
                              <m:ctrlPr>
                                <w:rPr>
                                  <w:rFonts w:ascii="Cambria Math" w:hAnsi="Cambria Math"/>
                                  <w:i/>
                                </w:rPr>
                              </m:ctrlPr>
                            </m:sSubPr>
                            <m:e>
                              <m:r>
                                <w:rPr>
                                  <w:rFonts w:ascii="Cambria Math" w:hAnsi="Cambria Math"/>
                                </w:rPr>
                                <m:t>B</m:t>
                              </m:r>
                            </m:e>
                            <m:sub>
                              <m:r>
                                <w:rPr>
                                  <w:rFonts w:ascii="Cambria Math" w:hAnsi="Cambria Math"/>
                                </w:rPr>
                                <m:t>sw</m:t>
                              </m:r>
                            </m:sub>
                          </m:sSub>
                          <m:r>
                            <w:rPr>
                              <w:rFonts w:ascii="Cambria Math" w:hAnsi="Cambria Math"/>
                            </w:rPr>
                            <m:t>+1000</m:t>
                          </m:r>
                          <m:d>
                            <m:dPr>
                              <m:ctrlPr>
                                <w:rPr>
                                  <w:rFonts w:ascii="Cambria Math" w:hAnsi="Cambria Math"/>
                                  <w:i/>
                                </w:rPr>
                              </m:ctrlPr>
                            </m:dPr>
                            <m:e>
                              <m:r>
                                <w:rPr>
                                  <w:rFonts w:ascii="Cambria Math" w:hAnsi="Cambria Math"/>
                                </w:rPr>
                                <m:t>α-1</m:t>
                              </m:r>
                            </m:e>
                          </m:d>
                        </m:den>
                      </m:f>
                    </m:e>
                  </m:d>
                </m:e>
              </m:func>
              <m:r>
                <w:rPr>
                  <w:rFonts w:ascii="Cambria Math" w:hAnsi="Cambria Math"/>
                </w:rPr>
                <m:t>#</m:t>
              </m:r>
              <m:d>
                <m:dPr>
                  <m:ctrlPr>
                    <w:rPr>
                      <w:rFonts w:ascii="Cambria Math" w:hAnsi="Cambria Math"/>
                      <w:i/>
                    </w:rPr>
                  </m:ctrlPr>
                </m:dPr>
                <m:e>
                  <m:r>
                    <w:rPr>
                      <w:rFonts w:ascii="Cambria Math" w:hAnsi="Cambria Math"/>
                    </w:rPr>
                    <m:t>4</m:t>
                  </m:r>
                </m:e>
              </m:d>
            </m:e>
          </m:eqArr>
        </m:oMath>
      </m:oMathPara>
    </w:p>
    <w:p w14:paraId="22AFD81C" w14:textId="453A95DF" w:rsidR="00AE13B8" w:rsidRDefault="00AE13B8" w:rsidP="00AE13B8">
      <w:pPr>
        <w:spacing w:line="480" w:lineRule="auto"/>
        <w:rPr>
          <w:bCs/>
          <w:i/>
          <w:iCs/>
        </w:rPr>
      </w:pPr>
      <w:r>
        <w:rPr>
          <w:bCs/>
        </w:rPr>
        <w:t>Where the boron isotope ratio of seawater (</w:t>
      </w:r>
      <w:r>
        <w:rPr>
          <w:bCs/>
          <w:i/>
          <w:iCs/>
        </w:rPr>
        <w:t>δ</w:t>
      </w:r>
      <w:r>
        <w:rPr>
          <w:bCs/>
          <w:i/>
          <w:iCs/>
          <w:vertAlign w:val="superscript"/>
        </w:rPr>
        <w:t>11</w:t>
      </w:r>
      <w:r>
        <w:rPr>
          <w:bCs/>
          <w:i/>
          <w:iCs/>
        </w:rPr>
        <w:t>B</w:t>
      </w:r>
      <w:r>
        <w:rPr>
          <w:bCs/>
          <w:i/>
          <w:iCs/>
          <w:vertAlign w:val="subscript"/>
        </w:rPr>
        <w:t>sw</w:t>
      </w:r>
      <w:r>
        <w:rPr>
          <w:bCs/>
        </w:rPr>
        <w:t xml:space="preserve">) is 39.61‰ </w:t>
      </w:r>
      <w:r w:rsidR="009D11A8">
        <w:rPr>
          <w:bCs/>
        </w:rPr>
        <w:fldChar w:fldCharType="begin"/>
      </w:r>
      <w:r w:rsidR="009D11A8">
        <w:rPr>
          <w:bCs/>
        </w:rPr>
        <w:instrText xml:space="preserve"> ADDIN EN.CITE &lt;EndNote&gt;&lt;Cite&gt;&lt;Author&gt;Foster&lt;/Author&gt;&lt;Year&gt;2010&lt;/Year&gt;&lt;RecNum&gt;43&lt;/RecNum&gt;&lt;DisplayText&gt;(Foster et al., 2010)&lt;/DisplayText&gt;&lt;record&gt;&lt;rec-number&gt;43&lt;/rec-number&gt;&lt;foreign-keys&gt;&lt;key app="EN" db-id="ap92v52v3as9vrederpxe2wov25et2dfssd9" timestamp="1621430227"&gt;43&lt;/key&gt;&lt;/foreign-keys&gt;&lt;ref-type name="Journal Article"&gt;17&lt;/ref-type&gt;&lt;contributors&gt;&lt;authors&gt;&lt;author&gt;Foster, G L&lt;/author&gt;&lt;author&gt;Pogge von Strandmann, P A E&lt;/author&gt;&lt;author&gt;Rae, J W B&lt;/author&gt;&lt;/authors&gt;&lt;/contributors&gt;&lt;titles&gt;&lt;title&gt;Boron and magnesium isotopic composition of seawater&lt;/title&gt;&lt;secondary-title&gt;Geochem. Geophys. Geosyst.&lt;/secondary-title&gt;&lt;/titles&gt;&lt;periodical&gt;&lt;full-title&gt;Geochem. Geophys. Geosyst.&lt;/full-title&gt;&lt;/periodical&gt;&lt;volume&gt;11&lt;/volume&gt;&lt;keywords&gt;&lt;keyword&gt;MC-ICPMS&lt;/keyword&gt;&lt;keyword&gt;boron isotopes&lt;/keyword&gt;&lt;keyword&gt;magnesium isotopes&lt;/keyword&gt;&lt;keyword&gt;seawater&lt;/keyword&gt;&lt;/keywords&gt;&lt;dates&gt;&lt;year&gt;2010&lt;/year&gt;&lt;/dates&gt;&lt;publisher&gt;John Wiley &amp;amp; Sons, Ltd&lt;/publisher&gt;&lt;urls&gt;&lt;related-urls&gt;&lt;url&gt;https://agupubs.onlinelibrary.wiley.com/doi/pdfdirect/10.1029/2010GC003201?download=true&lt;/url&gt;&lt;/related-urls&gt;&lt;/urls&gt;&lt;electronic-resource-num&gt;10.1029/2010GC003201&lt;/electronic-resource-num&gt;&lt;research-notes&gt;https://doi.org/10.1029/2010GC003201&lt;/research-notes&gt;&lt;/record&gt;&lt;/Cite&gt;&lt;/EndNote&gt;</w:instrText>
      </w:r>
      <w:r w:rsidR="009D11A8">
        <w:rPr>
          <w:bCs/>
        </w:rPr>
        <w:fldChar w:fldCharType="separate"/>
      </w:r>
      <w:r w:rsidR="009D11A8">
        <w:rPr>
          <w:bCs/>
          <w:noProof/>
        </w:rPr>
        <w:t>(Foster et al., 2010)</w:t>
      </w:r>
      <w:r w:rsidR="009D11A8">
        <w:rPr>
          <w:bCs/>
        </w:rPr>
        <w:fldChar w:fldCharType="end"/>
      </w:r>
      <w:r>
        <w:rPr>
          <w:bCs/>
        </w:rPr>
        <w:t>, and the mass fraction factor between boric acid and borate ion (</w:t>
      </w:r>
      <w:r>
        <w:rPr>
          <w:bCs/>
          <w:i/>
          <w:iCs/>
        </w:rPr>
        <w:t>α</w:t>
      </w:r>
      <w:r>
        <w:rPr>
          <w:bCs/>
        </w:rPr>
        <w:t xml:space="preserve">) is 1.0272 </w:t>
      </w:r>
      <w:r w:rsidR="009D11A8">
        <w:rPr>
          <w:bCs/>
        </w:rPr>
        <w:fldChar w:fldCharType="begin"/>
      </w:r>
      <w:r w:rsidR="009D11A8">
        <w:rPr>
          <w:bCs/>
        </w:rPr>
        <w:instrText xml:space="preserve"> ADDIN EN.CITE &lt;EndNote&gt;&lt;Cite&gt;&lt;Author&gt;Klochko&lt;/Author&gt;&lt;Year&gt;2006&lt;/Year&gt;&lt;RecNum&gt;86&lt;/RecNum&gt;&lt;DisplayText&gt;(Klochko et al., 2006)&lt;/DisplayText&gt;&lt;record&gt;&lt;rec-number&gt;86&lt;/rec-number&gt;&lt;foreign-keys&gt;&lt;key app="EN" db-id="ap92v52v3as9vrederpxe2wov25et2dfssd9" timestamp="1621430227"&gt;86&lt;/key&gt;&lt;/foreign-keys&gt;&lt;ref-type name="Journal Article"&gt;17&lt;/ref-type&gt;&lt;contributors&gt;&lt;authors&gt;&lt;author&gt;Klochko, Kateryna&lt;/author&gt;&lt;author&gt;Kaufman, Alan J&lt;/author&gt;&lt;author&gt;Yao, Wengsheng&lt;/author&gt;&lt;author&gt;Byrne, Robert H&lt;/author&gt;&lt;author&gt;Tossell, John A&lt;/author&gt;&lt;/authors&gt;&lt;/contributors&gt;&lt;titles&gt;&lt;title&gt;Experimental measurement of boron isotope fractionation in seawater&lt;/title&gt;&lt;secondary-title&gt;Earth Planet. Sc. Lett.&lt;/secondary-title&gt;&lt;/titles&gt;&lt;periodical&gt;&lt;full-title&gt;Earth Planet. Sc. Lett.&lt;/full-title&gt;&lt;/periodical&gt;&lt;pages&gt;276-285&lt;/pages&gt;&lt;volume&gt;248&lt;/volume&gt;&lt;dates&gt;&lt;year&gt;2006&lt;/year&gt;&lt;/dates&gt;&lt;publisher&gt;Elsevier&lt;/publisher&gt;&lt;urls&gt;&lt;/urls&gt;&lt;electronic-resource-num&gt;10.1016/j.epsl.2006.05.034&lt;/electronic-resource-num&gt;&lt;research-notes&gt;Determined fractionation factor between boric acid and borate in seawater. &amp;#xD;Precipitation of aragonite reflects borate species&lt;/research-notes&gt;&lt;/record&gt;&lt;/Cite&gt;&lt;/EndNote&gt;</w:instrText>
      </w:r>
      <w:r w:rsidR="009D11A8">
        <w:rPr>
          <w:bCs/>
        </w:rPr>
        <w:fldChar w:fldCharType="separate"/>
      </w:r>
      <w:r w:rsidR="009D11A8">
        <w:rPr>
          <w:bCs/>
          <w:noProof/>
        </w:rPr>
        <w:t>(Klochko et al., 2006)</w:t>
      </w:r>
      <w:r w:rsidR="009D11A8">
        <w:rPr>
          <w:bCs/>
        </w:rPr>
        <w:fldChar w:fldCharType="end"/>
      </w:r>
      <w:r>
        <w:rPr>
          <w:bCs/>
        </w:rPr>
        <w:t>. The negative log of the dissociation constant between boric acid and borate ion (</w:t>
      </w:r>
      <w:proofErr w:type="spellStart"/>
      <w:r>
        <w:rPr>
          <w:bCs/>
          <w:i/>
          <w:iCs/>
        </w:rPr>
        <w:t>pKb</w:t>
      </w:r>
      <w:proofErr w:type="spellEnd"/>
      <w:r>
        <w:rPr>
          <w:bCs/>
        </w:rPr>
        <w:t xml:space="preserve">) is a function of both temperature and salinity. We therefore calculated </w:t>
      </w:r>
      <w:proofErr w:type="spellStart"/>
      <w:r>
        <w:rPr>
          <w:bCs/>
          <w:i/>
          <w:iCs/>
        </w:rPr>
        <w:t>pKb</w:t>
      </w:r>
      <w:proofErr w:type="spellEnd"/>
      <w:r>
        <w:rPr>
          <w:bCs/>
          <w:i/>
          <w:iCs/>
        </w:rPr>
        <w:t xml:space="preserve"> </w:t>
      </w:r>
      <w:r>
        <w:rPr>
          <w:bCs/>
        </w:rPr>
        <w:t xml:space="preserve">at each time interval by taking the negative log of the </w:t>
      </w:r>
      <w:proofErr w:type="spellStart"/>
      <w:r>
        <w:rPr>
          <w:bCs/>
          <w:i/>
          <w:iCs/>
        </w:rPr>
        <w:t>Kb</w:t>
      </w:r>
      <w:proofErr w:type="spellEnd"/>
      <w:r>
        <w:rPr>
          <w:bCs/>
          <w:i/>
          <w:iCs/>
        </w:rPr>
        <w:t xml:space="preserve"> </w:t>
      </w:r>
      <w:r>
        <w:rPr>
          <w:bCs/>
        </w:rPr>
        <w:t xml:space="preserve">equation from </w:t>
      </w:r>
      <w:r w:rsidR="009D11A8">
        <w:rPr>
          <w:bCs/>
        </w:rPr>
        <w:fldChar w:fldCharType="begin"/>
      </w:r>
      <w:r w:rsidR="009D11A8">
        <w:rPr>
          <w:bCs/>
        </w:rPr>
        <w:instrText xml:space="preserve"> ADDIN EN.CITE &lt;EndNote&gt;&lt;Cite&gt;&lt;Author&gt;Dickson&lt;/Author&gt;&lt;Year&gt;1990&lt;/Year&gt;&lt;RecNum&gt;2023&lt;/RecNum&gt;&lt;DisplayText&gt;(Dickson, 1990)&lt;/DisplayText&gt;&lt;record&gt;&lt;rec-number&gt;2023&lt;/rec-number&gt;&lt;foreign-keys&gt;&lt;key app="EN" db-id="ap92v52v3as9vrederpxe2wov25et2dfssd9" timestamp="1675199594"&gt;2023&lt;/key&gt;&lt;/foreign-keys&gt;&lt;ref-type name="Journal Article"&gt;17&lt;/ref-type&gt;&lt;contributors&gt;&lt;authors&gt;&lt;author&gt;Dickson, Andrew G.&lt;/author&gt;&lt;/authors&gt;&lt;/contributors&gt;&lt;titles&gt;&lt;title&gt;Thermodynamics of the dissociation of boric acid in synthetic seawater from 273.15 to 318.15 K&lt;/title&gt;&lt;secondary-title&gt;Deep Sea Res. Part A&lt;/secondary-title&gt;&lt;/titles&gt;&lt;periodical&gt;&lt;full-title&gt;Deep Sea Res. Part A&lt;/full-title&gt;&lt;/periodical&gt;&lt;pages&gt;755-766&lt;/pages&gt;&lt;volume&gt;37&lt;/volume&gt;&lt;number&gt;5&lt;/number&gt;&lt;dates&gt;&lt;year&gt;1990&lt;/year&gt;&lt;pub-dates&gt;&lt;date&gt;1990/05/01/&lt;/date&gt;&lt;/pub-dates&gt;&lt;/dates&gt;&lt;isbn&gt;0198-0149&lt;/isbn&gt;&lt;urls&gt;&lt;related-urls&gt;&lt;url&gt;https://www.sciencedirect.com/science/article/pii/019801499090004F&lt;/url&gt;&lt;/related-urls&gt;&lt;/urls&gt;&lt;electronic-resource-num&gt;10.1016/0198-0149(90)90004-F&lt;/electronic-resource-num&gt;&lt;/record&gt;&lt;/Cite&gt;&lt;/EndNote&gt;</w:instrText>
      </w:r>
      <w:r w:rsidR="009D11A8">
        <w:rPr>
          <w:bCs/>
        </w:rPr>
        <w:fldChar w:fldCharType="separate"/>
      </w:r>
      <w:r w:rsidR="009D11A8">
        <w:rPr>
          <w:bCs/>
          <w:noProof/>
        </w:rPr>
        <w:t>(Dickson, 1990)</w:t>
      </w:r>
      <w:r w:rsidR="009D11A8">
        <w:rPr>
          <w:bCs/>
        </w:rPr>
        <w:fldChar w:fldCharType="end"/>
      </w:r>
      <w:r>
        <w:rPr>
          <w:bCs/>
        </w:rPr>
        <w:t xml:space="preserve">. The values of </w:t>
      </w:r>
      <w:proofErr w:type="spellStart"/>
      <w:r>
        <w:rPr>
          <w:bCs/>
          <w:i/>
          <w:iCs/>
        </w:rPr>
        <w:t>pKb</w:t>
      </w:r>
      <w:proofErr w:type="spellEnd"/>
      <w:r>
        <w:rPr>
          <w:bCs/>
          <w:i/>
          <w:iCs/>
        </w:rPr>
        <w:t xml:space="preserve"> </w:t>
      </w:r>
      <w:r>
        <w:rPr>
          <w:bCs/>
        </w:rPr>
        <w:t>ranged between 8.56 and 8.64 given a temperature range between 21.83 and 29.69</w:t>
      </w:r>
      <w:r>
        <w:rPr>
          <w:bCs/>
          <w:vertAlign w:val="superscript"/>
        </w:rPr>
        <w:t>o</w:t>
      </w:r>
      <w:r>
        <w:rPr>
          <w:bCs/>
        </w:rPr>
        <w:t xml:space="preserve">C and a salinity range between 31.61 and 34.17 </w:t>
      </w:r>
      <w:proofErr w:type="spellStart"/>
      <w:r>
        <w:rPr>
          <w:bCs/>
        </w:rPr>
        <w:t>psu</w:t>
      </w:r>
      <w:proofErr w:type="spellEnd"/>
      <w:r>
        <w:rPr>
          <w:bCs/>
        </w:rPr>
        <w:t>.</w:t>
      </w:r>
    </w:p>
    <w:p w14:paraId="4F025F4C" w14:textId="19A61586" w:rsidR="00AE13B8" w:rsidRDefault="00AE13B8" w:rsidP="00AE13B8">
      <w:pPr>
        <w:spacing w:line="480" w:lineRule="auto"/>
        <w:ind w:firstLine="720"/>
        <w:rPr>
          <w:bCs/>
        </w:rPr>
      </w:pPr>
      <w:r>
        <w:rPr>
          <w:bCs/>
        </w:rPr>
        <w:t>These calculations yield synthetic δ</w:t>
      </w:r>
      <w:r>
        <w:rPr>
          <w:bCs/>
          <w:vertAlign w:val="superscript"/>
        </w:rPr>
        <w:t>11</w:t>
      </w:r>
      <w:r>
        <w:rPr>
          <w:bCs/>
        </w:rPr>
        <w:t xml:space="preserve">B values between 18.30 and 19.64‰, which is expected given the pH of seawater. However, corals upregulate their internal pH relative to seawater </w:t>
      </w:r>
      <w:r w:rsidR="009D11A8">
        <w:rPr>
          <w:bCs/>
        </w:rPr>
        <w:fldChar w:fldCharType="begin"/>
      </w:r>
      <w:r w:rsidR="009D11A8">
        <w:rPr>
          <w:bCs/>
        </w:rPr>
        <w:instrText xml:space="preserve"> ADDIN EN.CITE &lt;EndNote&gt;&lt;Cite&gt;&lt;Author&gt;McCulloch&lt;/Author&gt;&lt;Year&gt;2017&lt;/Year&gt;&lt;RecNum&gt;102&lt;/RecNum&gt;&lt;DisplayText&gt;(McCulloch et al., 2017)&lt;/DisplayText&gt;&lt;record&gt;&lt;rec-number&gt;102&lt;/rec-number&gt;&lt;foreign-keys&gt;&lt;key app="EN" db-id="ap92v52v3as9vrederpxe2wov25et2dfssd9" timestamp="1621430227"&gt;102&lt;/key&gt;&lt;/foreign-keys&gt;&lt;ref-type name="Journal Article"&gt;17&lt;/ref-type&gt;&lt;contributors&gt;&lt;authors&gt;&lt;author&gt;McCulloch, Malcolm T&lt;/author&gt;&lt;author&gt;D’Olivo, Juan Pablo&lt;/author&gt;&lt;author&gt;Falter, James&lt;/author&gt;&lt;author&gt;Holcomb, Michael&lt;/author&gt;&lt;author&gt;Trotter, Julie A&lt;/author&gt;&lt;/authors&gt;&lt;/contributors&gt;&lt;titles&gt;&lt;title&gt;Coral calcification in a changing World and the interactive dynamics of pH and DIC upregulation&lt;/title&gt;&lt;secondary-title&gt;Nat. Commun.&lt;/secondary-title&gt;&lt;/titles&gt;&lt;periodical&gt;&lt;full-title&gt;Nat. Commun.&lt;/full-title&gt;&lt;/periodical&gt;&lt;pages&gt;15686&lt;/pages&gt;&lt;volume&gt;8&lt;/volume&gt;&lt;dates&gt;&lt;year&gt;2017&lt;/year&gt;&lt;/dates&gt;&lt;urls&gt;&lt;related-urls&gt;&lt;url&gt;https://www.ncbi.nlm.nih.gov/pmc/articles/PMC5499203/pdf/ncomms15686.pdf&lt;/url&gt;&lt;/related-urls&gt;&lt;/urls&gt;&lt;electronic-resource-num&gt;10.1038/ncomms15686&lt;/electronic-resource-num&gt;&lt;/record&gt;&lt;/Cite&gt;&lt;/EndNote&gt;</w:instrText>
      </w:r>
      <w:r w:rsidR="009D11A8">
        <w:rPr>
          <w:bCs/>
        </w:rPr>
        <w:fldChar w:fldCharType="separate"/>
      </w:r>
      <w:r w:rsidR="009D11A8">
        <w:rPr>
          <w:bCs/>
          <w:noProof/>
        </w:rPr>
        <w:t>(McCulloch et al., 2017)</w:t>
      </w:r>
      <w:r w:rsidR="009D11A8">
        <w:rPr>
          <w:bCs/>
        </w:rPr>
        <w:fldChar w:fldCharType="end"/>
      </w:r>
      <w:r>
        <w:rPr>
          <w:bCs/>
        </w:rPr>
        <w:t xml:space="preserve"> while also exhibiting greater seasonal variance </w:t>
      </w:r>
      <w:r w:rsidR="009D11A8">
        <w:rPr>
          <w:bCs/>
        </w:rPr>
        <w:fldChar w:fldCharType="begin"/>
      </w:r>
      <w:r w:rsidR="009D11A8">
        <w:rPr>
          <w:bCs/>
        </w:rPr>
        <w:instrText xml:space="preserve"> ADDIN EN.CITE &lt;EndNote&gt;&lt;Cite&gt;&lt;Author&gt;Ross&lt;/Author&gt;&lt;Year&gt;2017&lt;/Year&gt;&lt;RecNum&gt;88&lt;/RecNum&gt;&lt;DisplayText&gt;(Ross et al., 2017)&lt;/DisplayText&gt;&lt;record&gt;&lt;rec-number&gt;88&lt;/rec-number&gt;&lt;foreign-keys&gt;&lt;key app="EN" db-id="ap92v52v3as9vrederpxe2wov25et2dfssd9" timestamp="1621430227"&gt;88&lt;/key&gt;&lt;/foreign-keys&gt;&lt;ref-type name="Journal Article"&gt;17&lt;/ref-type&gt;&lt;contributors&gt;&lt;authors&gt;&lt;author&gt;Ross, Claire L&lt;/author&gt;&lt;author&gt;Falter, James L&lt;/author&gt;&lt;author&gt;McCulloch, Malcolm T&lt;/author&gt;&lt;/authors&gt;&lt;/contributors&gt;&lt;titles&gt;&lt;title&gt;Active modulation of the calcifying fluid carbonate chemistry (δ 11 B, B/Ca) and seasonally invariant coral calcification at sub-tropical limits&lt;/title&gt;&lt;secondary-title&gt;Sci. Rep.&lt;/secondary-title&gt;&lt;/titles&gt;&lt;periodical&gt;&lt;full-title&gt;Sci. Rep.&lt;/full-title&gt;&lt;/periodical&gt;&lt;pages&gt;1-11&lt;/pages&gt;&lt;volume&gt;7&lt;/volume&gt;&lt;dates&gt;&lt;year&gt;2017&lt;/year&gt;&lt;/dates&gt;&lt;publisher&gt;Nature Publishing Group&lt;/publisher&gt;&lt;urls&gt;&lt;/urls&gt;&lt;electronic-resource-num&gt;10.1038/s41598-017-14066-9&lt;/electronic-resource-num&gt;&lt;/record&gt;&lt;/Cite&gt;&lt;/EndNote&gt;</w:instrText>
      </w:r>
      <w:r w:rsidR="009D11A8">
        <w:rPr>
          <w:bCs/>
        </w:rPr>
        <w:fldChar w:fldCharType="separate"/>
      </w:r>
      <w:r w:rsidR="009D11A8">
        <w:rPr>
          <w:bCs/>
          <w:noProof/>
        </w:rPr>
        <w:t>(Ross et al., 2017)</w:t>
      </w:r>
      <w:r w:rsidR="009D11A8">
        <w:rPr>
          <w:bCs/>
        </w:rPr>
        <w:fldChar w:fldCharType="end"/>
      </w:r>
      <w:r>
        <w:rPr>
          <w:bCs/>
        </w:rPr>
        <w:t>. Thus, to yield synthetic δ</w:t>
      </w:r>
      <w:r>
        <w:rPr>
          <w:bCs/>
          <w:vertAlign w:val="superscript"/>
        </w:rPr>
        <w:t>11</w:t>
      </w:r>
      <w:r>
        <w:rPr>
          <w:bCs/>
        </w:rPr>
        <w:t xml:space="preserve">B values consistent with those observed in coral aragonite, we calculated </w:t>
      </w:r>
      <w:r w:rsidR="009509AD">
        <w:rPr>
          <w:bCs/>
        </w:rPr>
        <w:t>the pH of the calcifying fluid (</w:t>
      </w:r>
      <w:proofErr w:type="spellStart"/>
      <w:r w:rsidR="009509AD">
        <w:rPr>
          <w:bCs/>
        </w:rPr>
        <w:t>pH</w:t>
      </w:r>
      <w:r w:rsidR="009509AD">
        <w:rPr>
          <w:bCs/>
          <w:vertAlign w:val="subscript"/>
        </w:rPr>
        <w:t>cf</w:t>
      </w:r>
      <w:proofErr w:type="spellEnd"/>
      <w:r w:rsidR="009509AD">
        <w:rPr>
          <w:bCs/>
        </w:rPr>
        <w:t xml:space="preserve">) </w:t>
      </w:r>
      <w:r>
        <w:rPr>
          <w:bCs/>
        </w:rPr>
        <w:t xml:space="preserve">from </w:t>
      </w:r>
      <w:proofErr w:type="spellStart"/>
      <w:r>
        <w:rPr>
          <w:bCs/>
        </w:rPr>
        <w:t>pH</w:t>
      </w:r>
      <w:r w:rsidR="009509AD">
        <w:rPr>
          <w:bCs/>
          <w:vertAlign w:val="subscript"/>
        </w:rPr>
        <w:t>sw</w:t>
      </w:r>
      <w:proofErr w:type="spellEnd"/>
      <w:r>
        <w:rPr>
          <w:bCs/>
        </w:rPr>
        <w:t xml:space="preserve"> using equation 14 from </w:t>
      </w:r>
      <w:r w:rsidR="009D11A8">
        <w:rPr>
          <w:bCs/>
        </w:rPr>
        <w:fldChar w:fldCharType="begin"/>
      </w:r>
      <w:r w:rsidR="009D11A8">
        <w:rPr>
          <w:bCs/>
        </w:rPr>
        <w:instrText xml:space="preserve"> ADDIN EN.CITE &lt;EndNote&gt;&lt;Cite&gt;&lt;Author&gt;D&amp;apos;Olivo&lt;/Author&gt;&lt;Year&gt;2019&lt;/Year&gt;&lt;RecNum&gt;2033&lt;/RecNum&gt;&lt;DisplayText&gt;(D&amp;apos;Olivo et al., 2019)&lt;/DisplayText&gt;&lt;record&gt;&lt;rec-number&gt;2033&lt;/rec-number&gt;&lt;foreign-keys&gt;&lt;key app="EN" db-id="ap92v52v3as9vrederpxe2wov25et2dfssd9" timestamp="1678309629"&gt;2033&lt;/key&gt;&lt;/foreign-keys&gt;&lt;ref-type name="Journal Article"&gt;17&lt;/ref-type&gt;&lt;contributors&gt;&lt;authors&gt;&lt;author&gt;D&amp;apos;Olivo, Juan P.&lt;/author&gt;&lt;author&gt;Ellwood, George&lt;/author&gt;&lt;author&gt;DeCarlo, Thomas M.&lt;/author&gt;&lt;author&gt;McCulloch, Malcolm T.&lt;/author&gt;&lt;/authors&gt;&lt;/contributors&gt;&lt;titles&gt;&lt;title&gt;Deconvolving the long-term impacts of ocean acidification and warming on coral biomineralisation&lt;/title&gt;&lt;secondary-title&gt;Earth Planet. Sc. Lett.&lt;/secondary-title&gt;&lt;/titles&gt;&lt;periodical&gt;&lt;full-title&gt;Earth Planet. Sc. Lett.&lt;/full-title&gt;&lt;/periodical&gt;&lt;pages&gt;115785&lt;/pages&gt;&lt;volume&gt;526&lt;/volume&gt;&lt;keywords&gt;&lt;keyword&gt;Boron isotopes&lt;/keyword&gt;&lt;keyword&gt;coral calcification&lt;/keyword&gt;&lt;keyword&gt;Porites&lt;/keyword&gt;&lt;keyword&gt;calcifying fluid&lt;/keyword&gt;&lt;keyword&gt;ocean acidification&lt;/keyword&gt;&lt;keyword&gt;global warming&lt;/keyword&gt;&lt;/keywords&gt;&lt;dates&gt;&lt;year&gt;2019&lt;/year&gt;&lt;pub-dates&gt;&lt;date&gt;2019/11/15/&lt;/date&gt;&lt;/pub-dates&gt;&lt;/dates&gt;&lt;isbn&gt;0012-821X&lt;/isbn&gt;&lt;urls&gt;&lt;related-urls&gt;&lt;url&gt;https://www.sciencedirect.com/science/article/pii/S0012821X19304777&lt;/url&gt;&lt;/related-urls&gt;&lt;/urls&gt;&lt;electronic-resource-num&gt;10.1016/j.epsl.2019.115785&lt;/electronic-resource-num&gt;&lt;/record&gt;&lt;/Cite&gt;&lt;/EndNote&gt;</w:instrText>
      </w:r>
      <w:r w:rsidR="009D11A8">
        <w:rPr>
          <w:bCs/>
        </w:rPr>
        <w:fldChar w:fldCharType="separate"/>
      </w:r>
      <w:r w:rsidR="009D11A8">
        <w:rPr>
          <w:bCs/>
          <w:noProof/>
        </w:rPr>
        <w:t>(D'Olivo et al., 2019)</w:t>
      </w:r>
      <w:r w:rsidR="009D11A8">
        <w:rPr>
          <w:bCs/>
        </w:rPr>
        <w:fldChar w:fldCharType="end"/>
      </w:r>
      <w:r>
        <w:rPr>
          <w:bCs/>
        </w:rPr>
        <w:t>.</w:t>
      </w:r>
    </w:p>
    <w:p w14:paraId="290EB822" w14:textId="7EB5A67D" w:rsidR="00AE13B8" w:rsidRDefault="00000000" w:rsidP="00AE13B8">
      <w:pPr>
        <w:spacing w:line="480" w:lineRule="auto"/>
        <w:rPr>
          <w:rFonts w:eastAsiaTheme="minorEastAsia"/>
          <w:i/>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pH</m:t>
                  </m:r>
                </m:e>
                <m:sub>
                  <m:r>
                    <w:rPr>
                      <w:rFonts w:ascii="Cambria Math" w:hAnsi="Cambria Math"/>
                    </w:rPr>
                    <m:t>cf</m:t>
                  </m:r>
                </m:sub>
              </m:sSub>
              <m:r>
                <w:rPr>
                  <w:rFonts w:ascii="Cambria Math" w:hAnsi="Cambria Math"/>
                </w:rPr>
                <m:t>= 0.49</m:t>
              </m:r>
              <m:sSub>
                <m:sSubPr>
                  <m:ctrlPr>
                    <w:rPr>
                      <w:rFonts w:ascii="Cambria Math" w:hAnsi="Cambria Math"/>
                      <w:i/>
                    </w:rPr>
                  </m:ctrlPr>
                </m:sSubPr>
                <m:e>
                  <m:r>
                    <w:rPr>
                      <w:rFonts w:ascii="Cambria Math" w:hAnsi="Cambria Math"/>
                    </w:rPr>
                    <m:t>pH</m:t>
                  </m:r>
                </m:e>
                <m:sub>
                  <m:r>
                    <w:rPr>
                      <w:rFonts w:ascii="Cambria Math" w:hAnsi="Cambria Math"/>
                    </w:rPr>
                    <m:t>sw</m:t>
                  </m:r>
                </m:sub>
              </m:sSub>
              <m:r>
                <w:rPr>
                  <w:rFonts w:ascii="Cambria Math" w:hAnsi="Cambria Math"/>
                </w:rPr>
                <m:t>-0.02T+4.93#</m:t>
              </m:r>
              <m:d>
                <m:dPr>
                  <m:ctrlPr>
                    <w:rPr>
                      <w:rFonts w:ascii="Cambria Math" w:hAnsi="Cambria Math"/>
                      <w:i/>
                    </w:rPr>
                  </m:ctrlPr>
                </m:dPr>
                <m:e>
                  <m:r>
                    <w:rPr>
                      <w:rFonts w:ascii="Cambria Math" w:hAnsi="Cambria Math"/>
                    </w:rPr>
                    <m:t>5</m:t>
                  </m:r>
                </m:e>
              </m:d>
            </m:e>
          </m:eqArr>
        </m:oMath>
      </m:oMathPara>
    </w:p>
    <w:p w14:paraId="34BABBCE" w14:textId="4AB3A2B7" w:rsidR="00AE13B8" w:rsidRDefault="00AE13B8" w:rsidP="00AE13B8">
      <w:pPr>
        <w:spacing w:line="480" w:lineRule="auto"/>
        <w:rPr>
          <w:bCs/>
        </w:rPr>
      </w:pPr>
      <w:r>
        <w:rPr>
          <w:bCs/>
        </w:rPr>
        <w:lastRenderedPageBreak/>
        <w:t>Note that the temperature sensitivity of synthetic δ</w:t>
      </w:r>
      <w:r>
        <w:rPr>
          <w:bCs/>
          <w:vertAlign w:val="superscript"/>
        </w:rPr>
        <w:t>11</w:t>
      </w:r>
      <w:r>
        <w:rPr>
          <w:bCs/>
        </w:rPr>
        <w:t xml:space="preserve">B values is realized in its dependence on both </w:t>
      </w:r>
      <w:proofErr w:type="spellStart"/>
      <w:r>
        <w:rPr>
          <w:bCs/>
        </w:rPr>
        <w:t>pKb</w:t>
      </w:r>
      <w:proofErr w:type="spellEnd"/>
      <w:r>
        <w:rPr>
          <w:bCs/>
        </w:rPr>
        <w:t xml:space="preserve"> as well as </w:t>
      </w:r>
      <w:proofErr w:type="spellStart"/>
      <w:r>
        <w:rPr>
          <w:bCs/>
        </w:rPr>
        <w:t>pH</w:t>
      </w:r>
      <w:r>
        <w:rPr>
          <w:bCs/>
        </w:rPr>
        <w:softHyphen/>
      </w:r>
      <w:r>
        <w:rPr>
          <w:bCs/>
          <w:vertAlign w:val="subscript"/>
        </w:rPr>
        <w:t>cf</w:t>
      </w:r>
      <w:proofErr w:type="spellEnd"/>
      <w:r>
        <w:rPr>
          <w:bCs/>
        </w:rPr>
        <w:t>. Meanwhile, the salinity sensitivity of synthetic δ</w:t>
      </w:r>
      <w:r>
        <w:rPr>
          <w:bCs/>
          <w:vertAlign w:val="superscript"/>
        </w:rPr>
        <w:t>11</w:t>
      </w:r>
      <w:r>
        <w:rPr>
          <w:bCs/>
        </w:rPr>
        <w:t xml:space="preserve">B values is only realized in its dependence on </w:t>
      </w:r>
      <w:proofErr w:type="spellStart"/>
      <w:r>
        <w:rPr>
          <w:bCs/>
        </w:rPr>
        <w:t>pKb</w:t>
      </w:r>
      <w:proofErr w:type="spellEnd"/>
      <w:r>
        <w:rPr>
          <w:bCs/>
        </w:rPr>
        <w:t xml:space="preserve">. </w:t>
      </w:r>
      <w:r w:rsidR="009509AD">
        <w:rPr>
          <w:bCs/>
        </w:rPr>
        <w:t>Synthetic δ</w:t>
      </w:r>
      <w:r w:rsidR="009509AD">
        <w:rPr>
          <w:bCs/>
          <w:vertAlign w:val="superscript"/>
        </w:rPr>
        <w:t>1</w:t>
      </w:r>
      <w:r w:rsidR="009509AD">
        <w:rPr>
          <w:bCs/>
          <w:vertAlign w:val="superscript"/>
        </w:rPr>
        <w:t>1</w:t>
      </w:r>
      <w:r w:rsidR="009509AD">
        <w:rPr>
          <w:bCs/>
        </w:rPr>
        <w:t>B</w:t>
      </w:r>
      <w:r w:rsidR="009509AD">
        <w:rPr>
          <w:bCs/>
        </w:rPr>
        <w:t xml:space="preserve"> values ranged from </w:t>
      </w:r>
      <w:r w:rsidR="00F80803">
        <w:rPr>
          <w:bCs/>
        </w:rPr>
        <w:t>22.21 – 24.10</w:t>
      </w:r>
      <w:r w:rsidR="009509AD">
        <w:rPr>
          <w:bCs/>
        </w:rPr>
        <w:t xml:space="preserve">‰ (μ = </w:t>
      </w:r>
      <w:r w:rsidR="00F80803">
        <w:rPr>
          <w:rFonts w:ascii="Cambria Math" w:hAnsi="Cambria Math"/>
          <w:bCs/>
        </w:rPr>
        <w:t>23.17</w:t>
      </w:r>
      <w:r w:rsidR="009509AD">
        <w:rPr>
          <w:bCs/>
        </w:rPr>
        <w:t xml:space="preserve">‰ ± </w:t>
      </w:r>
      <w:r w:rsidR="00F80803">
        <w:rPr>
          <w:bCs/>
        </w:rPr>
        <w:t>0.41</w:t>
      </w:r>
      <w:r w:rsidR="009509AD">
        <w:rPr>
          <w:bCs/>
        </w:rPr>
        <w:t>).</w:t>
      </w:r>
    </w:p>
    <w:p w14:paraId="6EE02EF6" w14:textId="77777777" w:rsidR="00AE13B8" w:rsidRPr="004C75A8" w:rsidRDefault="00AE13B8" w:rsidP="004C75A8">
      <w:pPr>
        <w:pStyle w:val="Heading2"/>
        <w:numPr>
          <w:ilvl w:val="0"/>
          <w:numId w:val="0"/>
        </w:numPr>
        <w:ind w:left="567" w:hanging="567"/>
      </w:pPr>
      <w:r w:rsidRPr="004C75A8">
        <w:t>Error Assessments</w:t>
      </w:r>
    </w:p>
    <w:p w14:paraId="7A679ACD" w14:textId="77777777" w:rsidR="000933C7" w:rsidRDefault="00AE13B8" w:rsidP="004C75A8">
      <w:pPr>
        <w:spacing w:line="480" w:lineRule="auto"/>
        <w:ind w:firstLine="567"/>
        <w:rPr>
          <w:bCs/>
        </w:rPr>
      </w:pPr>
      <w:r>
        <w:rPr>
          <w:bCs/>
        </w:rPr>
        <w:t xml:space="preserve">We use three metrics to quantitatively compare SMITE SST </w:t>
      </w:r>
      <w:r w:rsidR="00B530D0">
        <w:rPr>
          <w:bCs/>
        </w:rPr>
        <w:t xml:space="preserve">and pH </w:t>
      </w:r>
      <w:r>
        <w:rPr>
          <w:bCs/>
        </w:rPr>
        <w:t xml:space="preserve">estimates with those derived from Sr/Ca </w:t>
      </w:r>
      <w:r w:rsidR="00B530D0">
        <w:rPr>
          <w:bCs/>
        </w:rPr>
        <w:t xml:space="preserve">ratios </w:t>
      </w:r>
      <w:r>
        <w:rPr>
          <w:bCs/>
        </w:rPr>
        <w:t xml:space="preserve">and </w:t>
      </w:r>
      <w:r w:rsidR="00B530D0">
        <w:rPr>
          <w:bCs/>
        </w:rPr>
        <w:t>δ</w:t>
      </w:r>
      <w:r w:rsidR="00B530D0">
        <w:rPr>
          <w:bCs/>
          <w:vertAlign w:val="superscript"/>
        </w:rPr>
        <w:t>11</w:t>
      </w:r>
      <w:r w:rsidR="00B530D0">
        <w:rPr>
          <w:bCs/>
        </w:rPr>
        <w:t>B values, respectively</w:t>
      </w:r>
      <w:r>
        <w:rPr>
          <w:bCs/>
        </w:rPr>
        <w:t>: the correlation coefficient (</w:t>
      </w:r>
      <w:r>
        <w:rPr>
          <w:bCs/>
          <w:i/>
        </w:rPr>
        <w:t>r</w:t>
      </w:r>
      <w:r>
        <w:rPr>
          <w:bCs/>
        </w:rPr>
        <w:t>), the standard error of prediction (SEP), and the</w:t>
      </w:r>
      <w:r w:rsidR="00B530D0">
        <w:rPr>
          <w:bCs/>
        </w:rPr>
        <w:t xml:space="preserve"> root-mean squared error (RMSE)</w:t>
      </w:r>
      <w:r>
        <w:rPr>
          <w:bCs/>
        </w:rPr>
        <w:t xml:space="preserve">. Each metric provides a measure of the covariance, precision, and accuracy of the reconstruction, respectively. The SEP is calculated as the uncertainty in derived SST estimates based on the uncertainty in both </w:t>
      </w:r>
      <w:r w:rsidR="00B530D0">
        <w:rPr>
          <w:bCs/>
        </w:rPr>
        <w:t xml:space="preserve">the climate target (SST, </w:t>
      </w:r>
      <w:proofErr w:type="spellStart"/>
      <w:r w:rsidR="00B530D0">
        <w:rPr>
          <w:bCs/>
        </w:rPr>
        <w:t>pH</w:t>
      </w:r>
      <w:r w:rsidR="00B530D0">
        <w:rPr>
          <w:bCs/>
          <w:vertAlign w:val="subscript"/>
        </w:rPr>
        <w:t>sw</w:t>
      </w:r>
      <w:proofErr w:type="spellEnd"/>
      <w:r w:rsidR="00B530D0">
        <w:rPr>
          <w:bCs/>
        </w:rPr>
        <w:t>)</w:t>
      </w:r>
      <w:r>
        <w:rPr>
          <w:bCs/>
        </w:rPr>
        <w:t xml:space="preserve"> </w:t>
      </w:r>
      <w:r w:rsidR="00B530D0">
        <w:rPr>
          <w:bCs/>
        </w:rPr>
        <w:t xml:space="preserve">as well as </w:t>
      </w:r>
      <w:r>
        <w:rPr>
          <w:bCs/>
        </w:rPr>
        <w:t xml:space="preserve">the </w:t>
      </w:r>
      <w:r w:rsidR="00B530D0">
        <w:rPr>
          <w:bCs/>
        </w:rPr>
        <w:t xml:space="preserve">uncertainty in the </w:t>
      </w:r>
      <w:r>
        <w:rPr>
          <w:bCs/>
        </w:rPr>
        <w:t xml:space="preserve">corresponding proxy / proxies. Given that our SST measurements are derived from, or modeled after, temperatures derived from </w:t>
      </w:r>
      <w:r>
        <w:rPr>
          <w:bCs/>
          <w:i/>
          <w:iCs/>
        </w:rPr>
        <w:t>in situ</w:t>
      </w:r>
      <w:r>
        <w:rPr>
          <w:bCs/>
        </w:rPr>
        <w:t xml:space="preserve"> loggers, uncertainty for temperature was fixed at 0.02</w:t>
      </w:r>
      <w:r>
        <w:rPr>
          <w:bCs/>
          <w:vertAlign w:val="superscript"/>
        </w:rPr>
        <w:t>o</w:t>
      </w:r>
      <w:r>
        <w:rPr>
          <w:bCs/>
        </w:rPr>
        <w:t xml:space="preserve">C (https://www.onsetcomp.com/products/data-loggers/u22-001). </w:t>
      </w:r>
      <w:r w:rsidR="00E001B8">
        <w:rPr>
          <w:bCs/>
        </w:rPr>
        <w:t xml:space="preserve">Uncertainty for our </w:t>
      </w:r>
      <w:proofErr w:type="spellStart"/>
      <w:r w:rsidR="00E001B8">
        <w:rPr>
          <w:bCs/>
        </w:rPr>
        <w:t>pH</w:t>
      </w:r>
      <w:r w:rsidR="00E001B8">
        <w:rPr>
          <w:bCs/>
          <w:vertAlign w:val="subscript"/>
        </w:rPr>
        <w:t>sw</w:t>
      </w:r>
      <w:proofErr w:type="spellEnd"/>
      <w:r w:rsidR="00E001B8">
        <w:rPr>
          <w:bCs/>
        </w:rPr>
        <w:t xml:space="preserve"> measurements were fixed at a relatively conservative 0.02 units. </w:t>
      </w:r>
    </w:p>
    <w:p w14:paraId="3E84C15C" w14:textId="77777777" w:rsidR="009D11A8" w:rsidRDefault="00AE13B8" w:rsidP="004C75A8">
      <w:pPr>
        <w:spacing w:line="480" w:lineRule="auto"/>
        <w:ind w:firstLine="567"/>
        <w:rPr>
          <w:bCs/>
        </w:rPr>
      </w:pPr>
      <w:r>
        <w:rPr>
          <w:bCs/>
        </w:rPr>
        <w:t xml:space="preserve">The SEP for each </w:t>
      </w:r>
      <w:r w:rsidR="000933C7">
        <w:rPr>
          <w:bCs/>
        </w:rPr>
        <w:t xml:space="preserve">proxy ~ climate target relationship </w:t>
      </w:r>
      <w:r>
        <w:rPr>
          <w:bCs/>
        </w:rPr>
        <w:t>is calculated using a Monte Carlo approach. At each iteration (</w:t>
      </w:r>
      <w:proofErr w:type="spellStart"/>
      <w:r>
        <w:rPr>
          <w:bCs/>
        </w:rPr>
        <w:t>i</w:t>
      </w:r>
      <w:proofErr w:type="spellEnd"/>
      <w:r>
        <w:rPr>
          <w:bCs/>
        </w:rPr>
        <w:t xml:space="preserve"> = </w:t>
      </w:r>
      <w:proofErr w:type="gramStart"/>
      <w:r>
        <w:rPr>
          <w:bCs/>
        </w:rPr>
        <w:t>1,…</w:t>
      </w:r>
      <w:proofErr w:type="gramEnd"/>
      <w:r>
        <w:rPr>
          <w:bCs/>
        </w:rPr>
        <w:t xml:space="preserve">,10000), each individual measurement in both the proxy and </w:t>
      </w:r>
      <w:r w:rsidR="000933C7">
        <w:rPr>
          <w:bCs/>
        </w:rPr>
        <w:t xml:space="preserve">climate target </w:t>
      </w:r>
      <w:r>
        <w:rPr>
          <w:bCs/>
        </w:rPr>
        <w:t>fields are randomly resampled from a normal distribution with a mean equal to the given proxy/</w:t>
      </w:r>
      <w:r w:rsidR="000933C7">
        <w:rPr>
          <w:bCs/>
        </w:rPr>
        <w:t>climate target</w:t>
      </w:r>
      <w:r>
        <w:rPr>
          <w:bCs/>
        </w:rPr>
        <w:t xml:space="preserve"> value (</w:t>
      </w:r>
      <w:proofErr w:type="spellStart"/>
      <w:r>
        <w:rPr>
          <w:bCs/>
        </w:rPr>
        <w:t>μ</w:t>
      </w:r>
      <w:r>
        <w:rPr>
          <w:bCs/>
          <w:vertAlign w:val="subscript"/>
        </w:rPr>
        <w:t>i</w:t>
      </w:r>
      <w:proofErr w:type="spellEnd"/>
      <w:r>
        <w:rPr>
          <w:bCs/>
        </w:rPr>
        <w:t>) and a standard deviation equal to the specified uncertainty (</w:t>
      </w:r>
      <w:proofErr w:type="spellStart"/>
      <w:r>
        <w:rPr>
          <w:bCs/>
        </w:rPr>
        <w:t>s</w:t>
      </w:r>
      <w:r>
        <w:rPr>
          <w:bCs/>
          <w:vertAlign w:val="subscript"/>
        </w:rPr>
        <w:t>i</w:t>
      </w:r>
      <w:proofErr w:type="spellEnd"/>
      <w:r>
        <w:rPr>
          <w:bCs/>
        </w:rPr>
        <w:t>). Model parameters are then estimated from the perturbed proxy and temperature fields, and SST</w:t>
      </w:r>
      <w:r w:rsidR="000933C7">
        <w:rPr>
          <w:bCs/>
        </w:rPr>
        <w:t>/pH</w:t>
      </w:r>
      <w:r>
        <w:rPr>
          <w:bCs/>
        </w:rPr>
        <w:t xml:space="preserve"> estimates for each data point are stored. The 95% confidence interval for each SST estimate is determined from the distribution of SST estimates derived from each Monte Carlo iteration. The SEP is then determined as the average distance from the mean to the upper and </w:t>
      </w:r>
      <w:r>
        <w:rPr>
          <w:bCs/>
        </w:rPr>
        <w:lastRenderedPageBreak/>
        <w:t>lower bounds of the 95% confidence interval, divided by 1.96. The 95% confidence interval for the SEP itself is then defined as the standard deviation of the SEP throughout each calibration dataset, multiplied by 1.96.</w:t>
      </w:r>
    </w:p>
    <w:p w14:paraId="1A1ADCA0" w14:textId="538BE0BA" w:rsidR="00081E9A" w:rsidRDefault="00242CF0" w:rsidP="007B7209">
      <w:pPr>
        <w:rPr>
          <w:i/>
          <w:iCs/>
        </w:rPr>
      </w:pPr>
      <w:r>
        <w:rPr>
          <w:b/>
        </w:rPr>
        <w:t>Autocorrelated (Red) Noise</w:t>
      </w:r>
      <w:r w:rsidR="00081E9A" w:rsidRPr="00081E9A">
        <w:rPr>
          <w:bCs/>
        </w:rPr>
        <w:drawing>
          <wp:inline distT="0" distB="0" distL="0" distR="0" wp14:anchorId="0E42F98E" wp14:editId="2CA1217B">
            <wp:extent cx="5943600" cy="2337435"/>
            <wp:effectExtent l="0" t="0" r="0" b="5715"/>
            <wp:docPr id="1893998801" name="Picture 1" descr="A picture containing screenshot, diagram,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998801" name="Picture 1" descr="A picture containing screenshot, diagram, plot, text&#10;&#10;Description automatically generated"/>
                    <pic:cNvPicPr/>
                  </pic:nvPicPr>
                  <pic:blipFill>
                    <a:blip r:embed="rId5"/>
                    <a:stretch>
                      <a:fillRect/>
                    </a:stretch>
                  </pic:blipFill>
                  <pic:spPr>
                    <a:xfrm>
                      <a:off x="0" y="0"/>
                      <a:ext cx="5943600" cy="2337435"/>
                    </a:xfrm>
                    <a:prstGeom prst="rect">
                      <a:avLst/>
                    </a:prstGeom>
                  </pic:spPr>
                </pic:pic>
              </a:graphicData>
            </a:graphic>
          </wp:inline>
        </w:drawing>
      </w:r>
      <w:r w:rsidR="002C6787" w:rsidRPr="007B7209">
        <w:rPr>
          <w:i/>
          <w:iCs/>
        </w:rPr>
        <w:t xml:space="preserve">Figure </w:t>
      </w:r>
      <w:r w:rsidR="002C6787" w:rsidRPr="007B7209">
        <w:rPr>
          <w:i/>
          <w:iCs/>
        </w:rPr>
        <w:fldChar w:fldCharType="begin"/>
      </w:r>
      <w:r w:rsidR="002C6787" w:rsidRPr="007B7209">
        <w:rPr>
          <w:i/>
          <w:iCs/>
        </w:rPr>
        <w:instrText xml:space="preserve"> SEQ Figure \* ARABIC </w:instrText>
      </w:r>
      <w:r w:rsidR="002C6787" w:rsidRPr="007B7209">
        <w:rPr>
          <w:i/>
          <w:iCs/>
        </w:rPr>
        <w:fldChar w:fldCharType="separate"/>
      </w:r>
      <w:r w:rsidR="00546C4C">
        <w:rPr>
          <w:i/>
          <w:iCs/>
          <w:noProof/>
        </w:rPr>
        <w:t>1</w:t>
      </w:r>
      <w:r w:rsidR="002C6787" w:rsidRPr="007B7209">
        <w:rPr>
          <w:i/>
          <w:iCs/>
        </w:rPr>
        <w:fldChar w:fldCharType="end"/>
      </w:r>
      <w:r w:rsidR="002C6787" w:rsidRPr="007B7209">
        <w:rPr>
          <w:i/>
          <w:iCs/>
        </w:rPr>
        <w:t>. The precision (SEP; opaque envelope) and accuracy (RMSE; translucent envelope) of SMITE SST estimates (black) versus Sr/Ca-derived SST (left; orange) and δ</w:t>
      </w:r>
      <w:r w:rsidR="002C6787" w:rsidRPr="007B7209">
        <w:rPr>
          <w:i/>
          <w:iCs/>
          <w:vertAlign w:val="superscript"/>
        </w:rPr>
        <w:t>11</w:t>
      </w:r>
      <w:r w:rsidR="002C6787" w:rsidRPr="007B7209">
        <w:rPr>
          <w:i/>
          <w:iCs/>
        </w:rPr>
        <w:t>B-derived pH (right; green) over increasingly autocorrelated errors (fixed at analytical uncertainty).</w:t>
      </w:r>
    </w:p>
    <w:p w14:paraId="1DACF56F" w14:textId="5059216B" w:rsidR="00081E9A" w:rsidRPr="007B7209" w:rsidRDefault="00081E9A" w:rsidP="007B7209">
      <w:pPr>
        <w:keepNext/>
        <w:rPr>
          <w:i/>
          <w:iCs/>
        </w:rPr>
      </w:pPr>
      <w:r w:rsidRPr="00081E9A">
        <w:rPr>
          <w:bCs/>
        </w:rPr>
        <w:drawing>
          <wp:inline distT="0" distB="0" distL="0" distR="0" wp14:anchorId="4FFD0180" wp14:editId="1808CDF4">
            <wp:extent cx="5943600" cy="2341880"/>
            <wp:effectExtent l="0" t="0" r="0" b="0"/>
            <wp:docPr id="1259388312" name="Picture 1" descr="A picture containing text, line,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388312" name="Picture 1" descr="A picture containing text, line, screenshot, plot&#10;&#10;Description automatically generated"/>
                    <pic:cNvPicPr/>
                  </pic:nvPicPr>
                  <pic:blipFill>
                    <a:blip r:embed="rId6"/>
                    <a:stretch>
                      <a:fillRect/>
                    </a:stretch>
                  </pic:blipFill>
                  <pic:spPr>
                    <a:xfrm>
                      <a:off x="0" y="0"/>
                      <a:ext cx="5943600" cy="2341880"/>
                    </a:xfrm>
                    <a:prstGeom prst="rect">
                      <a:avLst/>
                    </a:prstGeom>
                  </pic:spPr>
                </pic:pic>
              </a:graphicData>
            </a:graphic>
          </wp:inline>
        </w:drawing>
      </w:r>
      <w:r w:rsidR="007B7209" w:rsidRPr="007B7209">
        <w:rPr>
          <w:i/>
          <w:iCs/>
        </w:rPr>
        <w:t xml:space="preserve">Figure </w:t>
      </w:r>
      <w:r w:rsidR="007B7209" w:rsidRPr="007B7209">
        <w:rPr>
          <w:i/>
          <w:iCs/>
        </w:rPr>
        <w:fldChar w:fldCharType="begin"/>
      </w:r>
      <w:r w:rsidR="007B7209" w:rsidRPr="007B7209">
        <w:rPr>
          <w:i/>
          <w:iCs/>
        </w:rPr>
        <w:instrText xml:space="preserve"> SEQ Figure \* ARABIC </w:instrText>
      </w:r>
      <w:r w:rsidR="007B7209" w:rsidRPr="007B7209">
        <w:rPr>
          <w:i/>
          <w:iCs/>
        </w:rPr>
        <w:fldChar w:fldCharType="separate"/>
      </w:r>
      <w:r w:rsidR="00546C4C">
        <w:rPr>
          <w:i/>
          <w:iCs/>
          <w:noProof/>
        </w:rPr>
        <w:t>2</w:t>
      </w:r>
      <w:r w:rsidR="007B7209" w:rsidRPr="007B7209">
        <w:rPr>
          <w:i/>
          <w:iCs/>
        </w:rPr>
        <w:fldChar w:fldCharType="end"/>
      </w:r>
      <w:r w:rsidR="007B7209" w:rsidRPr="007B7209">
        <w:rPr>
          <w:i/>
          <w:iCs/>
        </w:rPr>
        <w:t>. SMITE model parameters, or loadings, for SST (left) and pH (right) over increasingly autocorrelated errors</w:t>
      </w:r>
      <w:r w:rsidR="007B7209">
        <w:rPr>
          <w:i/>
          <w:iCs/>
        </w:rPr>
        <w:t xml:space="preserve"> (fixed at analytical uncertainty).</w:t>
      </w:r>
      <w:r w:rsidR="00462680">
        <w:rPr>
          <w:i/>
          <w:iCs/>
        </w:rPr>
        <w:t xml:space="preserve"> Shaded regions represent the Monte Carlo estimated 95% confidence interval for each parameter (</w:t>
      </w:r>
      <w:proofErr w:type="spellStart"/>
      <w:r w:rsidR="00462680">
        <w:rPr>
          <w:i/>
          <w:iCs/>
        </w:rPr>
        <w:t>i</w:t>
      </w:r>
      <w:proofErr w:type="spellEnd"/>
      <w:r w:rsidR="00462680">
        <w:rPr>
          <w:i/>
          <w:iCs/>
        </w:rPr>
        <w:t xml:space="preserve"> = 10,000). </w:t>
      </w:r>
    </w:p>
    <w:p w14:paraId="0F2E6DAF" w14:textId="3F09D904" w:rsidR="00242CF0" w:rsidRDefault="00242CF0" w:rsidP="00242CF0">
      <w:pPr>
        <w:spacing w:line="480" w:lineRule="auto"/>
        <w:rPr>
          <w:b/>
        </w:rPr>
      </w:pPr>
      <w:r>
        <w:rPr>
          <w:b/>
        </w:rPr>
        <w:t>Calibration Period Length</w:t>
      </w:r>
    </w:p>
    <w:p w14:paraId="6981B1FF" w14:textId="5E35C3F2" w:rsidR="00081E9A" w:rsidRPr="00106B43" w:rsidRDefault="00081E9A" w:rsidP="00106B43">
      <w:pPr>
        <w:keepNext/>
        <w:rPr>
          <w:i/>
          <w:iCs/>
        </w:rPr>
      </w:pPr>
      <w:r w:rsidRPr="00081E9A">
        <w:rPr>
          <w:b/>
        </w:rPr>
        <w:lastRenderedPageBreak/>
        <w:drawing>
          <wp:inline distT="0" distB="0" distL="0" distR="0" wp14:anchorId="733667F4" wp14:editId="3C537FA4">
            <wp:extent cx="5943600" cy="2369820"/>
            <wp:effectExtent l="0" t="0" r="0" b="0"/>
            <wp:docPr id="1967922273"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22273" name="Picture 1" descr="A picture containing text, screenshot, diagram, plot&#10;&#10;Description automatically generated"/>
                    <pic:cNvPicPr/>
                  </pic:nvPicPr>
                  <pic:blipFill>
                    <a:blip r:embed="rId7"/>
                    <a:stretch>
                      <a:fillRect/>
                    </a:stretch>
                  </pic:blipFill>
                  <pic:spPr>
                    <a:xfrm>
                      <a:off x="0" y="0"/>
                      <a:ext cx="5943600" cy="2369820"/>
                    </a:xfrm>
                    <a:prstGeom prst="rect">
                      <a:avLst/>
                    </a:prstGeom>
                  </pic:spPr>
                </pic:pic>
              </a:graphicData>
            </a:graphic>
          </wp:inline>
        </w:drawing>
      </w:r>
      <w:r w:rsidR="00546C4C" w:rsidRPr="00546C4C">
        <w:rPr>
          <w:i/>
          <w:iCs/>
        </w:rPr>
        <w:t xml:space="preserve">Figure </w:t>
      </w:r>
      <w:r w:rsidR="00546C4C" w:rsidRPr="00546C4C">
        <w:rPr>
          <w:i/>
          <w:iCs/>
        </w:rPr>
        <w:fldChar w:fldCharType="begin"/>
      </w:r>
      <w:r w:rsidR="00546C4C" w:rsidRPr="00546C4C">
        <w:rPr>
          <w:i/>
          <w:iCs/>
        </w:rPr>
        <w:instrText xml:space="preserve"> SEQ Figure \* ARABIC </w:instrText>
      </w:r>
      <w:r w:rsidR="00546C4C" w:rsidRPr="00546C4C">
        <w:rPr>
          <w:i/>
          <w:iCs/>
        </w:rPr>
        <w:fldChar w:fldCharType="separate"/>
      </w:r>
      <w:r w:rsidR="00546C4C" w:rsidRPr="00546C4C">
        <w:rPr>
          <w:i/>
          <w:iCs/>
          <w:noProof/>
        </w:rPr>
        <w:t>3</w:t>
      </w:r>
      <w:r w:rsidR="00546C4C" w:rsidRPr="00546C4C">
        <w:rPr>
          <w:i/>
          <w:iCs/>
        </w:rPr>
        <w:fldChar w:fldCharType="end"/>
      </w:r>
      <w:r w:rsidR="00546C4C" w:rsidRPr="00546C4C">
        <w:rPr>
          <w:i/>
          <w:iCs/>
        </w:rPr>
        <w:t>.</w:t>
      </w:r>
      <w:r w:rsidR="00546C4C" w:rsidRPr="007B7209">
        <w:rPr>
          <w:i/>
          <w:iCs/>
        </w:rPr>
        <w:t xml:space="preserve"> SMITE model parameters, or loadings, for SST (left) and pH (right) over</w:t>
      </w:r>
      <w:r w:rsidR="00546C4C">
        <w:rPr>
          <w:i/>
          <w:iCs/>
        </w:rPr>
        <w:t xml:space="preserve"> different calibration period lengths</w:t>
      </w:r>
      <w:r w:rsidR="00546C4C">
        <w:rPr>
          <w:i/>
          <w:iCs/>
        </w:rPr>
        <w:t>. Shaded regions represent the Monte Carlo estimated 95% confidence interval for each parameter (</w:t>
      </w:r>
      <w:proofErr w:type="spellStart"/>
      <w:r w:rsidR="00546C4C">
        <w:rPr>
          <w:i/>
          <w:iCs/>
        </w:rPr>
        <w:t>i</w:t>
      </w:r>
      <w:proofErr w:type="spellEnd"/>
      <w:r w:rsidR="00546C4C">
        <w:rPr>
          <w:i/>
          <w:iCs/>
        </w:rPr>
        <w:t xml:space="preserve"> = 10,000). </w:t>
      </w:r>
    </w:p>
    <w:p w14:paraId="002D1653" w14:textId="0B00A614" w:rsidR="009D11A8" w:rsidRPr="009D11A8" w:rsidRDefault="0009558C" w:rsidP="009D11A8">
      <w:pPr>
        <w:spacing w:line="480" w:lineRule="auto"/>
        <w:rPr>
          <w:b/>
        </w:rPr>
      </w:pPr>
      <w:r>
        <w:rPr>
          <w:b/>
        </w:rPr>
        <w:br w:type="column"/>
      </w:r>
      <w:r w:rsidR="009D11A8">
        <w:rPr>
          <w:b/>
        </w:rPr>
        <w:lastRenderedPageBreak/>
        <w:t>References</w:t>
      </w:r>
    </w:p>
    <w:p w14:paraId="106B5CAA" w14:textId="70B0F5C3" w:rsidR="009D11A8" w:rsidRPr="009D11A8" w:rsidRDefault="009D11A8" w:rsidP="009D11A8">
      <w:pPr>
        <w:pStyle w:val="EndNoteBibliography"/>
        <w:spacing w:after="0"/>
        <w:ind w:left="720" w:hanging="720"/>
      </w:pPr>
      <w:r>
        <w:rPr>
          <w:bCs/>
        </w:rPr>
        <w:fldChar w:fldCharType="begin"/>
      </w:r>
      <w:r>
        <w:rPr>
          <w:bCs/>
        </w:rPr>
        <w:instrText xml:space="preserve"> ADDIN EN.REFLIST </w:instrText>
      </w:r>
      <w:r>
        <w:rPr>
          <w:bCs/>
        </w:rPr>
        <w:fldChar w:fldCharType="separate"/>
      </w:r>
      <w:r w:rsidRPr="009D11A8">
        <w:t xml:space="preserve">Corrège, T. (2006). Sea surface temperature and salinity reconstruction from coral geochemical tracers. </w:t>
      </w:r>
      <w:r w:rsidRPr="009D11A8">
        <w:rPr>
          <w:i/>
        </w:rPr>
        <w:t>Palaeogeogr. Palaeoclimatol. Palaeoecol.</w:t>
      </w:r>
      <w:r w:rsidRPr="009D11A8">
        <w:t>,</w:t>
      </w:r>
      <w:r w:rsidRPr="009D11A8">
        <w:rPr>
          <w:i/>
        </w:rPr>
        <w:t xml:space="preserve"> 232</w:t>
      </w:r>
      <w:r w:rsidRPr="009D11A8">
        <w:t xml:space="preserve">, 408-428. </w:t>
      </w:r>
      <w:hyperlink r:id="rId8" w:history="1">
        <w:r w:rsidRPr="009D11A8">
          <w:rPr>
            <w:rStyle w:val="Hyperlink"/>
          </w:rPr>
          <w:t>https://doi.org/10.1016/j.palaeo.2005.10.014</w:t>
        </w:r>
      </w:hyperlink>
      <w:r w:rsidRPr="009D11A8">
        <w:t xml:space="preserve"> </w:t>
      </w:r>
    </w:p>
    <w:p w14:paraId="034E0BF0" w14:textId="456F0E38" w:rsidR="009D11A8" w:rsidRPr="009D11A8" w:rsidRDefault="009D11A8" w:rsidP="009D11A8">
      <w:pPr>
        <w:pStyle w:val="EndNoteBibliography"/>
        <w:spacing w:after="0"/>
        <w:ind w:left="720" w:hanging="720"/>
      </w:pPr>
      <w:r w:rsidRPr="009D11A8">
        <w:t xml:space="preserve">D'Olivo, J. P., Ellwood, G., DeCarlo, T. M., &amp; McCulloch, M. T. (2019). Deconvolving the long-term impacts of ocean acidification and warming on coral biomineralisation. </w:t>
      </w:r>
      <w:r w:rsidRPr="009D11A8">
        <w:rPr>
          <w:i/>
        </w:rPr>
        <w:t>Earth Planet. Sc. Lett.</w:t>
      </w:r>
      <w:r w:rsidRPr="009D11A8">
        <w:t>,</w:t>
      </w:r>
      <w:r w:rsidRPr="009D11A8">
        <w:rPr>
          <w:i/>
        </w:rPr>
        <w:t xml:space="preserve"> 526</w:t>
      </w:r>
      <w:r w:rsidRPr="009D11A8">
        <w:t xml:space="preserve">, 115785. </w:t>
      </w:r>
      <w:hyperlink r:id="rId9" w:history="1">
        <w:r w:rsidRPr="009D11A8">
          <w:rPr>
            <w:rStyle w:val="Hyperlink"/>
          </w:rPr>
          <w:t>https://doi.org/10.1016/j.epsl.2019.115785</w:t>
        </w:r>
      </w:hyperlink>
      <w:r w:rsidRPr="009D11A8">
        <w:t xml:space="preserve"> </w:t>
      </w:r>
    </w:p>
    <w:p w14:paraId="7BBCDC61" w14:textId="7557AFB0" w:rsidR="009D11A8" w:rsidRPr="009D11A8" w:rsidRDefault="009D11A8" w:rsidP="009D11A8">
      <w:pPr>
        <w:pStyle w:val="EndNoteBibliography"/>
        <w:spacing w:after="0"/>
        <w:ind w:left="720" w:hanging="720"/>
      </w:pPr>
      <w:r w:rsidRPr="009D11A8">
        <w:t xml:space="preserve">de Boisséson, E., Balmaseda, M. A., &amp; Mayer, M. (2018). Ocean heat content variability in an ensemble of twentieth century ocean reanalyses. </w:t>
      </w:r>
      <w:r w:rsidRPr="009D11A8">
        <w:rPr>
          <w:i/>
        </w:rPr>
        <w:t>Clim. Dynam.</w:t>
      </w:r>
      <w:r w:rsidRPr="009D11A8">
        <w:t>,</w:t>
      </w:r>
      <w:r w:rsidRPr="009D11A8">
        <w:rPr>
          <w:i/>
        </w:rPr>
        <w:t xml:space="preserve"> 50</w:t>
      </w:r>
      <w:r w:rsidRPr="009D11A8">
        <w:t xml:space="preserve">(9), 3783-3798. </w:t>
      </w:r>
      <w:hyperlink r:id="rId10" w:history="1">
        <w:r w:rsidRPr="009D11A8">
          <w:rPr>
            <w:rStyle w:val="Hyperlink"/>
          </w:rPr>
          <w:t>https://doi.org/10.1007/s00382-017-3845-0</w:t>
        </w:r>
      </w:hyperlink>
      <w:r w:rsidRPr="009D11A8">
        <w:t xml:space="preserve"> </w:t>
      </w:r>
    </w:p>
    <w:p w14:paraId="3B702DCD" w14:textId="3F4441A7" w:rsidR="009D11A8" w:rsidRPr="009D11A8" w:rsidRDefault="009D11A8" w:rsidP="009D11A8">
      <w:pPr>
        <w:pStyle w:val="EndNoteBibliography"/>
        <w:spacing w:after="0"/>
        <w:ind w:left="720" w:hanging="720"/>
      </w:pPr>
      <w:r w:rsidRPr="009D11A8">
        <w:t xml:space="preserve">Dickson, A. G. (1990). Thermodynamics of the dissociation of boric acid in synthetic seawater from 273.15 to 318.15 K. </w:t>
      </w:r>
      <w:r w:rsidRPr="009D11A8">
        <w:rPr>
          <w:i/>
        </w:rPr>
        <w:t>Deep Sea Res. Part A</w:t>
      </w:r>
      <w:r w:rsidRPr="009D11A8">
        <w:t>,</w:t>
      </w:r>
      <w:r w:rsidRPr="009D11A8">
        <w:rPr>
          <w:i/>
        </w:rPr>
        <w:t xml:space="preserve"> 37</w:t>
      </w:r>
      <w:r w:rsidRPr="009D11A8">
        <w:t xml:space="preserve">(5), 755-766. </w:t>
      </w:r>
      <w:hyperlink r:id="rId11" w:history="1">
        <w:r w:rsidRPr="009D11A8">
          <w:rPr>
            <w:rStyle w:val="Hyperlink"/>
          </w:rPr>
          <w:t>https://doi.org/10.1016/0198-0149(90)90004-F</w:t>
        </w:r>
      </w:hyperlink>
      <w:r w:rsidRPr="009D11A8">
        <w:t xml:space="preserve"> </w:t>
      </w:r>
    </w:p>
    <w:p w14:paraId="57FB715D" w14:textId="613A3C82" w:rsidR="009D11A8" w:rsidRPr="009D11A8" w:rsidRDefault="009D11A8" w:rsidP="009D11A8">
      <w:pPr>
        <w:pStyle w:val="EndNoteBibliography"/>
        <w:spacing w:after="0"/>
        <w:ind w:left="720" w:hanging="720"/>
      </w:pPr>
      <w:r w:rsidRPr="009D11A8">
        <w:t xml:space="preserve">Epstein, S., &amp; Mayeda, T. (1953). Variation of O18 content of waters from natural sources. </w:t>
      </w:r>
      <w:r w:rsidRPr="009D11A8">
        <w:rPr>
          <w:i/>
        </w:rPr>
        <w:t>Geochim. Cosmochim. Acta</w:t>
      </w:r>
      <w:r w:rsidRPr="009D11A8">
        <w:t>,</w:t>
      </w:r>
      <w:r w:rsidRPr="009D11A8">
        <w:rPr>
          <w:i/>
        </w:rPr>
        <w:t xml:space="preserve"> 4</w:t>
      </w:r>
      <w:r w:rsidRPr="009D11A8">
        <w:t xml:space="preserve">(5), 213-224. </w:t>
      </w:r>
      <w:hyperlink r:id="rId12" w:history="1">
        <w:r w:rsidRPr="009D11A8">
          <w:rPr>
            <w:rStyle w:val="Hyperlink"/>
          </w:rPr>
          <w:t>https://doi.org/10.1016/0016-7037(53)90051-9</w:t>
        </w:r>
      </w:hyperlink>
      <w:r w:rsidRPr="009D11A8">
        <w:t xml:space="preserve"> </w:t>
      </w:r>
    </w:p>
    <w:p w14:paraId="756034D8" w14:textId="12F1F834" w:rsidR="009D11A8" w:rsidRPr="009D11A8" w:rsidRDefault="009D11A8" w:rsidP="009D11A8">
      <w:pPr>
        <w:pStyle w:val="EndNoteBibliography"/>
        <w:spacing w:after="0"/>
        <w:ind w:left="720" w:hanging="720"/>
      </w:pPr>
      <w:r w:rsidRPr="009D11A8">
        <w:t xml:space="preserve">Foster, G. L., Pogge von Strandmann, P. A. E., &amp; Rae, J. W. B. (2010). Boron and magnesium isotopic composition of seawater. </w:t>
      </w:r>
      <w:r w:rsidRPr="009D11A8">
        <w:rPr>
          <w:i/>
        </w:rPr>
        <w:t>Geochem. Geophys. Geosyst.</w:t>
      </w:r>
      <w:r w:rsidRPr="009D11A8">
        <w:t>,</w:t>
      </w:r>
      <w:r w:rsidRPr="009D11A8">
        <w:rPr>
          <w:i/>
        </w:rPr>
        <w:t xml:space="preserve"> 11</w:t>
      </w:r>
      <w:r w:rsidRPr="009D11A8">
        <w:t xml:space="preserve">. </w:t>
      </w:r>
      <w:hyperlink r:id="rId13" w:history="1">
        <w:r w:rsidRPr="009D11A8">
          <w:rPr>
            <w:rStyle w:val="Hyperlink"/>
          </w:rPr>
          <w:t>https://doi.org/10.1029/2010GC003201</w:t>
        </w:r>
      </w:hyperlink>
      <w:r w:rsidRPr="009D11A8">
        <w:t xml:space="preserve"> </w:t>
      </w:r>
    </w:p>
    <w:p w14:paraId="26E110F9" w14:textId="479A976F" w:rsidR="009D11A8" w:rsidRPr="009D11A8" w:rsidRDefault="009D11A8" w:rsidP="009D11A8">
      <w:pPr>
        <w:pStyle w:val="EndNoteBibliography"/>
        <w:spacing w:after="0"/>
        <w:ind w:left="720" w:hanging="720"/>
      </w:pPr>
      <w:r w:rsidRPr="009D11A8">
        <w:t xml:space="preserve">Klochko, K., Kaufman, A. J., Yao, W., Byrne, R. H., &amp; Tossell, J. A. (2006). Experimental measurement of boron isotope fractionation in seawater. </w:t>
      </w:r>
      <w:r w:rsidRPr="009D11A8">
        <w:rPr>
          <w:i/>
        </w:rPr>
        <w:t>Earth Planet. Sc. Lett.</w:t>
      </w:r>
      <w:r w:rsidRPr="009D11A8">
        <w:t>,</w:t>
      </w:r>
      <w:r w:rsidRPr="009D11A8">
        <w:rPr>
          <w:i/>
        </w:rPr>
        <w:t xml:space="preserve"> 248</w:t>
      </w:r>
      <w:r w:rsidRPr="009D11A8">
        <w:t xml:space="preserve">, 276-285. </w:t>
      </w:r>
      <w:hyperlink r:id="rId14" w:history="1">
        <w:r w:rsidRPr="009D11A8">
          <w:rPr>
            <w:rStyle w:val="Hyperlink"/>
          </w:rPr>
          <w:t>https://doi.org/10.1016/j.epsl.2006.05.034</w:t>
        </w:r>
      </w:hyperlink>
      <w:r w:rsidRPr="009D11A8">
        <w:t xml:space="preserve"> </w:t>
      </w:r>
    </w:p>
    <w:p w14:paraId="13616D72" w14:textId="49CBB698" w:rsidR="009D11A8" w:rsidRPr="009D11A8" w:rsidRDefault="009D11A8" w:rsidP="009D11A8">
      <w:pPr>
        <w:pStyle w:val="EndNoteBibliography"/>
        <w:spacing w:after="0"/>
        <w:ind w:left="720" w:hanging="720"/>
      </w:pPr>
      <w:r w:rsidRPr="009D11A8">
        <w:t xml:space="preserve">LeGrande, A. N., &amp; Schmidt, G. A. (2006). Global gridded data set of the oxygen isotopic composition in seawater. </w:t>
      </w:r>
      <w:r w:rsidRPr="009D11A8">
        <w:rPr>
          <w:i/>
        </w:rPr>
        <w:t>Geophys. Res. Lett.</w:t>
      </w:r>
      <w:r w:rsidRPr="009D11A8">
        <w:t>,</w:t>
      </w:r>
      <w:r w:rsidRPr="009D11A8">
        <w:rPr>
          <w:i/>
        </w:rPr>
        <w:t xml:space="preserve"> 33</w:t>
      </w:r>
      <w:r w:rsidRPr="009D11A8">
        <w:t xml:space="preserve">(12). </w:t>
      </w:r>
      <w:hyperlink r:id="rId15" w:history="1">
        <w:r w:rsidRPr="009D11A8">
          <w:rPr>
            <w:rStyle w:val="Hyperlink"/>
          </w:rPr>
          <w:t>https://doi.org/10.1029/2006GL026011</w:t>
        </w:r>
      </w:hyperlink>
      <w:r w:rsidRPr="009D11A8">
        <w:t xml:space="preserve"> </w:t>
      </w:r>
    </w:p>
    <w:p w14:paraId="543B3261" w14:textId="71576F69" w:rsidR="009D11A8" w:rsidRPr="009D11A8" w:rsidRDefault="009D11A8" w:rsidP="009D11A8">
      <w:pPr>
        <w:pStyle w:val="EndNoteBibliography"/>
        <w:spacing w:after="0"/>
        <w:ind w:left="720" w:hanging="720"/>
      </w:pPr>
      <w:r w:rsidRPr="009D11A8">
        <w:t xml:space="preserve">McCulloch, M. T., D’Olivo, J. P., Falter, J., Holcomb, M., &amp; Trotter, J. A. (2017). Coral calcification in a changing World and the interactive dynamics of pH and DIC upregulation. </w:t>
      </w:r>
      <w:r w:rsidRPr="009D11A8">
        <w:rPr>
          <w:i/>
        </w:rPr>
        <w:t>Nat. Commun.</w:t>
      </w:r>
      <w:r w:rsidRPr="009D11A8">
        <w:t>,</w:t>
      </w:r>
      <w:r w:rsidRPr="009D11A8">
        <w:rPr>
          <w:i/>
        </w:rPr>
        <w:t xml:space="preserve"> 8</w:t>
      </w:r>
      <w:r w:rsidRPr="009D11A8">
        <w:t xml:space="preserve">, 15686. </w:t>
      </w:r>
      <w:hyperlink r:id="rId16" w:history="1">
        <w:r w:rsidRPr="009D11A8">
          <w:rPr>
            <w:rStyle w:val="Hyperlink"/>
          </w:rPr>
          <w:t>https://doi.org/10.1038/ncomms15686</w:t>
        </w:r>
      </w:hyperlink>
      <w:r w:rsidRPr="009D11A8">
        <w:t xml:space="preserve"> </w:t>
      </w:r>
    </w:p>
    <w:p w14:paraId="28D37C1B" w14:textId="7A8AE8A5" w:rsidR="009D11A8" w:rsidRPr="009D11A8" w:rsidRDefault="009D11A8" w:rsidP="009D11A8">
      <w:pPr>
        <w:pStyle w:val="EndNoteBibliography"/>
        <w:spacing w:after="0"/>
        <w:ind w:left="720" w:hanging="720"/>
      </w:pPr>
      <w:r w:rsidRPr="009D11A8">
        <w:t xml:space="preserve">Ross, C. L., Falter, J. L., &amp; McCulloch, M. T. (2017). Active modulation of the calcifying fluid carbonate chemistry (δ 11 B, B/Ca) and seasonally invariant coral calcification at sub-tropical limits. </w:t>
      </w:r>
      <w:r w:rsidRPr="009D11A8">
        <w:rPr>
          <w:i/>
        </w:rPr>
        <w:t>Sci. Rep.</w:t>
      </w:r>
      <w:r w:rsidRPr="009D11A8">
        <w:t>,</w:t>
      </w:r>
      <w:r w:rsidRPr="009D11A8">
        <w:rPr>
          <w:i/>
        </w:rPr>
        <w:t xml:space="preserve"> 7</w:t>
      </w:r>
      <w:r w:rsidRPr="009D11A8">
        <w:t xml:space="preserve">, 1-11. </w:t>
      </w:r>
      <w:hyperlink r:id="rId17" w:history="1">
        <w:r w:rsidRPr="009D11A8">
          <w:rPr>
            <w:rStyle w:val="Hyperlink"/>
          </w:rPr>
          <w:t>https://doi.org/10.1038/s41598-017-14066-9</w:t>
        </w:r>
      </w:hyperlink>
      <w:r w:rsidRPr="009D11A8">
        <w:t xml:space="preserve"> </w:t>
      </w:r>
    </w:p>
    <w:p w14:paraId="3438E0B2" w14:textId="1B5E9E3E" w:rsidR="009D11A8" w:rsidRPr="009D11A8" w:rsidRDefault="009D11A8" w:rsidP="009D11A8">
      <w:pPr>
        <w:pStyle w:val="EndNoteBibliography"/>
        <w:spacing w:after="0"/>
        <w:ind w:left="720" w:hanging="720"/>
      </w:pPr>
      <w:r w:rsidRPr="009D11A8">
        <w:rPr>
          <w:rFonts w:hint="eastAsia"/>
        </w:rPr>
        <w:t>Schrag, D. P. (1999). Rapid analysis of high</w:t>
      </w:r>
      <w:r w:rsidRPr="009D11A8">
        <w:rPr>
          <w:rFonts w:hint="eastAsia"/>
        </w:rPr>
        <w:t>‐</w:t>
      </w:r>
      <w:r w:rsidRPr="009D11A8">
        <w:rPr>
          <w:rFonts w:hint="eastAsia"/>
        </w:rPr>
        <w:t xml:space="preserve">precision Sr/Ca ratios in corals and other marine carbonates. </w:t>
      </w:r>
      <w:r w:rsidRPr="009D11A8">
        <w:rPr>
          <w:rFonts w:hint="eastAsia"/>
          <w:i/>
        </w:rPr>
        <w:t>Paleoceanography</w:t>
      </w:r>
      <w:r w:rsidRPr="009D11A8">
        <w:rPr>
          <w:rFonts w:hint="eastAsia"/>
        </w:rPr>
        <w:t>,</w:t>
      </w:r>
      <w:r w:rsidRPr="009D11A8">
        <w:rPr>
          <w:rFonts w:hint="eastAsia"/>
          <w:i/>
        </w:rPr>
        <w:t xml:space="preserve"> 14</w:t>
      </w:r>
      <w:r w:rsidRPr="009D11A8">
        <w:rPr>
          <w:rFonts w:hint="eastAsia"/>
        </w:rPr>
        <w:t>,</w:t>
      </w:r>
      <w:r w:rsidRPr="009D11A8">
        <w:t xml:space="preserve"> 97-102. </w:t>
      </w:r>
      <w:hyperlink r:id="rId18" w:history="1">
        <w:r w:rsidRPr="009D11A8">
          <w:rPr>
            <w:rStyle w:val="Hyperlink"/>
          </w:rPr>
          <w:t>https://doi.org/10.1029/1998PA900025</w:t>
        </w:r>
      </w:hyperlink>
      <w:r w:rsidRPr="009D11A8">
        <w:t xml:space="preserve"> </w:t>
      </w:r>
    </w:p>
    <w:p w14:paraId="0898BB34" w14:textId="02678D8C" w:rsidR="009D11A8" w:rsidRPr="009D11A8" w:rsidRDefault="009D11A8" w:rsidP="009D11A8">
      <w:pPr>
        <w:pStyle w:val="EndNoteBibliography"/>
        <w:spacing w:after="0"/>
        <w:ind w:left="720" w:hanging="720"/>
      </w:pPr>
      <w:r w:rsidRPr="009D11A8">
        <w:t xml:space="preserve">Stewart, J. A., Christopher, S. J., Kucklick, J. R., Bordier, L., Chalk, T. B., Dapoigny, A., Douville, E., Foster, G. L., Gray, W. R., Greenop, R., Gutjahr, M., Hemsing, F., Henehan, M. J., Holdship, P., Hsieh, Y.-T., Kolevica, A., Lin, Y.-P., Mawbey, E. M., Rae, J. W. B., . . . Day, R. D. (2021). NIST RM 8301 Boron Isotopes in Marine Carbonate (Simulated Coral and Foraminifera Solutions): Inter-laboratory δ11B and Trace Element Ratio Value Assignment. </w:t>
      </w:r>
      <w:r w:rsidRPr="009D11A8">
        <w:rPr>
          <w:i/>
        </w:rPr>
        <w:t>Geostand. Geoanal. Res.</w:t>
      </w:r>
      <w:r w:rsidRPr="009D11A8">
        <w:t>,</w:t>
      </w:r>
      <w:r w:rsidRPr="009D11A8">
        <w:rPr>
          <w:i/>
        </w:rPr>
        <w:t xml:space="preserve"> 45</w:t>
      </w:r>
      <w:r w:rsidRPr="009D11A8">
        <w:t xml:space="preserve">(1), 77-96. </w:t>
      </w:r>
      <w:hyperlink r:id="rId19" w:history="1">
        <w:r w:rsidRPr="009D11A8">
          <w:rPr>
            <w:rStyle w:val="Hyperlink"/>
          </w:rPr>
          <w:t>https://doi.org/10.1111/ggr.12363</w:t>
        </w:r>
      </w:hyperlink>
      <w:r w:rsidRPr="009D11A8">
        <w:t xml:space="preserve"> </w:t>
      </w:r>
    </w:p>
    <w:p w14:paraId="026E6A02" w14:textId="77777777" w:rsidR="009D11A8" w:rsidRPr="009D11A8" w:rsidRDefault="009D11A8" w:rsidP="009D11A8">
      <w:pPr>
        <w:pStyle w:val="EndNoteBibliography"/>
        <w:ind w:left="720" w:hanging="720"/>
        <w:rPr>
          <w:rFonts w:hint="eastAsia"/>
        </w:rPr>
      </w:pPr>
      <w:r w:rsidRPr="009D11A8">
        <w:rPr>
          <w:rFonts w:hint="eastAsia"/>
        </w:rPr>
        <w:lastRenderedPageBreak/>
        <w:t>Zeebe, R. E., &amp; Wolf</w:t>
      </w:r>
      <w:r w:rsidRPr="009D11A8">
        <w:rPr>
          <w:rFonts w:hint="eastAsia"/>
        </w:rPr>
        <w:t>‐</w:t>
      </w:r>
      <w:r w:rsidRPr="009D11A8">
        <w:rPr>
          <w:rFonts w:hint="eastAsia"/>
        </w:rPr>
        <w:t xml:space="preserve">Gladrow, D. A. (2001). </w:t>
      </w:r>
      <w:r w:rsidRPr="009D11A8">
        <w:rPr>
          <w:rFonts w:hint="eastAsia"/>
          <w:i/>
        </w:rPr>
        <w:t>CO2 in Seawater: Equilibrium, Kinetics, Isotopes</w:t>
      </w:r>
      <w:r w:rsidRPr="009D11A8">
        <w:rPr>
          <w:rFonts w:hint="eastAsia"/>
        </w:rPr>
        <w:t xml:space="preserve">. </w:t>
      </w:r>
    </w:p>
    <w:p w14:paraId="5D1D682F" w14:textId="6652680B" w:rsidR="00410E8E" w:rsidRDefault="009D11A8" w:rsidP="002C3D07">
      <w:pPr>
        <w:spacing w:line="480" w:lineRule="auto"/>
        <w:rPr>
          <w:bCs/>
        </w:rPr>
      </w:pPr>
      <w:r>
        <w:rPr>
          <w:bCs/>
        </w:rPr>
        <w:fldChar w:fldCharType="end"/>
      </w:r>
    </w:p>
    <w:sectPr w:rsidR="00410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567"/>
        </w:tabs>
        <w:ind w:left="567" w:hanging="567"/>
      </w:pPr>
    </w:lvl>
    <w:lvl w:ilvl="3">
      <w:start w:val="1"/>
      <w:numFmt w:val="decimal"/>
      <w:pStyle w:val="Heading4"/>
      <w:lvlText w:val="%1.%2.%3.%4"/>
      <w:lvlJc w:val="left"/>
      <w:pPr>
        <w:tabs>
          <w:tab w:val="num" w:pos="567"/>
        </w:tabs>
        <w:ind w:left="567" w:hanging="567"/>
      </w:pPr>
    </w:lvl>
    <w:lvl w:ilvl="4">
      <w:start w:val="1"/>
      <w:numFmt w:val="decimal"/>
      <w:pStyle w:val="Heading5"/>
      <w:lvlText w:val="%1.%2.%3.%4.%5"/>
      <w:lvlJc w:val="left"/>
      <w:pPr>
        <w:tabs>
          <w:tab w:val="num" w:pos="567"/>
        </w:tabs>
        <w:ind w:left="567" w:hanging="567"/>
      </w:pPr>
    </w:lvl>
    <w:lvl w:ilvl="5">
      <w:start w:val="1"/>
      <w:numFmt w:val="lowerRoman"/>
      <w:lvlText w:val="%6."/>
      <w:lvlJc w:val="right"/>
      <w:pPr>
        <w:tabs>
          <w:tab w:val="num" w:pos="567"/>
        </w:tabs>
        <w:ind w:left="567" w:hanging="567"/>
      </w:pPr>
    </w:lvl>
    <w:lvl w:ilvl="6">
      <w:start w:val="1"/>
      <w:numFmt w:val="decimal"/>
      <w:lvlText w:val="%7."/>
      <w:lvlJc w:val="left"/>
      <w:pPr>
        <w:tabs>
          <w:tab w:val="num" w:pos="567"/>
        </w:tabs>
        <w:ind w:left="567" w:hanging="567"/>
      </w:pPr>
    </w:lvl>
    <w:lvl w:ilvl="7">
      <w:start w:val="1"/>
      <w:numFmt w:val="lowerLetter"/>
      <w:lvlText w:val="%8."/>
      <w:lvlJc w:val="left"/>
      <w:pPr>
        <w:tabs>
          <w:tab w:val="num" w:pos="567"/>
        </w:tabs>
        <w:ind w:left="567" w:hanging="567"/>
      </w:pPr>
    </w:lvl>
    <w:lvl w:ilvl="8">
      <w:start w:val="1"/>
      <w:numFmt w:val="lowerRoman"/>
      <w:lvlText w:val="%9."/>
      <w:lvlJc w:val="right"/>
      <w:pPr>
        <w:tabs>
          <w:tab w:val="num" w:pos="567"/>
        </w:tabs>
        <w:ind w:left="567" w:hanging="567"/>
      </w:pPr>
    </w:lvl>
  </w:abstractNum>
  <w:num w:numId="1" w16cid:durableId="1460952997">
    <w:abstractNumId w:val="0"/>
  </w:num>
  <w:num w:numId="2" w16cid:durableId="1453551945">
    <w:abstractNumId w:val="0"/>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p92v52v3as9vrederpxe2wov25et2dfssd9&quot;&gt;EndNoteLibrary&lt;record-ids&gt;&lt;item&gt;43&lt;/item&gt;&lt;item&gt;86&lt;/item&gt;&lt;item&gt;88&lt;/item&gt;&lt;item&gt;102&lt;/item&gt;&lt;item&gt;746&lt;/item&gt;&lt;item&gt;797&lt;/item&gt;&lt;item&gt;941&lt;/item&gt;&lt;item&gt;947&lt;/item&gt;&lt;item&gt;2023&lt;/item&gt;&lt;item&gt;2028&lt;/item&gt;&lt;item&gt;2029&lt;/item&gt;&lt;item&gt;2033&lt;/item&gt;&lt;item&gt;2042&lt;/item&gt;&lt;/record-ids&gt;&lt;/item&gt;&lt;/Libraries&gt;"/>
  </w:docVars>
  <w:rsids>
    <w:rsidRoot w:val="00AE13B8"/>
    <w:rsid w:val="00081E9A"/>
    <w:rsid w:val="000933C7"/>
    <w:rsid w:val="0009558C"/>
    <w:rsid w:val="00106B43"/>
    <w:rsid w:val="001B1CFD"/>
    <w:rsid w:val="002228CF"/>
    <w:rsid w:val="00242CF0"/>
    <w:rsid w:val="0026657A"/>
    <w:rsid w:val="002C3D07"/>
    <w:rsid w:val="002C6787"/>
    <w:rsid w:val="0045223B"/>
    <w:rsid w:val="00462680"/>
    <w:rsid w:val="0048554C"/>
    <w:rsid w:val="004C75A8"/>
    <w:rsid w:val="004F7426"/>
    <w:rsid w:val="00546C4C"/>
    <w:rsid w:val="007B7209"/>
    <w:rsid w:val="008C38B1"/>
    <w:rsid w:val="009509AD"/>
    <w:rsid w:val="009D11A8"/>
    <w:rsid w:val="00A9241C"/>
    <w:rsid w:val="00A97E6D"/>
    <w:rsid w:val="00AE13B8"/>
    <w:rsid w:val="00B530D0"/>
    <w:rsid w:val="00B82DEA"/>
    <w:rsid w:val="00C77D15"/>
    <w:rsid w:val="00E001B8"/>
    <w:rsid w:val="00E1697D"/>
    <w:rsid w:val="00F71BC3"/>
    <w:rsid w:val="00F80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10E3D"/>
  <w15:chartTrackingRefBased/>
  <w15:docId w15:val="{0D0F494E-7D40-4373-9583-824C2B9FB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3B8"/>
    <w:pPr>
      <w:spacing w:before="120" w:after="240" w:line="240" w:lineRule="auto"/>
    </w:pPr>
    <w:rPr>
      <w:rFonts w:ascii="Times New Roman" w:eastAsia="SimSun" w:hAnsi="Times New Roman"/>
      <w:sz w:val="24"/>
    </w:rPr>
  </w:style>
  <w:style w:type="paragraph" w:styleId="Heading1">
    <w:name w:val="heading 1"/>
    <w:basedOn w:val="ListParagraph"/>
    <w:next w:val="Normal"/>
    <w:link w:val="Heading1Char"/>
    <w:uiPriority w:val="2"/>
    <w:qFormat/>
    <w:rsid w:val="00AE13B8"/>
    <w:pPr>
      <w:numPr>
        <w:numId w:val="1"/>
      </w:numPr>
      <w:spacing w:before="240"/>
      <w:contextualSpacing w:val="0"/>
      <w:outlineLvl w:val="0"/>
    </w:pPr>
    <w:rPr>
      <w:rFonts w:eastAsia="Cambria" w:cs="Times New Roman"/>
      <w:b/>
      <w:szCs w:val="24"/>
    </w:rPr>
  </w:style>
  <w:style w:type="paragraph" w:styleId="Heading2">
    <w:name w:val="heading 2"/>
    <w:basedOn w:val="Heading1"/>
    <w:next w:val="Normal"/>
    <w:link w:val="Heading2Char"/>
    <w:uiPriority w:val="2"/>
    <w:semiHidden/>
    <w:unhideWhenUsed/>
    <w:qFormat/>
    <w:rsid w:val="00AE13B8"/>
    <w:pPr>
      <w:numPr>
        <w:ilvl w:val="1"/>
      </w:numPr>
      <w:spacing w:after="200"/>
      <w:outlineLvl w:val="1"/>
    </w:pPr>
  </w:style>
  <w:style w:type="paragraph" w:styleId="Heading3">
    <w:name w:val="heading 3"/>
    <w:basedOn w:val="Normal"/>
    <w:next w:val="Normal"/>
    <w:link w:val="Heading3Char"/>
    <w:uiPriority w:val="2"/>
    <w:semiHidden/>
    <w:unhideWhenUsed/>
    <w:qFormat/>
    <w:rsid w:val="00AE13B8"/>
    <w:pPr>
      <w:keepNext/>
      <w:keepLines/>
      <w:numPr>
        <w:ilvl w:val="2"/>
        <w:numId w:val="1"/>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semiHidden/>
    <w:unhideWhenUsed/>
    <w:qFormat/>
    <w:rsid w:val="00AE13B8"/>
    <w:pPr>
      <w:numPr>
        <w:ilvl w:val="3"/>
      </w:numPr>
      <w:outlineLvl w:val="3"/>
    </w:pPr>
    <w:rPr>
      <w:iCs/>
    </w:rPr>
  </w:style>
  <w:style w:type="paragraph" w:styleId="Heading5">
    <w:name w:val="heading 5"/>
    <w:basedOn w:val="Heading4"/>
    <w:next w:val="Normal"/>
    <w:link w:val="Heading5Char"/>
    <w:uiPriority w:val="2"/>
    <w:semiHidden/>
    <w:unhideWhenUsed/>
    <w:qFormat/>
    <w:rsid w:val="00AE13B8"/>
    <w:pPr>
      <w:numPr>
        <w:ilvl w:val="4"/>
      </w:num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AE13B8"/>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semiHidden/>
    <w:rsid w:val="00AE13B8"/>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semiHidden/>
    <w:rsid w:val="00AE13B8"/>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2"/>
    <w:semiHidden/>
    <w:rsid w:val="00AE13B8"/>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semiHidden/>
    <w:rsid w:val="00AE13B8"/>
    <w:rPr>
      <w:rFonts w:ascii="Times New Roman" w:eastAsiaTheme="majorEastAsia" w:hAnsi="Times New Roman" w:cstheme="majorBidi"/>
      <w:b/>
      <w:iCs/>
      <w:sz w:val="24"/>
      <w:szCs w:val="24"/>
    </w:rPr>
  </w:style>
  <w:style w:type="paragraph" w:styleId="CommentText">
    <w:name w:val="annotation text"/>
    <w:basedOn w:val="Normal"/>
    <w:link w:val="CommentTextChar"/>
    <w:uiPriority w:val="99"/>
    <w:semiHidden/>
    <w:unhideWhenUsed/>
    <w:rsid w:val="00AE13B8"/>
    <w:rPr>
      <w:sz w:val="20"/>
      <w:szCs w:val="20"/>
    </w:rPr>
  </w:style>
  <w:style w:type="character" w:customStyle="1" w:styleId="CommentTextChar">
    <w:name w:val="Comment Text Char"/>
    <w:basedOn w:val="DefaultParagraphFont"/>
    <w:link w:val="CommentText"/>
    <w:uiPriority w:val="99"/>
    <w:semiHidden/>
    <w:rsid w:val="00AE13B8"/>
    <w:rPr>
      <w:rFonts w:ascii="Times New Roman" w:eastAsia="SimSun" w:hAnsi="Times New Roman"/>
      <w:sz w:val="20"/>
      <w:szCs w:val="20"/>
    </w:rPr>
  </w:style>
  <w:style w:type="paragraph" w:styleId="Caption">
    <w:name w:val="caption"/>
    <w:basedOn w:val="Normal"/>
    <w:next w:val="NoSpacing"/>
    <w:uiPriority w:val="35"/>
    <w:unhideWhenUsed/>
    <w:qFormat/>
    <w:rsid w:val="00AE13B8"/>
    <w:pPr>
      <w:keepNext/>
    </w:pPr>
    <w:rPr>
      <w:rFonts w:cs="Times New Roman"/>
      <w:b/>
      <w:bCs/>
      <w:szCs w:val="24"/>
    </w:rPr>
  </w:style>
  <w:style w:type="character" w:styleId="CommentReference">
    <w:name w:val="annotation reference"/>
    <w:basedOn w:val="DefaultParagraphFont"/>
    <w:uiPriority w:val="99"/>
    <w:semiHidden/>
    <w:unhideWhenUsed/>
    <w:rsid w:val="00AE13B8"/>
    <w:rPr>
      <w:sz w:val="16"/>
      <w:szCs w:val="16"/>
    </w:rPr>
  </w:style>
  <w:style w:type="numbering" w:customStyle="1" w:styleId="Headings">
    <w:name w:val="Headings"/>
    <w:uiPriority w:val="99"/>
    <w:rsid w:val="00AE13B8"/>
    <w:pPr>
      <w:numPr>
        <w:numId w:val="1"/>
      </w:numPr>
    </w:pPr>
  </w:style>
  <w:style w:type="paragraph" w:styleId="ListParagraph">
    <w:name w:val="List Paragraph"/>
    <w:basedOn w:val="Normal"/>
    <w:uiPriority w:val="34"/>
    <w:qFormat/>
    <w:rsid w:val="00AE13B8"/>
    <w:pPr>
      <w:ind w:left="720"/>
      <w:contextualSpacing/>
    </w:pPr>
  </w:style>
  <w:style w:type="paragraph" w:styleId="NoSpacing">
    <w:name w:val="No Spacing"/>
    <w:uiPriority w:val="1"/>
    <w:qFormat/>
    <w:rsid w:val="00AE13B8"/>
    <w:pPr>
      <w:spacing w:after="0" w:line="240" w:lineRule="auto"/>
    </w:pPr>
    <w:rPr>
      <w:rFonts w:ascii="Times New Roman" w:eastAsia="SimSun" w:hAnsi="Times New Roman"/>
      <w:sz w:val="24"/>
    </w:rPr>
  </w:style>
  <w:style w:type="paragraph" w:styleId="BalloonText">
    <w:name w:val="Balloon Text"/>
    <w:basedOn w:val="Normal"/>
    <w:link w:val="BalloonTextChar"/>
    <w:uiPriority w:val="99"/>
    <w:semiHidden/>
    <w:unhideWhenUsed/>
    <w:rsid w:val="00AE13B8"/>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3B8"/>
    <w:rPr>
      <w:rFonts w:ascii="Segoe UI" w:eastAsia="SimSun" w:hAnsi="Segoe UI" w:cs="Segoe UI"/>
      <w:sz w:val="18"/>
      <w:szCs w:val="18"/>
    </w:rPr>
  </w:style>
  <w:style w:type="paragraph" w:customStyle="1" w:styleId="EndNoteBibliographyTitle">
    <w:name w:val="EndNote Bibliography Title"/>
    <w:basedOn w:val="Normal"/>
    <w:link w:val="EndNoteBibliographyTitleChar"/>
    <w:rsid w:val="009D11A8"/>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D11A8"/>
    <w:rPr>
      <w:rFonts w:ascii="Times New Roman" w:eastAsia="SimSun" w:hAnsi="Times New Roman" w:cs="Times New Roman"/>
      <w:noProof/>
      <w:sz w:val="24"/>
    </w:rPr>
  </w:style>
  <w:style w:type="paragraph" w:customStyle="1" w:styleId="EndNoteBibliography">
    <w:name w:val="EndNote Bibliography"/>
    <w:basedOn w:val="Normal"/>
    <w:link w:val="EndNoteBibliographyChar"/>
    <w:rsid w:val="009D11A8"/>
    <w:rPr>
      <w:rFonts w:cs="Times New Roman"/>
      <w:noProof/>
    </w:rPr>
  </w:style>
  <w:style w:type="character" w:customStyle="1" w:styleId="EndNoteBibliographyChar">
    <w:name w:val="EndNote Bibliography Char"/>
    <w:basedOn w:val="DefaultParagraphFont"/>
    <w:link w:val="EndNoteBibliography"/>
    <w:rsid w:val="009D11A8"/>
    <w:rPr>
      <w:rFonts w:ascii="Times New Roman" w:eastAsia="SimSun" w:hAnsi="Times New Roman" w:cs="Times New Roman"/>
      <w:noProof/>
      <w:sz w:val="24"/>
    </w:rPr>
  </w:style>
  <w:style w:type="character" w:styleId="Hyperlink">
    <w:name w:val="Hyperlink"/>
    <w:basedOn w:val="DefaultParagraphFont"/>
    <w:uiPriority w:val="99"/>
    <w:unhideWhenUsed/>
    <w:rsid w:val="009D11A8"/>
    <w:rPr>
      <w:color w:val="0563C1" w:themeColor="hyperlink"/>
      <w:u w:val="single"/>
    </w:rPr>
  </w:style>
  <w:style w:type="character" w:styleId="UnresolvedMention">
    <w:name w:val="Unresolved Mention"/>
    <w:basedOn w:val="DefaultParagraphFont"/>
    <w:uiPriority w:val="99"/>
    <w:semiHidden/>
    <w:unhideWhenUsed/>
    <w:rsid w:val="009D11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83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palaeo.2005.10.014" TargetMode="External"/><Relationship Id="rId13" Type="http://schemas.openxmlformats.org/officeDocument/2006/relationships/hyperlink" Target="https://doi.org/10.1029/2010GC003201" TargetMode="External"/><Relationship Id="rId18" Type="http://schemas.openxmlformats.org/officeDocument/2006/relationships/hyperlink" Target="https://doi.org/10.1029/1998PA90002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doi.org/10.1016/0016-7037(53)90051-9" TargetMode="External"/><Relationship Id="rId17" Type="http://schemas.openxmlformats.org/officeDocument/2006/relationships/hyperlink" Target="https://doi.org/10.1038/s41598-017-14066-9" TargetMode="External"/><Relationship Id="rId2" Type="http://schemas.openxmlformats.org/officeDocument/2006/relationships/styles" Target="styles.xml"/><Relationship Id="rId16" Type="http://schemas.openxmlformats.org/officeDocument/2006/relationships/hyperlink" Target="https://doi.org/10.1038/ncomms1568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016/0198-0149(90)90004-F" TargetMode="External"/><Relationship Id="rId5" Type="http://schemas.openxmlformats.org/officeDocument/2006/relationships/image" Target="media/image1.png"/><Relationship Id="rId15" Type="http://schemas.openxmlformats.org/officeDocument/2006/relationships/hyperlink" Target="https://doi.org/10.1029/2006GL026011" TargetMode="External"/><Relationship Id="rId10" Type="http://schemas.openxmlformats.org/officeDocument/2006/relationships/hyperlink" Target="https://doi.org/10.1007/s00382-017-3845-0" TargetMode="External"/><Relationship Id="rId19" Type="http://schemas.openxmlformats.org/officeDocument/2006/relationships/hyperlink" Target="https://doi.org/10.1111/ggr.12363" TargetMode="External"/><Relationship Id="rId4" Type="http://schemas.openxmlformats.org/officeDocument/2006/relationships/webSettings" Target="webSettings.xml"/><Relationship Id="rId9" Type="http://schemas.openxmlformats.org/officeDocument/2006/relationships/hyperlink" Target="https://doi.org/10.1016/j.epsl.2019.115785" TargetMode="External"/><Relationship Id="rId14" Type="http://schemas.openxmlformats.org/officeDocument/2006/relationships/hyperlink" Target="https://doi.org/10.1016/j.epsl.2006.05.0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8</Pages>
  <Words>3953</Words>
  <Characters>22534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Hughes</dc:creator>
  <cp:keywords/>
  <dc:description/>
  <cp:lastModifiedBy>Hughes, Hunter Passman</cp:lastModifiedBy>
  <cp:revision>22</cp:revision>
  <dcterms:created xsi:type="dcterms:W3CDTF">2023-05-14T11:49:00Z</dcterms:created>
  <dcterms:modified xsi:type="dcterms:W3CDTF">2023-05-15T18:40:00Z</dcterms:modified>
</cp:coreProperties>
</file>