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B2239"/>
          <w:sz w:val="72"/>
          <w:szCs w:val="72"/>
        </w:rPr>
        <w:t xml:space="preserve">XBETON</w:t>
      </w:r>
    </w:p>
    <w:p>
      <w:pPr>
        <w:spacing w:after="40"/>
        <w:jc w:val="center"/>
      </w:pPr>
      <w:r>
        <w:rPr>
          <w:color w:val="1F4E79"/>
          <w:sz w:val="32"/>
          <w:szCs w:val="32"/>
        </w:rPr>
        <w:t xml:space="preserve">90-Day Social Media Growth Roadmap</w:t>
      </w:r>
    </w:p>
    <w:p>
      <w:pPr>
        <w:spacing w:after="200"/>
        <w:jc w:val="center"/>
      </w:pPr>
      <w:r>
        <w:rPr>
          <w:i/>
          <w:iCs/>
          <w:color w:val="595959"/>
          <w:sz w:val="20"/>
          <w:szCs w:val="20"/>
        </w:rPr>
        <w:t xml:space="preserve">Three Phases · Seven Platforms · One Brand</w:t>
      </w:r>
    </w:p>
    <w:p>
      <w:pPr>
        <w:jc w:val="center"/>
      </w:pPr>
      <w:r>
        <w:rPr>
          <w:color w:val="595959"/>
          <w:sz w:val="20"/>
          <w:szCs w:val="20"/>
        </w:rPr>
        <w:t xml:space="preserve">Jun 8 – Sep 6, 2026</w:t>
      </w:r>
    </w:p>
    <w:p>
      <w:pPr>
        <w:spacing w:before="40"/>
        <w:jc w:val="center"/>
      </w:pPr>
      <w:r>
        <w:rPr>
          <w:color w:val="595959"/>
          <w:sz w:val="18"/>
          <w:szCs w:val="18"/>
        </w:rPr>
        <w:t xml:space="preserve">Beton Holdings LLC DBA XBeton</w:t>
      </w:r>
    </w:p>
    <w:p>
      <w:r>
        <w:br w:type="page"/>
      </w:r>
    </w:p>
    <w:p>
      <w:pPr>
        <w:pStyle w:val="Heading1"/>
      </w:pPr>
      <w:bookmarkStart w:name="contents" w:id="1"/>
      <w:r>
        <w:t xml:space="preserve">Contents</w:t>
      </w:r>
      <w:bookmarkEnd w:id="1"/>
    </w:p>
    <w:p>
      <w:pPr>
        <w:spacing w:after="60"/>
      </w:pPr>
      <w:r>
        <w:rPr>
          <w:i/>
          <w:iCs/>
          <w:color w:val="595959"/>
          <w:sz w:val="18"/>
          <w:szCs w:val="18"/>
        </w:rPr>
        <w:t xml:space="preserve">Click any section to jump to it.</w:t>
      </w:r>
    </w:p>
    <w:p>
      <w:pPr>
        <w:spacing w:after="90"/>
        <w:ind w:left="200"/>
      </w:pPr>
      <w:hyperlink w:history="1" w:anchor="the90dayarcataglance">
        <w:r>
          <w:rPr>
            <w:rStyle w:val="Hyperlink"/>
            <w:sz w:val="22"/>
            <w:szCs w:val="22"/>
          </w:rPr>
          <w:t xml:space="preserve">The 90-Day Arc at a Glance</w:t>
        </w:r>
      </w:hyperlink>
    </w:p>
    <w:p>
      <w:pPr>
        <w:spacing w:after="90"/>
        <w:ind w:left="200"/>
      </w:pPr>
      <w:hyperlink w:history="1" w:anchor="month1foundationeducateweeks14">
        <w:r>
          <w:rPr>
            <w:rStyle w:val="Hyperlink"/>
            <w:sz w:val="22"/>
            <w:szCs w:val="22"/>
          </w:rPr>
          <w:t xml:space="preserve">Month 1 — Foundation &amp; Educate (Weeks 1–4)</w:t>
        </w:r>
      </w:hyperlink>
    </w:p>
    <w:p>
      <w:pPr>
        <w:spacing w:after="90"/>
        <w:ind w:left="200"/>
      </w:pPr>
      <w:hyperlink w:history="1" w:anchor="month2proofauthorityweeks58">
        <w:r>
          <w:rPr>
            <w:rStyle w:val="Hyperlink"/>
            <w:sz w:val="22"/>
            <w:szCs w:val="22"/>
          </w:rPr>
          <w:t xml:space="preserve">Month 2 — Proof &amp; Authority (Weeks 5–8)</w:t>
        </w:r>
      </w:hyperlink>
    </w:p>
    <w:p>
      <w:pPr>
        <w:spacing w:after="90"/>
        <w:ind w:left="200"/>
      </w:pPr>
      <w:hyperlink w:history="1" w:anchor="month3conversionscaleweeks913">
        <w:r>
          <w:rPr>
            <w:rStyle w:val="Hyperlink"/>
            <w:sz w:val="22"/>
            <w:szCs w:val="22"/>
          </w:rPr>
          <w:t xml:space="preserve">Month 3 — Conversion &amp; Scale (Weeks 9–13)</w:t>
        </w:r>
      </w:hyperlink>
    </w:p>
    <w:p>
      <w:pPr>
        <w:spacing w:after="90"/>
        <w:ind w:left="200"/>
      </w:pPr>
      <w:hyperlink w:history="1" w:anchor="theconstantweeklyproductionsystem">
        <w:r>
          <w:rPr>
            <w:rStyle w:val="Hyperlink"/>
            <w:sz w:val="22"/>
            <w:szCs w:val="22"/>
          </w:rPr>
          <w:t xml:space="preserve">The Constant: Weekly Production System</w:t>
        </w:r>
      </w:hyperlink>
    </w:p>
    <w:p>
      <w:pPr>
        <w:spacing w:after="90"/>
        <w:ind w:left="200"/>
      </w:pPr>
      <w:hyperlink w:history="1" w:anchor="trackingthequarter">
        <w:r>
          <w:rPr>
            <w:rStyle w:val="Hyperlink"/>
            <w:sz w:val="22"/>
            <w:szCs w:val="22"/>
          </w:rPr>
          <w:t xml:space="preserve">Tracking the Quarter</w:t>
        </w:r>
      </w:hyperlink>
    </w:p>
    <w:p>
      <w:pPr>
        <w:spacing w:after="90"/>
        <w:ind w:left="200"/>
      </w:pPr>
      <w:hyperlink w:history="1" w:anchor="howtousethiswithyourotherfiles">
        <w:r>
          <w:rPr>
            <w:rStyle w:val="Hyperlink"/>
            <w:sz w:val="22"/>
            <w:szCs w:val="22"/>
          </w:rPr>
          <w:t xml:space="preserve">How to Use This With Your Other Files</w:t>
        </w:r>
      </w:hyperlink>
    </w:p>
    <w:p>
      <w:pPr>
        <w:spacing w:after="90"/>
        <w:ind w:left="200"/>
      </w:pPr>
      <w:hyperlink w:history="1" w:anchor="sourcesreferences">
        <w:r>
          <w:rPr>
            <w:rStyle w:val="Hyperlink"/>
            <w:sz w:val="22"/>
            <w:szCs w:val="22"/>
          </w:rPr>
          <w:t xml:space="preserve">Sources &amp; References</w:t>
        </w:r>
      </w:hyperlink>
    </w:p>
    <w:p>
      <w:r>
        <w:br w:type="page"/>
      </w:r>
    </w:p>
    <w:p>
      <w:pPr>
        <w:pStyle w:val="Heading1"/>
      </w:pPr>
      <w:bookmarkStart w:name="the90dayarcataglance" w:id="1"/>
      <w:r>
        <w:t xml:space="preserve">The 90-Day Arc at a Glance</w:t>
      </w:r>
      <w:bookmarkEnd w:id="1"/>
    </w:p>
    <w:p>
      <w:pPr>
        <w:spacing w:after="120"/>
      </w:pPr>
      <w:r>
        <w:t xml:space="preserve">This roadmap extends your 14-day starter into a full quarter. It moves XBeton through three phases — first you teach the category, then you prove your performance and build authority, then you convert that attention into leads and dealers. Each phase builds on the last, so by Day 90 you have a content library, a repeatable system, and a pipeline rather than just a feed.</w:t>
      </w:r>
    </w:p>
    <w:p>
      <w:pPr>
        <w:spacing w:after="120"/>
      </w:pPr>
      <w:r>
        <w:t xml:space="preserve">The weekly posting rhythm from the playbook stays constant the whole way (roughly 3–4 source assets per week, reshaped across all seven platforms). What changes month to month is the theme, the growth tactics you layer on, and what you're asking the audience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860"/>
        <w:gridCol w:w="30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Phase</w:t>
            </w:r>
          </w:p>
        </w:tc>
        <w:tc>
          <w:tcPr>
            <w:tcW w:type="dxa" w:w="11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Weeks</w:t>
            </w:r>
          </w:p>
        </w:tc>
        <w:tc>
          <w:tcPr>
            <w:tcW w:type="dxa" w:w="28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Theme</w:t>
            </w:r>
          </w:p>
        </w:tc>
        <w:tc>
          <w:tcPr>
            <w:tcW w:type="dxa" w:w="30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Primary goal</w:t>
            </w:r>
          </w:p>
        </w:tc>
      </w:tr>
      <w:tr>
        <w:tc>
          <w:tcPr>
            <w:tcW w:type="dxa" w:w="24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Month 1 — Foundation</w:t>
            </w:r>
          </w:p>
        </w:tc>
        <w:tc>
          <w:tcPr>
            <w:tcW w:type="dxa" w:w="11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1–4</w:t>
            </w:r>
          </w:p>
        </w:tc>
        <w:tc>
          <w:tcPr>
            <w:tcW w:type="dxa" w:w="28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Educate: 'Meet AAC'</w:t>
            </w:r>
          </w:p>
        </w:tc>
        <w:tc>
          <w:tcPr>
            <w:tcW w:type="dxa" w:w="30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Build the base: optimize profiles, launch series, teach the category</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Month 2 — Authority</w:t>
            </w:r>
          </w:p>
        </w:tc>
        <w:tc>
          <w:tcPr>
            <w:tcW w:type="dxa" w:w="1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5–8</w:t>
            </w:r>
          </w:p>
        </w:tc>
        <w:tc>
          <w:tcPr>
            <w:tcW w:type="dxa" w:w="2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Prove: 'Built to Survive'</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Expand reach: performance proof, project case studies, partnerships, first paid</w:t>
            </w:r>
          </w:p>
        </w:tc>
      </w:tr>
      <w:tr>
        <w:tc>
          <w:tcPr>
            <w:tcW w:type="dxa" w:w="24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Month 3 — Conversion</w:t>
            </w:r>
          </w:p>
        </w:tc>
        <w:tc>
          <w:tcPr>
            <w:tcW w:type="dxa" w:w="11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9–13</w:t>
            </w:r>
          </w:p>
        </w:tc>
        <w:tc>
          <w:tcPr>
            <w:tcW w:type="dxa" w:w="28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Convert: 'Build With Us'</w:t>
            </w:r>
          </w:p>
        </w:tc>
        <w:tc>
          <w:tcPr>
            <w:tcW w:type="dxa" w:w="30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Turn reach into pipeline: lead-gen, dealer recruitment, retargeting, scale</w:t>
            </w:r>
          </w:p>
        </w:tc>
      </w:tr>
    </w:tbl>
    <w:p>
      <w:pPr>
        <w:spacing w:after="120"/>
      </w:pPr>
    </w:p>
    <w:p>
      <w:pPr>
        <w:spacing w:after="120"/>
      </w:pPr>
      <w:r>
        <w:rPr>
          <w:b/>
          <w:bCs/>
        </w:rPr>
        <w:t xml:space="preserve">Recurring series run across all 90 days and become the backbone audiences anticipate:</w:t>
      </w:r>
    </w:p>
    <w:p>
      <w:pPr>
        <w:pStyle w:val="ListParagraph"/>
        <w:numPr>
          <w:ilvl w:val="0"/>
          <w:numId w:val="2"/>
        </w:numPr>
        <w:spacing w:after="60"/>
      </w:pPr>
      <w:r>
        <w:t xml:space="preserve">Fire Test Friday — a weekly performance demo (your most shareable, viral-friendly format).</w:t>
      </w:r>
    </w:p>
    <w:p>
      <w:pPr>
        <w:pStyle w:val="ListParagraph"/>
        <w:numPr>
          <w:ilvl w:val="0"/>
          <w:numId w:val="2"/>
        </w:numPr>
        <w:spacing w:after="60"/>
      </w:pPr>
      <w:r>
        <w:t xml:space="preserve">Build Smarter — a weekly educational explainer (carousel/Short) that earns saves.</w:t>
      </w:r>
    </w:p>
    <w:p>
      <w:pPr>
        <w:pStyle w:val="ListParagraph"/>
        <w:numPr>
          <w:ilvl w:val="0"/>
          <w:numId w:val="2"/>
        </w:numPr>
        <w:spacing w:after="60"/>
      </w:pPr>
      <w:r>
        <w:t xml:space="preserve">Site of the Week — a weekly project spotlight from your 22 completed builds.</w:t>
      </w:r>
    </w:p>
    <w:p>
      <w:pPr>
        <w:pStyle w:val="ListParagraph"/>
        <w:numPr>
          <w:ilvl w:val="0"/>
          <w:numId w:val="2"/>
        </w:numPr>
        <w:spacing w:after="60"/>
      </w:pPr>
      <w:r>
        <w:t xml:space="preserve">Myth-Buster — every other week, correcting a misconception about concrete/AAC.</w:t>
      </w:r>
    </w:p>
    <w:p>
      <w:pPr>
        <w:pStyle w:val="ListParagraph"/>
        <w:numPr>
          <w:ilvl w:val="0"/>
          <w:numId w:val="2"/>
        </w:numPr>
        <w:spacing w:after="60"/>
      </w:pPr>
      <w:r>
        <w:t xml:space="preserve">Behind the Build — roughly weekly people-and-process content (factory, crews, founder).</w:t>
      </w:r>
    </w:p>
    <w:p>
      <w:r>
        <w:br w:type="page"/>
      </w:r>
    </w:p>
    <w:p>
      <w:pPr>
        <w:pStyle w:val="Heading1"/>
      </w:pPr>
      <w:bookmarkStart w:name="month1foundationeducateweeks14" w:id="1"/>
      <w:r>
        <w:t xml:space="preserve">Month 1 — Foundation &amp; Educate (Weeks 1–4)</w:t>
      </w:r>
      <w:bookmarkEnd w:id="1"/>
    </w:p>
    <w:p>
      <w:pPr>
        <w:spacing w:after="120"/>
      </w:pPr>
      <w:r>
        <w:t xml:space="preserve">Goal for the month: make all seven accounts look like one credible company, establish your recurring series, and teach the market what AAC is and why it matters. You are building the base layer of awareness and a starter content library. Don't chase virality yet — chase consistency and saves.</w:t>
      </w:r>
    </w:p>
    <w:p>
      <w:pPr>
        <w:pStyle w:val="Heading2"/>
      </w:pPr>
      <w:r>
        <w:t xml:space="preserve">Weekly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560"/>
        <w:gridCol w:w="42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Week</w:t>
            </w:r>
          </w:p>
        </w:tc>
        <w:tc>
          <w:tcPr>
            <w:tcW w:type="dxa" w:w="17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Dates</w:t>
            </w:r>
          </w:p>
        </w:tc>
        <w:tc>
          <w:tcPr>
            <w:tcW w:type="dxa" w:w="25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Theme</w:t>
            </w:r>
          </w:p>
        </w:tc>
        <w:tc>
          <w:tcPr>
            <w:tcW w:type="dxa" w:w="4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Anchor content</w:t>
            </w:r>
          </w:p>
        </w:tc>
      </w:tr>
      <w:tr>
        <w:tc>
          <w:tcPr>
            <w:tcW w:type="dxa" w:w="9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1</w:t>
            </w:r>
          </w:p>
        </w:tc>
        <w:tc>
          <w:tcPr>
            <w:tcW w:type="dxa" w:w="17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Jun 8–14</w:t>
            </w:r>
          </w:p>
        </w:tc>
        <w:tc>
          <w:tcPr>
            <w:tcW w:type="dxa" w:w="25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Launch &amp; 'What is AAC?'</w:t>
            </w:r>
          </w:p>
        </w:tc>
        <w:tc>
          <w:tcPr>
            <w:tcW w:type="dxa" w:w="42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Profile optimization, intro post, first Fire Test Friday, how-it's-made BTS</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2</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Jun 15–21</w:t>
            </w:r>
          </w:p>
        </w:tc>
        <w:tc>
          <w:tcPr>
            <w:tcW w:type="dxa" w:w="2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Compare &amp; Prove</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AAC vs. wood vs. CMU, install time-lapse, sustainability, myth-buster, recap</w:t>
            </w:r>
          </w:p>
        </w:tc>
      </w:tr>
      <w:tr>
        <w:tc>
          <w:tcPr>
            <w:tcW w:type="dxa" w:w="9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3</w:t>
            </w:r>
          </w:p>
        </w:tc>
        <w:tc>
          <w:tcPr>
            <w:tcW w:type="dxa" w:w="17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Jun 22–28</w:t>
            </w:r>
          </w:p>
        </w:tc>
        <w:tc>
          <w:tcPr>
            <w:tcW w:type="dxa" w:w="25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Fire &amp; Resilience</w:t>
            </w:r>
          </w:p>
        </w:tc>
        <w:tc>
          <w:tcPr>
            <w:tcW w:type="dxa" w:w="42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Fire-rating deep dive, wildfire-season angle, earthquake/storm safety, Fire Test Friday</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4</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Jun 29–Jul 5</w:t>
            </w:r>
          </w:p>
        </w:tc>
        <w:tc>
          <w:tcPr>
            <w:tcW w:type="dxa" w:w="2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Energy &amp; Comfort</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HVAC savings, thermal mass, acoustic comfort, summer-cooling angle (lighter July 4 week)</w:t>
            </w:r>
          </w:p>
        </w:tc>
      </w:tr>
    </w:tbl>
    <w:p>
      <w:pPr>
        <w:spacing w:after="120"/>
      </w:pPr>
    </w:p>
    <w:p>
      <w:pPr>
        <w:pStyle w:val="Heading2"/>
      </w:pPr>
      <w:r>
        <w:t xml:space="preserve">Growth tactics this month</w:t>
      </w:r>
    </w:p>
    <w:p>
      <w:pPr>
        <w:pStyle w:val="ListParagraph"/>
        <w:numPr>
          <w:ilvl w:val="0"/>
          <w:numId w:val="2"/>
        </w:numPr>
        <w:spacing w:after="60"/>
      </w:pPr>
      <w:r>
        <w:t xml:space="preserve">Organic only — no ad spend yet. Spend the budget of your attention on consistency and replies.</w:t>
      </w:r>
    </w:p>
    <w:p>
      <w:pPr>
        <w:pStyle w:val="ListParagraph"/>
        <w:numPr>
          <w:ilvl w:val="0"/>
          <w:numId w:val="2"/>
        </w:numPr>
        <w:spacing w:after="60"/>
      </w:pPr>
      <w:r>
        <w:t xml:space="preserve">Front-load keyword SEO: put 'AAC', 'fire-rated', 'energy-efficient building' in names, captions, and YouTube titles.</w:t>
      </w:r>
    </w:p>
    <w:p>
      <w:pPr>
        <w:pStyle w:val="ListParagraph"/>
        <w:numPr>
          <w:ilvl w:val="0"/>
          <w:numId w:val="2"/>
        </w:numPr>
        <w:spacing w:after="60"/>
      </w:pPr>
      <w:r>
        <w:t xml:space="preserve">Engage 15 minutes daily: reply to every comment/DM, and comment on architecture, homebuilding, and wildfire-resilience accounts.</w:t>
      </w:r>
    </w:p>
    <w:p>
      <w:pPr>
        <w:pStyle w:val="ListParagraph"/>
        <w:numPr>
          <w:ilvl w:val="0"/>
          <w:numId w:val="2"/>
        </w:numPr>
        <w:spacing w:after="60"/>
      </w:pPr>
      <w:r>
        <w:t xml:space="preserve">Announce the accounts to your email list, website, and existing LinkedIn network; cross-link all seven bios.</w:t>
      </w:r>
    </w:p>
    <w:p>
      <w:pPr>
        <w:pStyle w:val="ListParagraph"/>
        <w:numPr>
          <w:ilvl w:val="0"/>
          <w:numId w:val="2"/>
        </w:numPr>
        <w:spacing w:after="60"/>
      </w:pPr>
      <w:r>
        <w:t xml:space="preserve">Build a backlog: bank 2–3 fire-test and build clips so you're never scrambling.</w:t>
      </w:r>
    </w:p>
    <w:p>
      <w:pPr>
        <w:pStyle w:val="Heading3"/>
      </w:pPr>
      <w:r>
        <w:t xml:space="preserve">Day 30 milestone (≈ Jul 7)</w:t>
      </w:r>
    </w:p>
    <w:p>
      <w:pPr>
        <w:pStyle w:val="ListParagraph"/>
        <w:numPr>
          <w:ilvl w:val="0"/>
          <w:numId w:val="2"/>
        </w:numPr>
        <w:spacing w:after="60"/>
      </w:pPr>
      <w:r>
        <w:t xml:space="preserve">All seven profiles 100% complete and visually consistent.</w:t>
      </w:r>
    </w:p>
    <w:p>
      <w:pPr>
        <w:pStyle w:val="ListParagraph"/>
        <w:numPr>
          <w:ilvl w:val="0"/>
          <w:numId w:val="2"/>
        </w:numPr>
        <w:spacing w:after="60"/>
      </w:pPr>
      <w:r>
        <w:t xml:space="preserve">~16 posts live per active platform; all five series have run at least twice.</w:t>
      </w:r>
    </w:p>
    <w:p>
      <w:pPr>
        <w:pStyle w:val="ListParagraph"/>
        <w:numPr>
          <w:ilvl w:val="0"/>
          <w:numId w:val="2"/>
        </w:numPr>
        <w:spacing w:after="60"/>
      </w:pPr>
      <w:r>
        <w:t xml:space="preserve">Baseline analytics captured; top 3 posts identified.</w:t>
      </w:r>
    </w:p>
    <w:p>
      <w:pPr>
        <w:pStyle w:val="ListParagraph"/>
        <w:numPr>
          <w:ilvl w:val="0"/>
          <w:numId w:val="2"/>
        </w:numPr>
        <w:spacing w:after="60"/>
      </w:pPr>
      <w:r>
        <w:t xml:space="preserve">Reel/Short non-follower reach trending toward 40%+.</w:t>
      </w:r>
    </w:p>
    <w:p>
      <w:pPr>
        <w:pStyle w:val="ListParagraph"/>
        <w:numPr>
          <w:ilvl w:val="0"/>
          <w:numId w:val="2"/>
        </w:numPr>
        <w:spacing w:after="60"/>
      </w:pPr>
      <w:r>
        <w:t xml:space="preserve">First inbound comments/DMs; a small but real follower base on each platform.</w:t>
      </w:r>
    </w:p>
    <w:p>
      <w:r>
        <w:br w:type="page"/>
      </w:r>
    </w:p>
    <w:p>
      <w:pPr>
        <w:pStyle w:val="Heading1"/>
      </w:pPr>
      <w:bookmarkStart w:name="month2proofauthorityweeks58" w:id="1"/>
      <w:r>
        <w:t xml:space="preserve">Month 2 — Proof &amp; Authority (Weeks 5–8)</w:t>
      </w:r>
      <w:bookmarkEnd w:id="1"/>
    </w:p>
    <w:p>
      <w:pPr>
        <w:spacing w:after="120"/>
      </w:pPr>
      <w:r>
        <w:t xml:space="preserve">Goal for the month: expand reach beyond your initial base by leaning into proof — performance demos and real project case studies — and by borrowing other people's audiences through partnerships. This is also where you switch on a small paid budget behind content that's already winning organically. Theme: 'Built to Survive.'</w:t>
      </w:r>
    </w:p>
    <w:p>
      <w:pPr>
        <w:pStyle w:val="Heading2"/>
      </w:pPr>
      <w:r>
        <w:t xml:space="preserve">Weekly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560"/>
        <w:gridCol w:w="4200"/>
      </w:tblGrid>
      <w:tr>
        <w:trPr>
          <w:tblHeader/>
        </w:trPr>
        <w:tc>
          <w:tcPr>
            <w:tcW w:type="dxa" w:w="900"/>
            <w:tcBorders>
              <w:top w:val="single" w:color="CCCCCC" w:sz="1"/>
              <w:left w:val="single" w:color="CCCCCC" w:sz="1"/>
              <w:bottom w:val="single" w:color="CCCCCC" w:sz="1"/>
              <w:right w:val="single" w:color="CCCCCC" w:sz="1"/>
            </w:tcBorders>
            <w:shd w:fill="C8102E" w:val="clear"/>
            <w:tcMar>
              <w:top w:type="dxa" w:w="70"/>
              <w:left w:type="dxa" w:w="110"/>
              <w:bottom w:type="dxa" w:w="70"/>
              <w:right w:type="dxa" w:w="110"/>
            </w:tcMar>
          </w:tcPr>
          <w:p>
            <w:pPr>
              <w:jc w:val="left"/>
            </w:pPr>
            <w:r>
              <w:rPr>
                <w:b/>
                <w:bCs/>
                <w:color w:val="FFFFFF"/>
                <w:sz w:val="18"/>
                <w:szCs w:val="18"/>
              </w:rPr>
              <w:t xml:space="preserve">Week</w:t>
            </w:r>
          </w:p>
        </w:tc>
        <w:tc>
          <w:tcPr>
            <w:tcW w:type="dxa" w:w="1700"/>
            <w:tcBorders>
              <w:top w:val="single" w:color="CCCCCC" w:sz="1"/>
              <w:left w:val="single" w:color="CCCCCC" w:sz="1"/>
              <w:bottom w:val="single" w:color="CCCCCC" w:sz="1"/>
              <w:right w:val="single" w:color="CCCCCC" w:sz="1"/>
            </w:tcBorders>
            <w:shd w:fill="C8102E" w:val="clear"/>
            <w:tcMar>
              <w:top w:type="dxa" w:w="70"/>
              <w:left w:type="dxa" w:w="110"/>
              <w:bottom w:type="dxa" w:w="70"/>
              <w:right w:type="dxa" w:w="110"/>
            </w:tcMar>
          </w:tcPr>
          <w:p>
            <w:pPr>
              <w:jc w:val="left"/>
            </w:pPr>
            <w:r>
              <w:rPr>
                <w:b/>
                <w:bCs/>
                <w:color w:val="FFFFFF"/>
                <w:sz w:val="18"/>
                <w:szCs w:val="18"/>
              </w:rPr>
              <w:t xml:space="preserve">Dates</w:t>
            </w:r>
          </w:p>
        </w:tc>
        <w:tc>
          <w:tcPr>
            <w:tcW w:type="dxa" w:w="2560"/>
            <w:tcBorders>
              <w:top w:val="single" w:color="CCCCCC" w:sz="1"/>
              <w:left w:val="single" w:color="CCCCCC" w:sz="1"/>
              <w:bottom w:val="single" w:color="CCCCCC" w:sz="1"/>
              <w:right w:val="single" w:color="CCCCCC" w:sz="1"/>
            </w:tcBorders>
            <w:shd w:fill="C8102E" w:val="clear"/>
            <w:tcMar>
              <w:top w:type="dxa" w:w="70"/>
              <w:left w:type="dxa" w:w="110"/>
              <w:bottom w:type="dxa" w:w="70"/>
              <w:right w:type="dxa" w:w="110"/>
            </w:tcMar>
          </w:tcPr>
          <w:p>
            <w:pPr>
              <w:jc w:val="left"/>
            </w:pPr>
            <w:r>
              <w:rPr>
                <w:b/>
                <w:bCs/>
                <w:color w:val="FFFFFF"/>
                <w:sz w:val="18"/>
                <w:szCs w:val="18"/>
              </w:rPr>
              <w:t xml:space="preserve">Theme</w:t>
            </w:r>
          </w:p>
        </w:tc>
        <w:tc>
          <w:tcPr>
            <w:tcW w:type="dxa" w:w="4200"/>
            <w:tcBorders>
              <w:top w:val="single" w:color="CCCCCC" w:sz="1"/>
              <w:left w:val="single" w:color="CCCCCC" w:sz="1"/>
              <w:bottom w:val="single" w:color="CCCCCC" w:sz="1"/>
              <w:right w:val="single" w:color="CCCCCC" w:sz="1"/>
            </w:tcBorders>
            <w:shd w:fill="C8102E" w:val="clear"/>
            <w:tcMar>
              <w:top w:type="dxa" w:w="70"/>
              <w:left w:type="dxa" w:w="110"/>
              <w:bottom w:type="dxa" w:w="70"/>
              <w:right w:type="dxa" w:w="110"/>
            </w:tcMar>
          </w:tcPr>
          <w:p>
            <w:pPr>
              <w:jc w:val="left"/>
            </w:pPr>
            <w:r>
              <w:rPr>
                <w:b/>
                <w:bCs/>
                <w:color w:val="FFFFFF"/>
                <w:sz w:val="18"/>
                <w:szCs w:val="18"/>
              </w:rPr>
              <w:t xml:space="preserve">Anchor content</w:t>
            </w:r>
          </w:p>
        </w:tc>
      </w:tr>
      <w:tr>
        <w:tc>
          <w:tcPr>
            <w:tcW w:type="dxa" w:w="9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5</w:t>
            </w:r>
          </w:p>
        </w:tc>
        <w:tc>
          <w:tcPr>
            <w:tcW w:type="dxa" w:w="17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Jul 6–12</w:t>
            </w:r>
          </w:p>
        </w:tc>
        <w:tc>
          <w:tcPr>
            <w:tcW w:type="dxa" w:w="25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Residential proof</w:t>
            </w:r>
          </w:p>
        </w:tc>
        <w:tc>
          <w:tcPr>
            <w:tcW w:type="dxa" w:w="42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Whitefish, MT estate deep dive; the homeowner journey; fire-zone safety</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6</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Jul 13–19</w:t>
            </w:r>
          </w:p>
        </w:tc>
        <w:tc>
          <w:tcPr>
            <w:tcW w:type="dxa" w:w="2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Commercial &amp; multifamily</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Las Vegas Metro PD, hotels (Holiday Inn Express), developer ROI &amp; schedule</w:t>
            </w:r>
          </w:p>
        </w:tc>
      </w:tr>
      <w:tr>
        <w:tc>
          <w:tcPr>
            <w:tcW w:type="dxa" w:w="9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7</w:t>
            </w:r>
          </w:p>
        </w:tc>
        <w:tc>
          <w:tcPr>
            <w:tcW w:type="dxa" w:w="17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Jul 20–26</w:t>
            </w:r>
          </w:p>
        </w:tc>
        <w:tc>
          <w:tcPr>
            <w:tcW w:type="dxa" w:w="25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Mission-critical</w:t>
            </w:r>
          </w:p>
        </w:tc>
        <w:tc>
          <w:tcPr>
            <w:tcW w:type="dxa" w:w="42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Industrial, datacenters, high-rise (Burj scale reference); hydrocarbon fire resistance</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8</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Jul 27–Aug 2</w:t>
            </w:r>
          </w:p>
        </w:tc>
        <w:tc>
          <w:tcPr>
            <w:tcW w:type="dxa" w:w="2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People &amp; partnerships</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Factory/autoclave, crews, founder story; first Collab posts with partners</w:t>
            </w:r>
          </w:p>
        </w:tc>
      </w:tr>
    </w:tbl>
    <w:p>
      <w:pPr>
        <w:spacing w:after="120"/>
      </w:pPr>
    </w:p>
    <w:p>
      <w:pPr>
        <w:pStyle w:val="Heading2"/>
      </w:pPr>
      <w:r>
        <w:t xml:space="preserve">Growth tactics this month</w:t>
      </w:r>
    </w:p>
    <w:p>
      <w:pPr>
        <w:pStyle w:val="ListParagraph"/>
        <w:numPr>
          <w:ilvl w:val="0"/>
          <w:numId w:val="2"/>
        </w:numPr>
        <w:spacing w:after="60"/>
      </w:pPr>
      <w:r>
        <w:t xml:space="preserve">Launch partnerships: feature the architects, GCs, and developers from completed projects and ask them to re-share; run Instagram Collab posts so content lands on both audiences.</w:t>
      </w:r>
    </w:p>
    <w:p>
      <w:pPr>
        <w:pStyle w:val="ListParagraph"/>
        <w:numPr>
          <w:ilvl w:val="0"/>
          <w:numId w:val="2"/>
        </w:numPr>
        <w:spacing w:after="60"/>
      </w:pPr>
      <w:r>
        <w:t xml:space="preserve">Turn on paid: boost your 2–3 best-performing organic Reels/TikToks at $5–10/day each, targeted by interest (architecture, homebuilding, wildfire resilience) and your active states.</w:t>
      </w:r>
    </w:p>
    <w:p>
      <w:pPr>
        <w:pStyle w:val="ListParagraph"/>
        <w:numPr>
          <w:ilvl w:val="0"/>
          <w:numId w:val="2"/>
        </w:numPr>
        <w:spacing w:after="60"/>
      </w:pPr>
      <w:r>
        <w:t xml:space="preserve">LinkedIn thought leadership: have the founder post weekly case-study insights from a personal profile and re-share the company page.</w:t>
      </w:r>
    </w:p>
    <w:p>
      <w:pPr>
        <w:pStyle w:val="ListParagraph"/>
        <w:numPr>
          <w:ilvl w:val="0"/>
          <w:numId w:val="2"/>
        </w:numPr>
        <w:spacing w:after="60"/>
      </w:pPr>
      <w:r>
        <w:t xml:space="preserve">Seed creators: send Bond &amp; Shield samples or invite a building-science creator to a live fire demo.</w:t>
      </w:r>
    </w:p>
    <w:p>
      <w:pPr>
        <w:pStyle w:val="ListParagraph"/>
        <w:numPr>
          <w:ilvl w:val="0"/>
          <w:numId w:val="2"/>
        </w:numPr>
        <w:spacing w:after="60"/>
      </w:pPr>
      <w:r>
        <w:t xml:space="preserve">Start a simple lead tracker (sheet) tying DMs and link clicks to sales conversations.</w:t>
      </w:r>
    </w:p>
    <w:p>
      <w:pPr>
        <w:pStyle w:val="Heading3"/>
      </w:pPr>
      <w:r>
        <w:t xml:space="preserve">Day 60 milestone (≈ Aug 6)</w:t>
      </w:r>
    </w:p>
    <w:p>
      <w:pPr>
        <w:pStyle w:val="ListParagraph"/>
        <w:numPr>
          <w:ilvl w:val="0"/>
          <w:numId w:val="2"/>
        </w:numPr>
        <w:spacing w:after="60"/>
      </w:pPr>
      <w:r>
        <w:t xml:space="preserve">Consistent cadence held for 8 weeks; at least one breakout post (5–10× your average reach).</w:t>
      </w:r>
    </w:p>
    <w:p>
      <w:pPr>
        <w:pStyle w:val="ListParagraph"/>
        <w:numPr>
          <w:ilvl w:val="0"/>
          <w:numId w:val="2"/>
        </w:numPr>
        <w:spacing w:after="60"/>
      </w:pPr>
      <w:r>
        <w:t xml:space="preserve">2+ partner collaborations live; founder posting regularly on LinkedIn.</w:t>
      </w:r>
    </w:p>
    <w:p>
      <w:pPr>
        <w:pStyle w:val="ListParagraph"/>
        <w:numPr>
          <w:ilvl w:val="0"/>
          <w:numId w:val="2"/>
        </w:numPr>
        <w:spacing w:after="60"/>
      </w:pPr>
      <w:r>
        <w:t xml:space="preserve">Paid boosts running on proven winners; cost-per-result baseline known.</w:t>
      </w:r>
    </w:p>
    <w:p>
      <w:pPr>
        <w:pStyle w:val="ListParagraph"/>
        <w:numPr>
          <w:ilvl w:val="0"/>
          <w:numId w:val="2"/>
        </w:numPr>
        <w:spacing w:after="60"/>
      </w:pPr>
      <w:r>
        <w:t xml:space="preserve">Reel/Short non-follower reach above 50%; saves and shares climbing.</w:t>
      </w:r>
    </w:p>
    <w:p>
      <w:pPr>
        <w:pStyle w:val="ListParagraph"/>
        <w:numPr>
          <w:ilvl w:val="0"/>
          <w:numId w:val="2"/>
        </w:numPr>
        <w:spacing w:after="60"/>
      </w:pPr>
      <w:r>
        <w:t xml:space="preserve">First qualified inbound: quote requests, architect questions, or dealer curiosity.</w:t>
      </w:r>
    </w:p>
    <w:p>
      <w:r>
        <w:br w:type="page"/>
      </w:r>
    </w:p>
    <w:p>
      <w:pPr>
        <w:pStyle w:val="Heading1"/>
      </w:pPr>
      <w:bookmarkStart w:name="month3conversionscaleweeks913" w:id="1"/>
      <w:r>
        <w:t xml:space="preserve">Month 3 — Conversion &amp; Scale (Weeks 9–13)</w:t>
      </w:r>
      <w:bookmarkEnd w:id="1"/>
    </w:p>
    <w:p>
      <w:pPr>
        <w:spacing w:after="120"/>
      </w:pPr>
      <w:r>
        <w:t xml:space="preserve">Goal for the month: convert the audience and reach you've built into measurable pipeline — sample requests, spec downloads, dealer inquiries — and systematize what works so it runs without heroics. Theme: 'Build With Us.'</w:t>
      </w:r>
    </w:p>
    <w:p>
      <w:pPr>
        <w:pStyle w:val="Heading2"/>
      </w:pPr>
      <w:r>
        <w:t xml:space="preserve">Weekly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560"/>
        <w:gridCol w:w="4200"/>
      </w:tblGrid>
      <w:tr>
        <w:trPr>
          <w:tblHeader/>
        </w:trPr>
        <w:tc>
          <w:tcPr>
            <w:tcW w:type="dxa" w:w="900"/>
            <w:tcBorders>
              <w:top w:val="single" w:color="CCCCCC" w:sz="1"/>
              <w:left w:val="single" w:color="CCCCCC" w:sz="1"/>
              <w:bottom w:val="single" w:color="CCCCCC" w:sz="1"/>
              <w:right w:val="single" w:color="CCCCCC" w:sz="1"/>
            </w:tcBorders>
            <w:shd w:fill="2E7D32" w:val="clear"/>
            <w:tcMar>
              <w:top w:type="dxa" w:w="70"/>
              <w:left w:type="dxa" w:w="110"/>
              <w:bottom w:type="dxa" w:w="70"/>
              <w:right w:type="dxa" w:w="110"/>
            </w:tcMar>
          </w:tcPr>
          <w:p>
            <w:pPr>
              <w:jc w:val="left"/>
            </w:pPr>
            <w:r>
              <w:rPr>
                <w:b/>
                <w:bCs/>
                <w:color w:val="FFFFFF"/>
                <w:sz w:val="18"/>
                <w:szCs w:val="18"/>
              </w:rPr>
              <w:t xml:space="preserve">Week</w:t>
            </w:r>
          </w:p>
        </w:tc>
        <w:tc>
          <w:tcPr>
            <w:tcW w:type="dxa" w:w="1700"/>
            <w:tcBorders>
              <w:top w:val="single" w:color="CCCCCC" w:sz="1"/>
              <w:left w:val="single" w:color="CCCCCC" w:sz="1"/>
              <w:bottom w:val="single" w:color="CCCCCC" w:sz="1"/>
              <w:right w:val="single" w:color="CCCCCC" w:sz="1"/>
            </w:tcBorders>
            <w:shd w:fill="2E7D32" w:val="clear"/>
            <w:tcMar>
              <w:top w:type="dxa" w:w="70"/>
              <w:left w:type="dxa" w:w="110"/>
              <w:bottom w:type="dxa" w:w="70"/>
              <w:right w:type="dxa" w:w="110"/>
            </w:tcMar>
          </w:tcPr>
          <w:p>
            <w:pPr>
              <w:jc w:val="left"/>
            </w:pPr>
            <w:r>
              <w:rPr>
                <w:b/>
                <w:bCs/>
                <w:color w:val="FFFFFF"/>
                <w:sz w:val="18"/>
                <w:szCs w:val="18"/>
              </w:rPr>
              <w:t xml:space="preserve">Dates</w:t>
            </w:r>
          </w:p>
        </w:tc>
        <w:tc>
          <w:tcPr>
            <w:tcW w:type="dxa" w:w="2560"/>
            <w:tcBorders>
              <w:top w:val="single" w:color="CCCCCC" w:sz="1"/>
              <w:left w:val="single" w:color="CCCCCC" w:sz="1"/>
              <w:bottom w:val="single" w:color="CCCCCC" w:sz="1"/>
              <w:right w:val="single" w:color="CCCCCC" w:sz="1"/>
            </w:tcBorders>
            <w:shd w:fill="2E7D32" w:val="clear"/>
            <w:tcMar>
              <w:top w:type="dxa" w:w="70"/>
              <w:left w:type="dxa" w:w="110"/>
              <w:bottom w:type="dxa" w:w="70"/>
              <w:right w:type="dxa" w:w="110"/>
            </w:tcMar>
          </w:tcPr>
          <w:p>
            <w:pPr>
              <w:jc w:val="left"/>
            </w:pPr>
            <w:r>
              <w:rPr>
                <w:b/>
                <w:bCs/>
                <w:color w:val="FFFFFF"/>
                <w:sz w:val="18"/>
                <w:szCs w:val="18"/>
              </w:rPr>
              <w:t xml:space="preserve">Theme</w:t>
            </w:r>
          </w:p>
        </w:tc>
        <w:tc>
          <w:tcPr>
            <w:tcW w:type="dxa" w:w="4200"/>
            <w:tcBorders>
              <w:top w:val="single" w:color="CCCCCC" w:sz="1"/>
              <w:left w:val="single" w:color="CCCCCC" w:sz="1"/>
              <w:bottom w:val="single" w:color="CCCCCC" w:sz="1"/>
              <w:right w:val="single" w:color="CCCCCC" w:sz="1"/>
            </w:tcBorders>
            <w:shd w:fill="2E7D32" w:val="clear"/>
            <w:tcMar>
              <w:top w:type="dxa" w:w="70"/>
              <w:left w:type="dxa" w:w="110"/>
              <w:bottom w:type="dxa" w:w="70"/>
              <w:right w:type="dxa" w:w="110"/>
            </w:tcMar>
          </w:tcPr>
          <w:p>
            <w:pPr>
              <w:jc w:val="left"/>
            </w:pPr>
            <w:r>
              <w:rPr>
                <w:b/>
                <w:bCs/>
                <w:color w:val="FFFFFF"/>
                <w:sz w:val="18"/>
                <w:szCs w:val="18"/>
              </w:rPr>
              <w:t xml:space="preserve">Anchor content</w:t>
            </w:r>
          </w:p>
        </w:tc>
      </w:tr>
      <w:tr>
        <w:tc>
          <w:tcPr>
            <w:tcW w:type="dxa" w:w="9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9</w:t>
            </w:r>
          </w:p>
        </w:tc>
        <w:tc>
          <w:tcPr>
            <w:tcW w:type="dxa" w:w="17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Aug 3–9</w:t>
            </w:r>
          </w:p>
        </w:tc>
        <w:tc>
          <w:tcPr>
            <w:tcW w:type="dxa" w:w="25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Sustainability &amp; LEED</w:t>
            </w:r>
          </w:p>
        </w:tc>
        <w:tc>
          <w:tcPr>
            <w:tcW w:type="dxa" w:w="42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Carbon-neutral, 100% recyclable, 150-yr life, LEED credits; green-developer angle</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10</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Aug 10–16</w:t>
            </w:r>
          </w:p>
        </w:tc>
        <w:tc>
          <w:tcPr>
            <w:tcW w:type="dxa" w:w="2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Conversion push</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Audience-specific CTAs: architect spec sheet, contractor cost/sqft, homeowner safety; brochure lead magnet</w:t>
            </w:r>
          </w:p>
        </w:tc>
      </w:tr>
      <w:tr>
        <w:tc>
          <w:tcPr>
            <w:tcW w:type="dxa" w:w="9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11</w:t>
            </w:r>
          </w:p>
        </w:tc>
        <w:tc>
          <w:tcPr>
            <w:tcW w:type="dxa" w:w="17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Aug 17–23</w:t>
            </w:r>
          </w:p>
        </w:tc>
        <w:tc>
          <w:tcPr>
            <w:tcW w:type="dxa" w:w="25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Dealer &amp; distributor</w:t>
            </w:r>
          </w:p>
        </w:tc>
        <w:tc>
          <w:tcPr>
            <w:tcW w:type="dxa" w:w="42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'Become a dealer', Bond &amp; Shield as a unique SKU, margins &amp; demand data</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12</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Aug 24–30</w:t>
            </w:r>
          </w:p>
        </w:tc>
        <w:tc>
          <w:tcPr>
            <w:tcW w:type="dxa" w:w="2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Social proof &amp; UGC</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Testimonials, reviews, 'Built with XBeton', a live Q&amp;A / AMA</w:t>
            </w:r>
          </w:p>
        </w:tc>
      </w:tr>
      <w:tr>
        <w:tc>
          <w:tcPr>
            <w:tcW w:type="dxa" w:w="9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13</w:t>
            </w:r>
          </w:p>
        </w:tc>
        <w:tc>
          <w:tcPr>
            <w:tcW w:type="dxa" w:w="17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Aug 31–Sep 6</w:t>
            </w:r>
          </w:p>
        </w:tc>
        <w:tc>
          <w:tcPr>
            <w:tcW w:type="dxa" w:w="25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Scale &amp; systematize</w:t>
            </w:r>
          </w:p>
        </w:tc>
        <w:tc>
          <w:tcPr>
            <w:tcW w:type="dxa" w:w="42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Quarter recap, best-of reel, retargeting ads, plan next 90 days</w:t>
            </w:r>
          </w:p>
        </w:tc>
      </w:tr>
    </w:tbl>
    <w:p>
      <w:pPr>
        <w:spacing w:after="120"/>
      </w:pPr>
    </w:p>
    <w:p>
      <w:pPr>
        <w:pStyle w:val="Heading2"/>
      </w:pPr>
      <w:r>
        <w:t xml:space="preserve">Growth tactics this month</w:t>
      </w:r>
    </w:p>
    <w:p>
      <w:pPr>
        <w:pStyle w:val="ListParagraph"/>
        <w:numPr>
          <w:ilvl w:val="0"/>
          <w:numId w:val="2"/>
        </w:numPr>
        <w:spacing w:after="60"/>
      </w:pPr>
      <w:r>
        <w:t xml:space="preserve">Run lead-gen ads: a simple 'Download the brochure / Request samples' campaign on Meta, plus retargeting of video viewers and profile visitors.</w:t>
      </w:r>
    </w:p>
    <w:p>
      <w:pPr>
        <w:pStyle w:val="ListParagraph"/>
        <w:numPr>
          <w:ilvl w:val="0"/>
          <w:numId w:val="2"/>
        </w:numPr>
        <w:spacing w:after="60"/>
      </w:pPr>
      <w:r>
        <w:t xml:space="preserve">Dealer recruitment: a dedicated LinkedIn + email push to retailers/distributors, using your social proof as the pitch.</w:t>
      </w:r>
    </w:p>
    <w:p>
      <w:pPr>
        <w:pStyle w:val="ListParagraph"/>
        <w:numPr>
          <w:ilvl w:val="0"/>
          <w:numId w:val="2"/>
        </w:numPr>
        <w:spacing w:after="60"/>
      </w:pPr>
      <w:r>
        <w:t xml:space="preserve">Double down: kill underperforming formats, pour budget and effort into the 2–3 that consistently win.</w:t>
      </w:r>
    </w:p>
    <w:p>
      <w:pPr>
        <w:pStyle w:val="ListParagraph"/>
        <w:numPr>
          <w:ilvl w:val="0"/>
          <w:numId w:val="2"/>
        </w:numPr>
        <w:spacing w:after="60"/>
      </w:pPr>
      <w:r>
        <w:t xml:space="preserve">Build the UGC engine: actively solicit customer/crew tags and reviews; reshape the best into ads and a 'Built with XBeton' highlight/playlist.</w:t>
      </w:r>
    </w:p>
    <w:p>
      <w:pPr>
        <w:pStyle w:val="ListParagraph"/>
        <w:numPr>
          <w:ilvl w:val="0"/>
          <w:numId w:val="2"/>
        </w:numPr>
        <w:spacing w:after="60"/>
      </w:pPr>
      <w:r>
        <w:t xml:space="preserve">Test LinkedIn ads (optional) to reach specifiers and developers once organic traction is proven.</w:t>
      </w:r>
    </w:p>
    <w:p>
      <w:pPr>
        <w:pStyle w:val="Heading3"/>
      </w:pPr>
      <w:r>
        <w:t xml:space="preserve">Day 90 milestone (≈ Sep 5)</w:t>
      </w:r>
    </w:p>
    <w:p>
      <w:pPr>
        <w:pStyle w:val="ListParagraph"/>
        <w:numPr>
          <w:ilvl w:val="0"/>
          <w:numId w:val="2"/>
        </w:numPr>
        <w:spacing w:after="60"/>
      </w:pPr>
      <w:r>
        <w:t xml:space="preserve">Repeatable lead flow: a steady trickle of sample/spec requests and at least a few dealer inquiries.</w:t>
      </w:r>
    </w:p>
    <w:p>
      <w:pPr>
        <w:pStyle w:val="ListParagraph"/>
        <w:numPr>
          <w:ilvl w:val="0"/>
          <w:numId w:val="2"/>
        </w:numPr>
        <w:spacing w:after="60"/>
      </w:pPr>
      <w:r>
        <w:t xml:space="preserve">Content library of 60–80 reusable assets; all five series running on autopilot.</w:t>
      </w:r>
    </w:p>
    <w:p>
      <w:pPr>
        <w:pStyle w:val="ListParagraph"/>
        <w:numPr>
          <w:ilvl w:val="0"/>
          <w:numId w:val="2"/>
        </w:numPr>
        <w:spacing w:after="60"/>
      </w:pPr>
      <w:r>
        <w:t xml:space="preserve">Clear data on your top 3 formats and best platform per audience.</w:t>
      </w:r>
    </w:p>
    <w:p>
      <w:pPr>
        <w:pStyle w:val="ListParagraph"/>
        <w:numPr>
          <w:ilvl w:val="0"/>
          <w:numId w:val="2"/>
        </w:numPr>
        <w:spacing w:after="60"/>
      </w:pPr>
      <w:r>
        <w:t xml:space="preserve">Defined budget and plan for Quarter 2, including whether to scale ads or build a custom posting workflow.</w:t>
      </w:r>
    </w:p>
    <w:p>
      <w:pPr>
        <w:pStyle w:val="ListParagraph"/>
        <w:numPr>
          <w:ilvl w:val="0"/>
          <w:numId w:val="2"/>
        </w:numPr>
        <w:spacing w:after="60"/>
      </w:pPr>
      <w:r>
        <w:t xml:space="preserve">Followers are secondary, but expect a credible, growing base on every platform with momentum on Reels/Tik/Shorts.</w:t>
      </w:r>
    </w:p>
    <w:p>
      <w:r>
        <w:br w:type="page"/>
      </w:r>
    </w:p>
    <w:p>
      <w:pPr>
        <w:pStyle w:val="Heading1"/>
      </w:pPr>
      <w:bookmarkStart w:name="theconstantweeklyproductionsystem" w:id="1"/>
      <w:r>
        <w:t xml:space="preserve">The Constant: Weekly Production System</w:t>
      </w:r>
      <w:bookmarkEnd w:id="1"/>
    </w:p>
    <w:p>
      <w:pPr>
        <w:spacing w:after="120"/>
      </w:pPr>
      <w:r>
        <w:t xml:space="preserve">Across all 13 weeks, the weekly effort is the same: create a small number of source assets, then reshape them for seven platforms (the playbook's 'one idea, seven posts' system). Plan for roughly: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Source asset (make weekly)</w:t>
            </w:r>
          </w:p>
        </w:tc>
        <w:tc>
          <w:tcPr>
            <w:tcW w:type="dxa" w:w="59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Becomes</w:t>
            </w:r>
          </w:p>
        </w:tc>
      </w:tr>
      <w:tr>
        <w:tc>
          <w:tcPr>
            <w:tcW w:type="dxa" w:w="34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1 Fire Test / performance demo video</w:t>
            </w:r>
          </w:p>
        </w:tc>
        <w:tc>
          <w:tcPr>
            <w:tcW w:type="dxa" w:w="59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Reel, TikTok, YouTube Short, X + Bluesky clip, FB cross-post</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1 educational explainer (Build Smarter)</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Carousel (IG/LinkedIn), Short, X thread</w:t>
            </w:r>
          </w:p>
        </w:tc>
      </w:tr>
      <w:tr>
        <w:tc>
          <w:tcPr>
            <w:tcW w:type="dxa" w:w="34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1 project spotlight (Site of the Week)</w:t>
            </w:r>
          </w:p>
        </w:tc>
        <w:tc>
          <w:tcPr>
            <w:tcW w:type="dxa" w:w="59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Reel/album, LinkedIn case study, FB post, Short</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1 stat card or BTS / myth-buster</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Static (IG/FB/X/LinkedIn), Story, Short</w:t>
            </w:r>
          </w:p>
        </w:tc>
      </w:tr>
    </w:tbl>
    <w:p>
      <w:pPr>
        <w:spacing w:after="120"/>
      </w:pPr>
    </w:p>
    <w:p>
      <w:pPr>
        <w:spacing w:after="120"/>
      </w:pPr>
      <w:r>
        <w:rPr>
          <w:i/>
          <w:iCs/>
          <w:color w:val="595959"/>
        </w:rPr>
        <w:t xml:space="preserve">Plus daily Stories on Instagram and Facebook (5–10/day) and daily replies on X. Load it all through one scheduler (Publer or Buffer) so a week's posting is set up in one or two sittings.</w:t>
      </w:r>
    </w:p>
    <w:p>
      <w:pPr>
        <w:pStyle w:val="Heading1"/>
      </w:pPr>
      <w:bookmarkStart w:name="trackingthequarter" w:id="1"/>
      <w:r>
        <w:t xml:space="preserve">Tracking the Quarter</w:t>
      </w:r>
      <w:bookmarkEnd w:id="1"/>
    </w:p>
    <w:p>
      <w:pPr>
        <w:spacing w:after="120"/>
      </w:pPr>
      <w:r>
        <w:t xml:space="preserve">Review weekly in each platform's analytics (your scheduler consolidates most). These are the numbers that matter for a B2B-leaning brand — reach to the right people and inbound, over raw follower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Metric</w:t>
            </w:r>
          </w:p>
        </w:tc>
        <w:tc>
          <w:tcPr>
            <w:tcW w:type="dxa" w:w="205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Day 30</w:t>
            </w:r>
          </w:p>
        </w:tc>
        <w:tc>
          <w:tcPr>
            <w:tcW w:type="dxa" w:w="205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Day 60</w:t>
            </w:r>
          </w:p>
        </w:tc>
        <w:tc>
          <w:tcPr>
            <w:tcW w:type="dxa" w:w="20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pPr>
              <w:jc w:val="left"/>
            </w:pPr>
            <w:r>
              <w:rPr>
                <w:b/>
                <w:bCs/>
                <w:color w:val="FFFFFF"/>
                <w:sz w:val="18"/>
                <w:szCs w:val="18"/>
              </w:rPr>
              <w:t xml:space="preserve">Day 90</w:t>
            </w:r>
          </w:p>
        </w:tc>
      </w:tr>
      <w:tr>
        <w:tc>
          <w:tcPr>
            <w:tcW w:type="dxa" w:w="32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Non-follower reach (Reels/Shorts)</w:t>
            </w:r>
          </w:p>
        </w:tc>
        <w:tc>
          <w:tcPr>
            <w:tcW w:type="dxa" w:w="205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40%+</w:t>
            </w:r>
          </w:p>
        </w:tc>
        <w:tc>
          <w:tcPr>
            <w:tcW w:type="dxa" w:w="205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50%+</w:t>
            </w:r>
          </w:p>
        </w:tc>
        <w:tc>
          <w:tcPr>
            <w:tcW w:type="dxa" w:w="20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55%+ &amp; stable</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Saves + shares per post</w:t>
            </w:r>
          </w:p>
        </w:tc>
        <w:tc>
          <w:tcPr>
            <w:tcW w:type="dxa" w:w="20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Establishing baseline</w:t>
            </w:r>
          </w:p>
        </w:tc>
        <w:tc>
          <w:tcPr>
            <w:tcW w:type="dxa" w:w="20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Climbing</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Consistently strong on explainers</w:t>
            </w:r>
          </w:p>
        </w:tc>
      </w:tr>
      <w:tr>
        <w:tc>
          <w:tcPr>
            <w:tcW w:type="dxa" w:w="32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3-sec video hold rate</w:t>
            </w:r>
          </w:p>
        </w:tc>
        <w:tc>
          <w:tcPr>
            <w:tcW w:type="dxa" w:w="205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Measuring</w:t>
            </w:r>
          </w:p>
        </w:tc>
        <w:tc>
          <w:tcPr>
            <w:tcW w:type="dxa" w:w="205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60%+</w:t>
            </w:r>
          </w:p>
        </w:tc>
        <w:tc>
          <w:tcPr>
            <w:tcW w:type="dxa" w:w="20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60%+ across formats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Link clicks (brochure/contact)</w:t>
            </w:r>
          </w:p>
        </w:tc>
        <w:tc>
          <w:tcPr>
            <w:tcW w:type="dxa" w:w="20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First clicks</w:t>
            </w:r>
          </w:p>
        </w:tc>
        <w:tc>
          <w:tcPr>
            <w:tcW w:type="dxa" w:w="20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Steady weekly</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Driving sample/spec requests</w:t>
            </w:r>
          </w:p>
        </w:tc>
      </w:tr>
      <w:tr>
        <w:tc>
          <w:tcPr>
            <w:tcW w:type="dxa" w:w="320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Qualified inbound (DMs, quotes, dealers)</w:t>
            </w:r>
          </w:p>
        </w:tc>
        <w:tc>
          <w:tcPr>
            <w:tcW w:type="dxa" w:w="205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First few</w:t>
            </w:r>
          </w:p>
        </w:tc>
        <w:tc>
          <w:tcPr>
            <w:tcW w:type="dxa" w:w="205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Growing</w:t>
            </w:r>
          </w:p>
        </w:tc>
        <w:tc>
          <w:tcPr>
            <w:tcW w:type="dxa" w:w="2060"/>
            <w:tcBorders>
              <w:top w:val="single" w:color="CCCCCC" w:sz="1"/>
              <w:left w:val="single" w:color="CCCCCC" w:sz="1"/>
              <w:bottom w:val="single" w:color="CCCCCC" w:sz="1"/>
              <w:right w:val="single" w:color="CCCCCC" w:sz="1"/>
            </w:tcBorders>
            <w:shd w:fill="EAF1F7" w:val="clear"/>
            <w:tcMar>
              <w:top w:type="dxa" w:w="70"/>
              <w:left w:type="dxa" w:w="110"/>
              <w:bottom w:type="dxa" w:w="70"/>
              <w:right w:type="dxa" w:w="110"/>
            </w:tcMar>
          </w:tcPr>
          <w:p>
            <w:pPr>
              <w:jc w:val="left"/>
            </w:pPr>
            <w:r>
              <w:rPr>
                <w:b w:val="false"/>
                <w:bCs w:val="false"/>
                <w:sz w:val="18"/>
                <w:szCs w:val="18"/>
              </w:rPr>
              <w:t xml:space="preserve">Repeatable flow</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Partnerships / collabs live</w:t>
            </w:r>
          </w:p>
        </w:tc>
        <w:tc>
          <w:tcPr>
            <w:tcW w:type="dxa" w:w="20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0–1</w:t>
            </w:r>
          </w:p>
        </w:tc>
        <w:tc>
          <w:tcPr>
            <w:tcW w:type="dxa" w:w="20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2+</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sz w:val="18"/>
                <w:szCs w:val="18"/>
              </w:rPr>
              <w:t xml:space="preserve">Ongoing program</w:t>
            </w:r>
          </w:p>
        </w:tc>
      </w:tr>
    </w:tbl>
    <w:p>
      <w:pPr>
        <w:pStyle w:val="Heading1"/>
      </w:pPr>
      <w:bookmarkStart w:name="howtousethiswithyourotherfiles" w:id="1"/>
      <w:r>
        <w:t xml:space="preserve">How to Use This With Your Other Files</w:t>
      </w:r>
      <w:bookmarkEnd w:id="1"/>
    </w:p>
    <w:p>
      <w:pPr>
        <w:spacing w:after="120"/>
      </w:pPr>
      <w:r>
        <w:t xml:space="preserve">This roadmap is the strategy layer. Underneath it you already have:</w:t>
      </w:r>
    </w:p>
    <w:p>
      <w:pPr>
        <w:pStyle w:val="ListParagraph"/>
        <w:numPr>
          <w:ilvl w:val="0"/>
          <w:numId w:val="2"/>
        </w:numPr>
        <w:spacing w:after="60"/>
      </w:pPr>
      <w:r>
        <w:t xml:space="preserve">The Social Media Playbook — the how-to for each platform, bios, and the buy-vs-build tool decision.</w:t>
      </w:r>
    </w:p>
    <w:p>
      <w:pPr>
        <w:pStyle w:val="ListParagraph"/>
        <w:numPr>
          <w:ilvl w:val="0"/>
          <w:numId w:val="2"/>
        </w:numPr>
        <w:spacing w:after="60"/>
      </w:pPr>
      <w:r>
        <w:t xml:space="preserve">The 14-Day Posting Queue — 84 ready-to-post, platform-specific captions covering Weeks 1–2.</w:t>
      </w:r>
    </w:p>
    <w:p>
      <w:pPr>
        <w:pStyle w:val="ListParagraph"/>
        <w:numPr>
          <w:ilvl w:val="0"/>
          <w:numId w:val="2"/>
        </w:numPr>
        <w:spacing w:after="60"/>
      </w:pPr>
      <w:r>
        <w:t xml:space="preserve">This 90-Day Roadmap and its companion 13-week planning calendar — the themes and growth tactics for Weeks 1–13.</w:t>
      </w:r>
    </w:p>
    <w:p>
      <w:pPr>
        <w:spacing w:after="120"/>
      </w:pPr>
      <w:r>
        <w:rPr>
          <w:b/>
          <w:bCs/>
        </w:rPr>
        <w:t xml:space="preserve">Next step from here: when you reach the end of the 14-day queue, tell me which upcoming week you want filled out and I'll generate the full per-platform captions for it, exactly like the starter queue. We can build the quarter one week at a time so every caption stays fresh and tied to real footage you've shot.</w:t>
      </w:r>
    </w:p>
    <w:p>
      <w:pPr>
        <w:pStyle w:val="Heading1"/>
      </w:pPr>
      <w:bookmarkStart w:name="sourcesreferences" w:id="1"/>
      <w:r>
        <w:t xml:space="preserve">Sources &amp; References</w:t>
      </w:r>
      <w:bookmarkEnd w:id="1"/>
    </w:p>
    <w:p>
      <w:pPr>
        <w:spacing w:after="120"/>
      </w:pPr>
      <w:r>
        <w:t xml:space="preserve">Brand facts, products, stats, projects, and handles from the XBeton website and provided profile links, June 2026.</w:t>
      </w:r>
    </w:p>
    <w:p>
      <w:hyperlink w:history="1" r:id="rIdoyiyhfxevl784jitfqbch">
        <w:r>
          <w:rPr>
            <w:rStyle w:val="Hyperlink"/>
          </w:rPr>
          <w:t xml:space="preserve">xbeton.com</w:t>
        </w:r>
      </w:hyperlink>
    </w:p>
    <w:p>
      <w:pPr>
        <w:spacing w:after="120"/>
      </w:pPr>
      <w:r>
        <w:rPr>
          <w:color w:val="595959"/>
          <w:sz w:val="16"/>
          <w:szCs w:val="16"/>
        </w:rPr>
        <w:t xml:space="preserve">2026 platform cadence, algorithm, and growth-phasing guidance synthesized from current industry reporting (Buffer, Zapier, Kontentino, TrueFuture Media),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XBeton — 90-Day Social Media Growth Roadmap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102E" w:sz="6" w:space="4"/>
      </w:pBdr>
      <w:spacing w:after="140" w:before="280"/>
      <w:outlineLvl w:val="0"/>
    </w:pPr>
    <w:rPr>
      <w:rFonts w:ascii="Arial" w:cs="Arial" w:eastAsia="Arial" w:hAnsi="Arial"/>
      <w:b/>
      <w:bCs/>
      <w:color w:val="0B2239"/>
      <w:sz w:val="30"/>
      <w:szCs w:val="30"/>
    </w:rPr>
  </w:style>
  <w:style w:type="paragraph" w:styleId="Heading2">
    <w:name w:val="Heading 2"/>
    <w:basedOn w:val="Normal"/>
    <w:next w:val="Normal"/>
    <w:qFormat/>
    <w:pPr>
      <w:spacing w:after="90" w:before="200"/>
      <w:outlineLvl w:val="1"/>
    </w:pPr>
    <w:rPr>
      <w:rFonts w:ascii="Arial" w:cs="Arial" w:eastAsia="Arial" w:hAnsi="Arial"/>
      <w:b/>
      <w:bCs/>
      <w:color w:val="1F4E79"/>
      <w:sz w:val="25"/>
      <w:szCs w:val="25"/>
    </w:rPr>
  </w:style>
  <w:style w:type="paragraph" w:styleId="Heading3">
    <w:name w:val="Heading 3"/>
    <w:basedOn w:val="Normal"/>
    <w:next w:val="Normal"/>
    <w:qFormat/>
    <w:pPr>
      <w:spacing w:after="60" w:before="140"/>
      <w:outlineLvl w:val="2"/>
    </w:pPr>
    <w:rPr>
      <w:rFonts w:ascii="Arial" w:cs="Arial" w:eastAsia="Arial" w:hAnsi="Arial"/>
      <w:b/>
      <w:bCs/>
      <w:color w:val="0B223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yiyhfxevl784jitfqbch" Type="http://schemas.openxmlformats.org/officeDocument/2006/relationships/hyperlink" Target="https://www.xbeton.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XBeton 90-Day Social Media Growth Roadmap</dc:title>
  <dc:creator>XBeton</dc:creator>
  <cp:lastModifiedBy>Un-named</cp:lastModifiedBy>
  <cp:revision>1</cp:revision>
  <dcterms:created xsi:type="dcterms:W3CDTF">2026-06-07T20:46:21.243Z</dcterms:created>
  <dcterms:modified xsi:type="dcterms:W3CDTF">2026-06-07T20:46:21.243Z</dcterms:modified>
</cp:coreProperties>
</file>

<file path=docProps/custom.xml><?xml version="1.0" encoding="utf-8"?>
<Properties xmlns="http://schemas.openxmlformats.org/officeDocument/2006/custom-properties" xmlns:vt="http://schemas.openxmlformats.org/officeDocument/2006/docPropsVTypes"/>
</file>