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2D8A0" w14:textId="77777777" w:rsidR="008863DE" w:rsidRDefault="00000000">
      <w:pPr>
        <w:jc w:val="center"/>
        <w:rPr>
          <w:rFonts w:hint="eastAsia"/>
        </w:rPr>
      </w:pPr>
      <w:r>
        <w:rPr>
          <w:rFonts w:ascii="Aptos Display" w:hAnsi="Aptos Display"/>
          <w:b/>
          <w:color w:val="1F4E79"/>
          <w:sz w:val="44"/>
        </w:rPr>
        <w:t>mvN2S Experimental Implementation Guide</w:t>
      </w:r>
    </w:p>
    <w:p w14:paraId="49DD5568" w14:textId="77777777" w:rsidR="008863DE" w:rsidRDefault="00000000">
      <w:pPr>
        <w:jc w:val="center"/>
        <w:rPr>
          <w:rFonts w:hint="eastAsia"/>
        </w:rPr>
      </w:pPr>
      <w:r>
        <w:rPr>
          <w:i/>
          <w:color w:val="5A5A5A"/>
          <w:sz w:val="21"/>
        </w:rPr>
        <w:t>Practical plan for implementing and presenting the experimental section</w:t>
      </w:r>
    </w:p>
    <w:p w14:paraId="4B22442F" w14:textId="77777777" w:rsidR="008863DE" w:rsidRDefault="00000000">
      <w:pPr>
        <w:rPr>
          <w:rFonts w:hint="eastAsia"/>
        </w:rPr>
      </w:pPr>
      <w:r>
        <w:rPr>
          <w:b/>
        </w:rPr>
        <w:t xml:space="preserve">Scope. </w:t>
      </w:r>
      <w:r>
        <w:t>The main experiments use K = 2 and K = 5. The only exception is the dedicated fleet-scalability study in Section 5.3, where K = 1, 2, 3, 4, 5 is evaluated. The same-vehicle / feasibility-aware mask ablation and generalization experiments are excluded from the current plan.</w:t>
      </w:r>
    </w:p>
    <w:p w14:paraId="7C9E8AE6" w14:textId="77777777" w:rsidR="008863DE" w:rsidRDefault="00000000">
      <w:pPr>
        <w:pStyle w:val="Heading1"/>
      </w:pPr>
      <w:r>
        <w:t>Experimental Structure at a Glance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87"/>
        <w:gridCol w:w="3014"/>
        <w:gridCol w:w="5095"/>
      </w:tblGrid>
      <w:tr w:rsidR="008863DE" w14:paraId="465E63A0" w14:textId="77777777">
        <w:trPr>
          <w:cantSplit/>
          <w:jc w:val="center"/>
        </w:trPr>
        <w:tc>
          <w:tcPr>
            <w:tcW w:w="2232" w:type="dxa"/>
            <w:shd w:val="clear" w:color="auto" w:fill="D9EAF7"/>
            <w:vAlign w:val="center"/>
          </w:tcPr>
          <w:p w14:paraId="694392DD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7"/>
              </w:rPr>
              <w:t>Section</w:t>
            </w:r>
          </w:p>
        </w:tc>
        <w:tc>
          <w:tcPr>
            <w:tcW w:w="3096" w:type="dxa"/>
            <w:shd w:val="clear" w:color="auto" w:fill="D9EAF7"/>
            <w:vAlign w:val="center"/>
          </w:tcPr>
          <w:p w14:paraId="6066051F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w="5256" w:type="dxa"/>
            <w:shd w:val="clear" w:color="auto" w:fill="D9EAF7"/>
            <w:vAlign w:val="center"/>
          </w:tcPr>
          <w:p w14:paraId="44DF5220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7"/>
              </w:rPr>
              <w:t>Main implementation</w:t>
            </w:r>
          </w:p>
        </w:tc>
      </w:tr>
      <w:tr w:rsidR="008863DE" w14:paraId="4D61438C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2E20CE56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5.1 Experimental Setup</w:t>
            </w:r>
          </w:p>
        </w:tc>
        <w:tc>
          <w:tcPr>
            <w:tcW w:w="3096" w:type="dxa"/>
            <w:vAlign w:val="center"/>
          </w:tcPr>
          <w:p w14:paraId="3B989195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Define a fair and reproducible protocol.</w:t>
            </w:r>
          </w:p>
        </w:tc>
        <w:tc>
          <w:tcPr>
            <w:tcW w:w="5256" w:type="dxa"/>
            <w:vAlign w:val="center"/>
          </w:tcPr>
          <w:p w14:paraId="6715E0E3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Datasets, objective, metrics, hardware, inference budget.</w:t>
            </w:r>
          </w:p>
        </w:tc>
      </w:tr>
      <w:tr w:rsidR="008863DE" w14:paraId="7D847234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27693EF5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5.2 Main Comparison</w:t>
            </w:r>
          </w:p>
        </w:tc>
        <w:tc>
          <w:tcPr>
            <w:tcW w:w="3096" w:type="dxa"/>
            <w:vAlign w:val="center"/>
          </w:tcPr>
          <w:p w14:paraId="0BA10277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Compare mvN2S with the selected baselines.</w:t>
            </w:r>
          </w:p>
        </w:tc>
        <w:tc>
          <w:tcPr>
            <w:tcW w:w="5256" w:type="dxa"/>
            <w:vAlign w:val="center"/>
          </w:tcPr>
          <w:p w14:paraId="3AE85151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N = 20/50/100, K = 2/5; report quality and runtime.</w:t>
            </w:r>
          </w:p>
        </w:tc>
      </w:tr>
      <w:tr w:rsidR="008863DE" w14:paraId="6949997A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5D1E36AA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5.3 Fleet Scalability</w:t>
            </w:r>
          </w:p>
        </w:tc>
        <w:tc>
          <w:tcPr>
            <w:tcW w:w="3096" w:type="dxa"/>
            <w:vAlign w:val="center"/>
          </w:tcPr>
          <w:p w14:paraId="6B2408AC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Verify behavior as the available fleet grows.</w:t>
            </w:r>
          </w:p>
        </w:tc>
        <w:tc>
          <w:tcPr>
            <w:tcW w:w="5256" w:type="dxa"/>
            <w:vAlign w:val="center"/>
          </w:tcPr>
          <w:p w14:paraId="606DA46B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Fix N = 50; evaluate K = 1,2,3,4,5.</w:t>
            </w:r>
          </w:p>
        </w:tc>
      </w:tr>
      <w:tr w:rsidR="008863DE" w14:paraId="6957CE7F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4791B9C8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5.4 Ablation Studies</w:t>
            </w:r>
          </w:p>
        </w:tc>
        <w:tc>
          <w:tcPr>
            <w:tcW w:w="3096" w:type="dxa"/>
            <w:vAlign w:val="center"/>
          </w:tcPr>
          <w:p w14:paraId="3C910D0A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Validate the two central design choices.</w:t>
            </w:r>
          </w:p>
        </w:tc>
        <w:tc>
          <w:tcPr>
            <w:tcW w:w="5256" w:type="dxa"/>
            <w:vAlign w:val="center"/>
          </w:tcPr>
          <w:p w14:paraId="23AE1B3E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Objective-function ablation and cross-vehicle relocation ablation.</w:t>
            </w:r>
          </w:p>
        </w:tc>
      </w:tr>
      <w:tr w:rsidR="008863DE" w14:paraId="190E7F15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6899C815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5.5 Search Behavior and Convergence</w:t>
            </w:r>
          </w:p>
        </w:tc>
        <w:tc>
          <w:tcPr>
            <w:tcW w:w="3096" w:type="dxa"/>
            <w:vAlign w:val="center"/>
          </w:tcPr>
          <w:p w14:paraId="6E9DC7AF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Show how iterative search improves solutions.</w:t>
            </w:r>
          </w:p>
        </w:tc>
        <w:tc>
          <w:tcPr>
            <w:tcW w:w="5256" w:type="dxa"/>
            <w:vAlign w:val="center"/>
          </w:tcPr>
          <w:p w14:paraId="360280A8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Best-so-far F, and optionally D/M, versus search steps.</w:t>
            </w:r>
          </w:p>
        </w:tc>
      </w:tr>
      <w:tr w:rsidR="008863DE" w14:paraId="6F7CA561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5C2DF822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5.6 Qualitative Route Visualization</w:t>
            </w:r>
          </w:p>
        </w:tc>
        <w:tc>
          <w:tcPr>
            <w:tcW w:w="3096" w:type="dxa"/>
            <w:vAlign w:val="center"/>
          </w:tcPr>
          <w:p w14:paraId="6A951055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Provide an intuitive route-level example.</w:t>
            </w:r>
          </w:p>
        </w:tc>
        <w:tc>
          <w:tcPr>
            <w:tcW w:w="5256" w:type="dxa"/>
            <w:vAlign w:val="center"/>
          </w:tcPr>
          <w:p w14:paraId="73A080DD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Compare initial, distance-only, and proposed-objective solutions.</w:t>
            </w:r>
          </w:p>
        </w:tc>
      </w:tr>
    </w:tbl>
    <w:p w14:paraId="1BE16743" w14:textId="77777777" w:rsidR="008863DE" w:rsidRDefault="008863DE">
      <w:pPr>
        <w:spacing w:after="20"/>
        <w:rPr>
          <w:rFonts w:hint="eastAsia"/>
        </w:rPr>
      </w:pPr>
    </w:p>
    <w:p w14:paraId="314333E8" w14:textId="77777777" w:rsidR="008863DE" w:rsidRDefault="00000000">
      <w:pPr>
        <w:pStyle w:val="Heading1"/>
      </w:pPr>
      <w:r>
        <w:t>5.1 Experimental Setup</w:t>
      </w:r>
    </w:p>
    <w:p w14:paraId="7A2B1874" w14:textId="77777777" w:rsidR="008863DE" w:rsidRDefault="00000000">
      <w:pPr>
        <w:rPr>
          <w:rFonts w:hint="eastAsia"/>
        </w:rPr>
      </w:pPr>
      <w:r>
        <w:rPr>
          <w:b/>
        </w:rPr>
        <w:t xml:space="preserve">Purpose. </w:t>
      </w:r>
      <w:r>
        <w:t>Define the common evaluation protocol before comparing algorithms, so that solution quality and runtime are directly comparable.</w:t>
      </w:r>
    </w:p>
    <w:p w14:paraId="62561DCA" w14:textId="77777777" w:rsidR="008863DE" w:rsidRDefault="00000000">
      <w:pPr>
        <w:pStyle w:val="Label"/>
        <w:keepNext/>
        <w:rPr>
          <w:rFonts w:hint="eastAsia"/>
        </w:rPr>
      </w:pPr>
      <w:r>
        <w:t>Main implementation</w:t>
      </w:r>
    </w:p>
    <w:p w14:paraId="1CC1ADC5" w14:textId="77777777" w:rsidR="008863DE" w:rsidRDefault="00000000">
      <w:pPr>
        <w:pStyle w:val="ListBullet"/>
        <w:spacing w:after="40"/>
        <w:rPr>
          <w:rFonts w:hint="eastAsia"/>
        </w:rPr>
      </w:pPr>
      <w:r>
        <w:t>Problem sizes for the main experiments: N = 20, 50, and 100 pickup/delivery nodes.</w:t>
      </w:r>
    </w:p>
    <w:p w14:paraId="4D341ACF" w14:textId="77777777" w:rsidR="008863DE" w:rsidRDefault="00000000">
      <w:pPr>
        <w:pStyle w:val="ListBullet"/>
        <w:spacing w:after="40"/>
        <w:rPr>
          <w:rFonts w:hint="eastAsia"/>
        </w:rPr>
      </w:pPr>
      <w:r>
        <w:t>Default fleet sizes: K = 2 and K = 5.</w:t>
      </w:r>
    </w:p>
    <w:p w14:paraId="62F55289" w14:textId="77777777" w:rsidR="008863DE" w:rsidRDefault="00000000">
      <w:pPr>
        <w:pStyle w:val="ListBullet"/>
        <w:spacing w:after="40"/>
        <w:rPr>
          <w:rFonts w:hint="eastAsia"/>
        </w:rPr>
      </w:pPr>
      <w:r>
        <w:t>Use the same fixed test instances for all methods. The current 256-instance test set is acceptable if it is identical across methods and settings.</w:t>
      </w:r>
    </w:p>
    <w:p w14:paraId="786C3BB7" w14:textId="77777777" w:rsidR="008863DE" w:rsidRDefault="00000000">
      <w:pPr>
        <w:pStyle w:val="ListBullet"/>
        <w:spacing w:after="40"/>
        <w:rPr>
          <w:rFonts w:hint="eastAsia"/>
        </w:rPr>
      </w:pPr>
      <w:r>
        <w:t>Use one objective everywhere: F = D + (K - 1)M, where D = Σ_k d_k and M = max_k d_k.</w:t>
      </w:r>
    </w:p>
    <w:p w14:paraId="6B3BD589" w14:textId="77777777" w:rsidR="008863DE" w:rsidRDefault="00000000">
      <w:pPr>
        <w:pStyle w:val="ListBullet"/>
        <w:spacing w:after="40"/>
        <w:rPr>
          <w:rFonts w:hint="eastAsia"/>
        </w:rPr>
      </w:pPr>
      <w:r>
        <w:t>Report the inference/search budget, hardware, batch size, and CPU/GPU parallelism used by each method.</w:t>
      </w:r>
    </w:p>
    <w:p w14:paraId="717BE4EC" w14:textId="77777777" w:rsidR="008863DE" w:rsidRDefault="00000000">
      <w:pPr>
        <w:pStyle w:val="Label"/>
        <w:keepNext/>
        <w:rPr>
          <w:rFonts w:hint="eastAsia"/>
        </w:rPr>
      </w:pPr>
      <w:r>
        <w:t>Core metrics</w:t>
      </w:r>
    </w:p>
    <w:p w14:paraId="390A3130" w14:textId="77777777" w:rsidR="008863DE" w:rsidRDefault="00000000">
      <w:pPr>
        <w:pStyle w:val="ListBullet"/>
        <w:spacing w:after="40"/>
        <w:rPr>
          <w:rFonts w:hint="eastAsia"/>
        </w:rPr>
      </w:pPr>
      <w:r>
        <w:t>Total distance D, makespan M, final objective F, gap (%) to the strongest reference, and inference/solving time per instance.</w:t>
      </w:r>
    </w:p>
    <w:p w14:paraId="570DD73A" w14:textId="77777777" w:rsidR="008863DE" w:rsidRDefault="00000000">
      <w:pPr>
        <w:pStyle w:val="ListBullet"/>
        <w:spacing w:after="40"/>
        <w:rPr>
          <w:rFonts w:hint="eastAsia"/>
        </w:rPr>
      </w:pPr>
      <w:r>
        <w:t>Prefer mean ± standard deviation or standard error over the test instances where practical.</w:t>
      </w:r>
    </w:p>
    <w:p w14:paraId="4906AF46" w14:textId="77777777" w:rsidR="008863DE" w:rsidRDefault="00000000">
      <w:pPr>
        <w:pStyle w:val="Label"/>
        <w:keepNext/>
        <w:rPr>
          <w:rFonts w:hint="eastAsia"/>
        </w:rPr>
      </w:pPr>
      <w:r>
        <w:t>Implementation note</w:t>
      </w:r>
    </w:p>
    <w:p w14:paraId="207EFD27" w14:textId="77777777" w:rsidR="008863DE" w:rsidRDefault="00000000">
      <w:pPr>
        <w:rPr>
          <w:rFonts w:hint="eastAsia"/>
        </w:rPr>
      </w:pPr>
      <w:r>
        <w:rPr>
          <w:b/>
        </w:rPr>
        <w:t xml:space="preserve">Before running new experiments, verify that </w:t>
      </w:r>
      <w:r>
        <w:t>get_costs, reward computation, validation, result saving, and OR-Tools use exactly the same objective. Any remaining D + M logic should be removed from the final experimental pipeline.</w:t>
      </w:r>
    </w:p>
    <w:p w14:paraId="42C28A26" w14:textId="77777777" w:rsidR="008863DE" w:rsidRDefault="00000000">
      <w:pPr>
        <w:pStyle w:val="Heading1"/>
      </w:pPr>
      <w:r>
        <w:t>5.2 Main Comparison</w:t>
      </w:r>
    </w:p>
    <w:p w14:paraId="3C3AAA7F" w14:textId="77777777" w:rsidR="008863DE" w:rsidRDefault="00000000">
      <w:pPr>
        <w:rPr>
          <w:rFonts w:hint="eastAsia"/>
        </w:rPr>
      </w:pPr>
      <w:r>
        <w:rPr>
          <w:b/>
        </w:rPr>
        <w:t xml:space="preserve">Purpose. </w:t>
      </w:r>
      <w:r>
        <w:t>Demonstrate whether mvN2S achieves competitive or superior solution quality while retaining practical inference efficiency.</w:t>
      </w:r>
    </w:p>
    <w:p w14:paraId="31ABAA0C" w14:textId="77777777" w:rsidR="008863DE" w:rsidRDefault="00000000">
      <w:pPr>
        <w:pStyle w:val="Label"/>
        <w:keepNext/>
        <w:rPr>
          <w:rFonts w:hint="eastAsia"/>
        </w:rPr>
      </w:pPr>
      <w:r>
        <w:t>Main implementation</w:t>
      </w:r>
    </w:p>
    <w:p w14:paraId="21A75505" w14:textId="77777777" w:rsidR="008863DE" w:rsidRDefault="00000000">
      <w:pPr>
        <w:pStyle w:val="ListBullet"/>
        <w:spacing w:after="40"/>
        <w:rPr>
          <w:rFonts w:hint="eastAsia"/>
        </w:rPr>
      </w:pPr>
      <w:r>
        <w:t>Evaluate the six main settings: (20,2), (20,5), (50,2), (50,5), (100,2), and (100,5).</w:t>
      </w:r>
    </w:p>
    <w:p w14:paraId="2B755F4F" w14:textId="77777777" w:rsidR="008863DE" w:rsidRDefault="00000000">
      <w:pPr>
        <w:pStyle w:val="ListBullet"/>
        <w:spacing w:after="40"/>
        <w:rPr>
          <w:rFonts w:hint="eastAsia"/>
        </w:rPr>
      </w:pPr>
      <w:r>
        <w:t>Compare mvN2S with OR-Tools and the final 1–2 multi-vehicle PDP baselines selected for the paper.</w:t>
      </w:r>
    </w:p>
    <w:p w14:paraId="50D61FE8" w14:textId="77777777" w:rsidR="008863DE" w:rsidRDefault="00000000">
      <w:pPr>
        <w:pStyle w:val="ListBullet"/>
        <w:spacing w:after="40"/>
        <w:rPr>
          <w:rFonts w:hint="eastAsia"/>
        </w:rPr>
      </w:pPr>
      <w:r>
        <w:lastRenderedPageBreak/>
        <w:t>Use the same stopping condition where possible; otherwise clearly state the time or iteration budget for each solver.</w:t>
      </w:r>
    </w:p>
    <w:p w14:paraId="4192E8B0" w14:textId="77777777" w:rsidR="008863DE" w:rsidRDefault="00000000">
      <w:pPr>
        <w:pStyle w:val="Label"/>
        <w:keepNext/>
        <w:rPr>
          <w:rFonts w:hint="eastAsia"/>
        </w:rPr>
      </w:pPr>
      <w:r>
        <w:t>Recommended main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576"/>
        <w:gridCol w:w="2520"/>
        <w:gridCol w:w="936"/>
        <w:gridCol w:w="936"/>
        <w:gridCol w:w="1008"/>
        <w:gridCol w:w="1224"/>
        <w:gridCol w:w="1152"/>
      </w:tblGrid>
      <w:tr w:rsidR="008863DE" w14:paraId="7C19A507" w14:textId="77777777">
        <w:trPr>
          <w:cantSplit/>
          <w:jc w:val="center"/>
        </w:trPr>
        <w:tc>
          <w:tcPr>
            <w:tcW w:w="648" w:type="dxa"/>
            <w:shd w:val="clear" w:color="auto" w:fill="D9EAF7"/>
            <w:vAlign w:val="center"/>
          </w:tcPr>
          <w:p w14:paraId="3BF586DF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7"/>
              </w:rPr>
              <w:t>N</w:t>
            </w:r>
          </w:p>
        </w:tc>
        <w:tc>
          <w:tcPr>
            <w:tcW w:w="576" w:type="dxa"/>
            <w:shd w:val="clear" w:color="auto" w:fill="D9EAF7"/>
            <w:vAlign w:val="center"/>
          </w:tcPr>
          <w:p w14:paraId="5543F82B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7"/>
              </w:rPr>
              <w:t>K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2B947DB0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7"/>
              </w:rPr>
              <w:t>Method</w:t>
            </w:r>
          </w:p>
        </w:tc>
        <w:tc>
          <w:tcPr>
            <w:tcW w:w="936" w:type="dxa"/>
            <w:shd w:val="clear" w:color="auto" w:fill="D9EAF7"/>
            <w:vAlign w:val="center"/>
          </w:tcPr>
          <w:p w14:paraId="7AA68A46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7"/>
              </w:rPr>
              <w:t>D</w:t>
            </w:r>
          </w:p>
        </w:tc>
        <w:tc>
          <w:tcPr>
            <w:tcW w:w="936" w:type="dxa"/>
            <w:shd w:val="clear" w:color="auto" w:fill="D9EAF7"/>
            <w:vAlign w:val="center"/>
          </w:tcPr>
          <w:p w14:paraId="62138841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7"/>
              </w:rPr>
              <w:t>M</w:t>
            </w:r>
          </w:p>
        </w:tc>
        <w:tc>
          <w:tcPr>
            <w:tcW w:w="1008" w:type="dxa"/>
            <w:shd w:val="clear" w:color="auto" w:fill="D9EAF7"/>
            <w:vAlign w:val="center"/>
          </w:tcPr>
          <w:p w14:paraId="225F03F3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7"/>
              </w:rPr>
              <w:t>F</w:t>
            </w:r>
          </w:p>
        </w:tc>
        <w:tc>
          <w:tcPr>
            <w:tcW w:w="1224" w:type="dxa"/>
            <w:shd w:val="clear" w:color="auto" w:fill="D9EAF7"/>
            <w:vAlign w:val="center"/>
          </w:tcPr>
          <w:p w14:paraId="32274F0E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7"/>
              </w:rPr>
              <w:t>Gap (%)</w:t>
            </w:r>
          </w:p>
        </w:tc>
        <w:tc>
          <w:tcPr>
            <w:tcW w:w="1152" w:type="dxa"/>
            <w:shd w:val="clear" w:color="auto" w:fill="D9EAF7"/>
            <w:vAlign w:val="center"/>
          </w:tcPr>
          <w:p w14:paraId="29109465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7"/>
              </w:rPr>
              <w:t>Time</w:t>
            </w:r>
          </w:p>
        </w:tc>
      </w:tr>
      <w:tr w:rsidR="008863DE" w14:paraId="2B4AA498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7EDD028A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20</w:t>
            </w:r>
          </w:p>
        </w:tc>
        <w:tc>
          <w:tcPr>
            <w:tcW w:w="576" w:type="dxa"/>
            <w:vAlign w:val="center"/>
          </w:tcPr>
          <w:p w14:paraId="7FB751DA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2</w:t>
            </w:r>
          </w:p>
        </w:tc>
        <w:tc>
          <w:tcPr>
            <w:tcW w:w="2520" w:type="dxa"/>
            <w:vAlign w:val="center"/>
          </w:tcPr>
          <w:p w14:paraId="36CC23CA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mvN2S / baselines</w:t>
            </w:r>
          </w:p>
        </w:tc>
        <w:tc>
          <w:tcPr>
            <w:tcW w:w="936" w:type="dxa"/>
            <w:vAlign w:val="center"/>
          </w:tcPr>
          <w:p w14:paraId="5085BF25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—</w:t>
            </w:r>
          </w:p>
        </w:tc>
        <w:tc>
          <w:tcPr>
            <w:tcW w:w="936" w:type="dxa"/>
            <w:vAlign w:val="center"/>
          </w:tcPr>
          <w:p w14:paraId="3602C236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—</w:t>
            </w:r>
          </w:p>
        </w:tc>
        <w:tc>
          <w:tcPr>
            <w:tcW w:w="1008" w:type="dxa"/>
            <w:vAlign w:val="center"/>
          </w:tcPr>
          <w:p w14:paraId="22E16E4E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—</w:t>
            </w:r>
          </w:p>
        </w:tc>
        <w:tc>
          <w:tcPr>
            <w:tcW w:w="1224" w:type="dxa"/>
            <w:vAlign w:val="center"/>
          </w:tcPr>
          <w:p w14:paraId="3D517443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—</w:t>
            </w:r>
          </w:p>
        </w:tc>
        <w:tc>
          <w:tcPr>
            <w:tcW w:w="1152" w:type="dxa"/>
            <w:vAlign w:val="center"/>
          </w:tcPr>
          <w:p w14:paraId="78E60494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—</w:t>
            </w:r>
          </w:p>
        </w:tc>
      </w:tr>
      <w:tr w:rsidR="008863DE" w14:paraId="61296B01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69991463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20</w:t>
            </w:r>
          </w:p>
        </w:tc>
        <w:tc>
          <w:tcPr>
            <w:tcW w:w="576" w:type="dxa"/>
            <w:vAlign w:val="center"/>
          </w:tcPr>
          <w:p w14:paraId="30B00A82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5</w:t>
            </w:r>
          </w:p>
        </w:tc>
        <w:tc>
          <w:tcPr>
            <w:tcW w:w="2520" w:type="dxa"/>
            <w:vAlign w:val="center"/>
          </w:tcPr>
          <w:p w14:paraId="6C8FF052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mvN2S / baselines</w:t>
            </w:r>
          </w:p>
        </w:tc>
        <w:tc>
          <w:tcPr>
            <w:tcW w:w="936" w:type="dxa"/>
            <w:vAlign w:val="center"/>
          </w:tcPr>
          <w:p w14:paraId="6903647C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—</w:t>
            </w:r>
          </w:p>
        </w:tc>
        <w:tc>
          <w:tcPr>
            <w:tcW w:w="936" w:type="dxa"/>
            <w:vAlign w:val="center"/>
          </w:tcPr>
          <w:p w14:paraId="4232DC10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—</w:t>
            </w:r>
          </w:p>
        </w:tc>
        <w:tc>
          <w:tcPr>
            <w:tcW w:w="1008" w:type="dxa"/>
            <w:vAlign w:val="center"/>
          </w:tcPr>
          <w:p w14:paraId="343124AF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—</w:t>
            </w:r>
          </w:p>
        </w:tc>
        <w:tc>
          <w:tcPr>
            <w:tcW w:w="1224" w:type="dxa"/>
            <w:vAlign w:val="center"/>
          </w:tcPr>
          <w:p w14:paraId="5C59235E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—</w:t>
            </w:r>
          </w:p>
        </w:tc>
        <w:tc>
          <w:tcPr>
            <w:tcW w:w="1152" w:type="dxa"/>
            <w:vAlign w:val="center"/>
          </w:tcPr>
          <w:p w14:paraId="62AEA629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—</w:t>
            </w:r>
          </w:p>
        </w:tc>
      </w:tr>
      <w:tr w:rsidR="008863DE" w14:paraId="70CB1C9C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0CFAE5B9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50</w:t>
            </w:r>
          </w:p>
        </w:tc>
        <w:tc>
          <w:tcPr>
            <w:tcW w:w="576" w:type="dxa"/>
            <w:vAlign w:val="center"/>
          </w:tcPr>
          <w:p w14:paraId="104BB450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2</w:t>
            </w:r>
          </w:p>
        </w:tc>
        <w:tc>
          <w:tcPr>
            <w:tcW w:w="2520" w:type="dxa"/>
            <w:vAlign w:val="center"/>
          </w:tcPr>
          <w:p w14:paraId="43512D31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mvN2S / baselines</w:t>
            </w:r>
          </w:p>
        </w:tc>
        <w:tc>
          <w:tcPr>
            <w:tcW w:w="936" w:type="dxa"/>
            <w:vAlign w:val="center"/>
          </w:tcPr>
          <w:p w14:paraId="1C3F7942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—</w:t>
            </w:r>
          </w:p>
        </w:tc>
        <w:tc>
          <w:tcPr>
            <w:tcW w:w="936" w:type="dxa"/>
            <w:vAlign w:val="center"/>
          </w:tcPr>
          <w:p w14:paraId="4A1BA541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—</w:t>
            </w:r>
          </w:p>
        </w:tc>
        <w:tc>
          <w:tcPr>
            <w:tcW w:w="1008" w:type="dxa"/>
            <w:vAlign w:val="center"/>
          </w:tcPr>
          <w:p w14:paraId="219F8502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—</w:t>
            </w:r>
          </w:p>
        </w:tc>
        <w:tc>
          <w:tcPr>
            <w:tcW w:w="1224" w:type="dxa"/>
            <w:vAlign w:val="center"/>
          </w:tcPr>
          <w:p w14:paraId="7FBE61C2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—</w:t>
            </w:r>
          </w:p>
        </w:tc>
        <w:tc>
          <w:tcPr>
            <w:tcW w:w="1152" w:type="dxa"/>
            <w:vAlign w:val="center"/>
          </w:tcPr>
          <w:p w14:paraId="45B94CFB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—</w:t>
            </w:r>
          </w:p>
        </w:tc>
      </w:tr>
      <w:tr w:rsidR="008863DE" w14:paraId="445F850C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3B158E4C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50</w:t>
            </w:r>
          </w:p>
        </w:tc>
        <w:tc>
          <w:tcPr>
            <w:tcW w:w="576" w:type="dxa"/>
            <w:vAlign w:val="center"/>
          </w:tcPr>
          <w:p w14:paraId="4500DCBD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5</w:t>
            </w:r>
          </w:p>
        </w:tc>
        <w:tc>
          <w:tcPr>
            <w:tcW w:w="2520" w:type="dxa"/>
            <w:vAlign w:val="center"/>
          </w:tcPr>
          <w:p w14:paraId="4D21246A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mvN2S / baselines</w:t>
            </w:r>
          </w:p>
        </w:tc>
        <w:tc>
          <w:tcPr>
            <w:tcW w:w="936" w:type="dxa"/>
            <w:vAlign w:val="center"/>
          </w:tcPr>
          <w:p w14:paraId="0B7EC39D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—</w:t>
            </w:r>
          </w:p>
        </w:tc>
        <w:tc>
          <w:tcPr>
            <w:tcW w:w="936" w:type="dxa"/>
            <w:vAlign w:val="center"/>
          </w:tcPr>
          <w:p w14:paraId="19230DFE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—</w:t>
            </w:r>
          </w:p>
        </w:tc>
        <w:tc>
          <w:tcPr>
            <w:tcW w:w="1008" w:type="dxa"/>
            <w:vAlign w:val="center"/>
          </w:tcPr>
          <w:p w14:paraId="70DC8656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—</w:t>
            </w:r>
          </w:p>
        </w:tc>
        <w:tc>
          <w:tcPr>
            <w:tcW w:w="1224" w:type="dxa"/>
            <w:vAlign w:val="center"/>
          </w:tcPr>
          <w:p w14:paraId="571A92DE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—</w:t>
            </w:r>
          </w:p>
        </w:tc>
        <w:tc>
          <w:tcPr>
            <w:tcW w:w="1152" w:type="dxa"/>
            <w:vAlign w:val="center"/>
          </w:tcPr>
          <w:p w14:paraId="318131C8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—</w:t>
            </w:r>
          </w:p>
        </w:tc>
      </w:tr>
      <w:tr w:rsidR="008863DE" w14:paraId="2622A9DF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1F7FEA77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100</w:t>
            </w:r>
          </w:p>
        </w:tc>
        <w:tc>
          <w:tcPr>
            <w:tcW w:w="576" w:type="dxa"/>
            <w:vAlign w:val="center"/>
          </w:tcPr>
          <w:p w14:paraId="09528730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2</w:t>
            </w:r>
          </w:p>
        </w:tc>
        <w:tc>
          <w:tcPr>
            <w:tcW w:w="2520" w:type="dxa"/>
            <w:vAlign w:val="center"/>
          </w:tcPr>
          <w:p w14:paraId="3E18F981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mvN2S / baselines</w:t>
            </w:r>
          </w:p>
        </w:tc>
        <w:tc>
          <w:tcPr>
            <w:tcW w:w="936" w:type="dxa"/>
            <w:vAlign w:val="center"/>
          </w:tcPr>
          <w:p w14:paraId="5F28A520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—</w:t>
            </w:r>
          </w:p>
        </w:tc>
        <w:tc>
          <w:tcPr>
            <w:tcW w:w="936" w:type="dxa"/>
            <w:vAlign w:val="center"/>
          </w:tcPr>
          <w:p w14:paraId="35539F9B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—</w:t>
            </w:r>
          </w:p>
        </w:tc>
        <w:tc>
          <w:tcPr>
            <w:tcW w:w="1008" w:type="dxa"/>
            <w:vAlign w:val="center"/>
          </w:tcPr>
          <w:p w14:paraId="641ED51F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—</w:t>
            </w:r>
          </w:p>
        </w:tc>
        <w:tc>
          <w:tcPr>
            <w:tcW w:w="1224" w:type="dxa"/>
            <w:vAlign w:val="center"/>
          </w:tcPr>
          <w:p w14:paraId="0DE301F9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—</w:t>
            </w:r>
          </w:p>
        </w:tc>
        <w:tc>
          <w:tcPr>
            <w:tcW w:w="1152" w:type="dxa"/>
            <w:vAlign w:val="center"/>
          </w:tcPr>
          <w:p w14:paraId="58CF5CA9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—</w:t>
            </w:r>
          </w:p>
        </w:tc>
      </w:tr>
      <w:tr w:rsidR="008863DE" w14:paraId="5FFA9E54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1ADB87C3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100</w:t>
            </w:r>
          </w:p>
        </w:tc>
        <w:tc>
          <w:tcPr>
            <w:tcW w:w="576" w:type="dxa"/>
            <w:vAlign w:val="center"/>
          </w:tcPr>
          <w:p w14:paraId="72F3FCB5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5</w:t>
            </w:r>
          </w:p>
        </w:tc>
        <w:tc>
          <w:tcPr>
            <w:tcW w:w="2520" w:type="dxa"/>
            <w:vAlign w:val="center"/>
          </w:tcPr>
          <w:p w14:paraId="1532A6CA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mvN2S / baselines</w:t>
            </w:r>
          </w:p>
        </w:tc>
        <w:tc>
          <w:tcPr>
            <w:tcW w:w="936" w:type="dxa"/>
            <w:vAlign w:val="center"/>
          </w:tcPr>
          <w:p w14:paraId="533550C0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—</w:t>
            </w:r>
          </w:p>
        </w:tc>
        <w:tc>
          <w:tcPr>
            <w:tcW w:w="936" w:type="dxa"/>
            <w:vAlign w:val="center"/>
          </w:tcPr>
          <w:p w14:paraId="3F67A686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—</w:t>
            </w:r>
          </w:p>
        </w:tc>
        <w:tc>
          <w:tcPr>
            <w:tcW w:w="1008" w:type="dxa"/>
            <w:vAlign w:val="center"/>
          </w:tcPr>
          <w:p w14:paraId="066C352E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—</w:t>
            </w:r>
          </w:p>
        </w:tc>
        <w:tc>
          <w:tcPr>
            <w:tcW w:w="1224" w:type="dxa"/>
            <w:vAlign w:val="center"/>
          </w:tcPr>
          <w:p w14:paraId="0040D8AB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—</w:t>
            </w:r>
          </w:p>
        </w:tc>
        <w:tc>
          <w:tcPr>
            <w:tcW w:w="1152" w:type="dxa"/>
            <w:vAlign w:val="center"/>
          </w:tcPr>
          <w:p w14:paraId="52C4B904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—</w:t>
            </w:r>
          </w:p>
        </w:tc>
      </w:tr>
    </w:tbl>
    <w:p w14:paraId="2C98D682" w14:textId="77777777" w:rsidR="008863DE" w:rsidRDefault="008863DE">
      <w:pPr>
        <w:spacing w:after="20"/>
        <w:rPr>
          <w:rFonts w:hint="eastAsia"/>
        </w:rPr>
      </w:pPr>
    </w:p>
    <w:p w14:paraId="7E69F278" w14:textId="77777777" w:rsidR="008863DE" w:rsidRDefault="00000000">
      <w:pPr>
        <w:rPr>
          <w:rFonts w:hint="eastAsia"/>
        </w:rPr>
      </w:pPr>
      <w:r>
        <w:rPr>
          <w:b/>
        </w:rPr>
        <w:t xml:space="preserve">Key point. </w:t>
      </w:r>
      <w:r>
        <w:t>Do not report only F. D and M must be shown separately because the proposed objective is intended to balance total travel and the longest vehicle route.</w:t>
      </w:r>
    </w:p>
    <w:p w14:paraId="4187DD1B" w14:textId="77777777" w:rsidR="008863DE" w:rsidRDefault="00000000">
      <w:pPr>
        <w:pStyle w:val="Heading1"/>
      </w:pPr>
      <w:r>
        <w:t>5.3 Fleet Scalability</w:t>
      </w:r>
    </w:p>
    <w:p w14:paraId="143A23DC" w14:textId="77777777" w:rsidR="008863DE" w:rsidRDefault="00000000">
      <w:pPr>
        <w:rPr>
          <w:rFonts w:hint="eastAsia"/>
        </w:rPr>
      </w:pPr>
      <w:r>
        <w:rPr>
          <w:b/>
        </w:rPr>
        <w:t xml:space="preserve">Purpose. </w:t>
      </w:r>
      <w:r>
        <w:t>Test whether mvN2S continues to use the available fleet effectively as the number of vehicles changes, and directly validate the behavior of the proposed multi-vehicle objective.</w:t>
      </w:r>
    </w:p>
    <w:p w14:paraId="157E7A9A" w14:textId="77777777" w:rsidR="008863DE" w:rsidRDefault="00000000">
      <w:pPr>
        <w:pStyle w:val="Label"/>
        <w:keepNext/>
        <w:rPr>
          <w:rFonts w:hint="eastAsia"/>
        </w:rPr>
      </w:pPr>
      <w:r>
        <w:t>Main implementation</w:t>
      </w:r>
    </w:p>
    <w:p w14:paraId="30322AF5" w14:textId="77777777" w:rsidR="008863DE" w:rsidRDefault="00000000">
      <w:pPr>
        <w:pStyle w:val="ListBullet"/>
        <w:spacing w:after="40"/>
        <w:rPr>
          <w:rFonts w:hint="eastAsia"/>
        </w:rPr>
      </w:pPr>
      <w:r>
        <w:t>Use one representative problem size, preferably N = 50.</w:t>
      </w:r>
    </w:p>
    <w:p w14:paraId="0FA6B7A6" w14:textId="77777777" w:rsidR="008863DE" w:rsidRDefault="00000000">
      <w:pPr>
        <w:pStyle w:val="ListBullet"/>
        <w:spacing w:after="40"/>
        <w:rPr>
          <w:rFonts w:hint="eastAsia"/>
        </w:rPr>
      </w:pPr>
      <w:r>
        <w:t>Evaluate K = 1, 2, 3, 4, and 5. This section is the exception to the default K = 2/5 setting.</w:t>
      </w:r>
    </w:p>
    <w:p w14:paraId="09E00917" w14:textId="56642638" w:rsidR="008863DE" w:rsidRDefault="00000000">
      <w:pPr>
        <w:pStyle w:val="ListBullet"/>
        <w:spacing w:after="40"/>
        <w:rPr>
          <w:rFonts w:hint="eastAsia"/>
        </w:rPr>
      </w:pPr>
      <w:r>
        <w:t xml:space="preserve">For each K, report D, M, F = D + (K - </w:t>
      </w:r>
      <w:proofErr w:type="gramStart"/>
      <w:r>
        <w:t>1)M</w:t>
      </w:r>
      <w:proofErr w:type="gramEnd"/>
      <w:r>
        <w:t>, and the number of active vehicles.</w:t>
      </w:r>
    </w:p>
    <w:p w14:paraId="72C96A27" w14:textId="77777777" w:rsidR="008863DE" w:rsidRDefault="00000000">
      <w:pPr>
        <w:pStyle w:val="ListBullet"/>
        <w:spacing w:after="40"/>
        <w:rPr>
          <w:rFonts w:hint="eastAsia"/>
        </w:rPr>
      </w:pPr>
      <w:r>
        <w:t>Define K_active = Σ_k 1(d_k &gt; 0), and optionally report the utilization ratio K_active / K.</w:t>
      </w:r>
    </w:p>
    <w:p w14:paraId="33FA6037" w14:textId="77777777" w:rsidR="008863DE" w:rsidRDefault="00000000">
      <w:pPr>
        <w:pStyle w:val="Label"/>
        <w:keepNext/>
        <w:rPr>
          <w:rFonts w:hint="eastAsia"/>
        </w:rPr>
      </w:pPr>
      <w:r>
        <w:t>Recommended figures</w:t>
      </w:r>
    </w:p>
    <w:p w14:paraId="2749F62C" w14:textId="77777777" w:rsidR="008863DE" w:rsidRDefault="00000000">
      <w:pPr>
        <w:pStyle w:val="ListBullet"/>
        <w:spacing w:after="40"/>
        <w:rPr>
          <w:rFonts w:hint="eastAsia"/>
        </w:rPr>
      </w:pPr>
      <w:r>
        <w:t>Figure (a): K versus total distance D.</w:t>
      </w:r>
    </w:p>
    <w:p w14:paraId="5B75C7CE" w14:textId="77777777" w:rsidR="008863DE" w:rsidRDefault="00000000">
      <w:pPr>
        <w:pStyle w:val="ListBullet"/>
        <w:spacing w:after="40"/>
        <w:rPr>
          <w:rFonts w:hint="eastAsia"/>
        </w:rPr>
      </w:pPr>
      <w:r>
        <w:t>Figure (b): K versus makespan M.</w:t>
      </w:r>
    </w:p>
    <w:p w14:paraId="507F1129" w14:textId="77777777" w:rsidR="008863DE" w:rsidRDefault="00000000">
      <w:pPr>
        <w:pStyle w:val="ListBullet"/>
        <w:spacing w:after="40"/>
        <w:rPr>
          <w:rFonts w:hint="eastAsia"/>
        </w:rPr>
      </w:pPr>
      <w:r>
        <w:t>Figure (c): K versus objective F.</w:t>
      </w:r>
    </w:p>
    <w:p w14:paraId="35C23E3E" w14:textId="77777777" w:rsidR="008863DE" w:rsidRDefault="00000000">
      <w:pPr>
        <w:pStyle w:val="ListBullet"/>
        <w:spacing w:after="40"/>
        <w:rPr>
          <w:rFonts w:hint="eastAsia"/>
        </w:rPr>
      </w:pPr>
      <w:r>
        <w:t>Optional: K versus active-vehicle ratio K_active / K.</w:t>
      </w:r>
    </w:p>
    <w:p w14:paraId="77DA9D06" w14:textId="77777777" w:rsidR="008863DE" w:rsidRDefault="00000000">
      <w:pPr>
        <w:rPr>
          <w:rFonts w:hint="eastAsia"/>
        </w:rPr>
      </w:pPr>
      <w:r>
        <w:rPr>
          <w:b/>
        </w:rPr>
        <w:t xml:space="preserve">Interpretation. </w:t>
      </w:r>
      <w:r>
        <w:t>The expected analysis is not simply that more vehicles always reduce F. The important question is how D, M, and vehicle utilization change jointly as K increases, and whether mvN2S avoids leaving most vehicles idle while controlling total travel.</w:t>
      </w:r>
    </w:p>
    <w:p w14:paraId="18C6DA7B" w14:textId="77777777" w:rsidR="008863DE" w:rsidRDefault="00000000">
      <w:pPr>
        <w:pStyle w:val="Heading1"/>
      </w:pPr>
      <w:r>
        <w:t>5.4 Ablation Studies</w:t>
      </w:r>
    </w:p>
    <w:p w14:paraId="1FB8585C" w14:textId="77777777" w:rsidR="008863DE" w:rsidRDefault="00000000">
      <w:pPr>
        <w:rPr>
          <w:rFonts w:hint="eastAsia"/>
        </w:rPr>
      </w:pPr>
      <w:r>
        <w:rPr>
          <w:b/>
        </w:rPr>
        <w:t xml:space="preserve">Purpose. </w:t>
      </w:r>
      <w:r>
        <w:t>Connect the final performance to the two most important design choices: the objective function and cross-vehicle pair relocation.</w:t>
      </w:r>
    </w:p>
    <w:p w14:paraId="7E227352" w14:textId="77777777" w:rsidR="008863DE" w:rsidRDefault="00000000">
      <w:pPr>
        <w:pStyle w:val="Heading2"/>
      </w:pPr>
      <w:r>
        <w:t>5.4.1 Objective-Function Ablation</w:t>
      </w:r>
    </w:p>
    <w:p w14:paraId="0AAF0FF2" w14:textId="77777777" w:rsidR="008863DE" w:rsidRDefault="00000000">
      <w:pPr>
        <w:pStyle w:val="Label"/>
        <w:keepNext/>
        <w:rPr>
          <w:rFonts w:hint="eastAsia"/>
        </w:rPr>
      </w:pPr>
      <w:r>
        <w:t>Recommended setting</w:t>
      </w:r>
    </w:p>
    <w:p w14:paraId="790373D4" w14:textId="06E2C420" w:rsidR="008863DE" w:rsidRDefault="00000000">
      <w:pPr>
        <w:pStyle w:val="ListBullet"/>
        <w:spacing w:after="40"/>
        <w:rPr>
          <w:rFonts w:hint="eastAsia"/>
        </w:rPr>
      </w:pPr>
      <w:r>
        <w:t>Use N = 50 with K = 5. This is sufficient to test whether the objective behaves consistently for small and larger fleets.</w:t>
      </w:r>
    </w:p>
    <w:p w14:paraId="147F7FB5" w14:textId="77777777" w:rsidR="008863DE" w:rsidRDefault="00000000">
      <w:pPr>
        <w:pStyle w:val="Label"/>
        <w:keepNext/>
        <w:rPr>
          <w:rFonts w:hint="eastAsia"/>
        </w:rPr>
      </w:pPr>
      <w:r>
        <w:t>Variants</w:t>
      </w:r>
    </w:p>
    <w:p w14:paraId="7A53079C" w14:textId="77777777" w:rsidR="008863DE" w:rsidRDefault="00000000">
      <w:pPr>
        <w:pStyle w:val="ListBullet"/>
        <w:spacing w:after="40"/>
        <w:rPr>
          <w:rFonts w:hint="eastAsia"/>
        </w:rPr>
      </w:pPr>
      <w:r>
        <w:t>Distance only: F = D.</w:t>
      </w:r>
    </w:p>
    <w:p w14:paraId="5E57E91A" w14:textId="77777777" w:rsidR="008863DE" w:rsidRDefault="00000000">
      <w:pPr>
        <w:pStyle w:val="ListBullet"/>
        <w:spacing w:after="40"/>
        <w:rPr>
          <w:rFonts w:hint="eastAsia"/>
        </w:rPr>
      </w:pPr>
      <w:r>
        <w:t>Conventional mixed objective: F = D + M.</w:t>
      </w:r>
    </w:p>
    <w:p w14:paraId="6D9666FB" w14:textId="77777777" w:rsidR="008863DE" w:rsidRDefault="00000000">
      <w:pPr>
        <w:pStyle w:val="ListBullet"/>
        <w:spacing w:after="40"/>
        <w:rPr>
          <w:rFonts w:hint="eastAsia"/>
        </w:rPr>
      </w:pPr>
      <w:r>
        <w:t>Proposed objective: F = D + (K - 1)M.</w:t>
      </w:r>
    </w:p>
    <w:p w14:paraId="3DF99189" w14:textId="77777777" w:rsidR="008863DE" w:rsidRDefault="00000000">
      <w:pPr>
        <w:pStyle w:val="ListBullet"/>
        <w:spacing w:after="40"/>
        <w:rPr>
          <w:rFonts w:hint="eastAsia"/>
        </w:rPr>
      </w:pPr>
      <w:r>
        <w:t>Optional, only if inexpensive: makespan only, F = M.</w:t>
      </w:r>
    </w:p>
    <w:p w14:paraId="2A511368" w14:textId="77777777" w:rsidR="008863DE" w:rsidRDefault="00000000">
      <w:pPr>
        <w:pStyle w:val="Label"/>
        <w:keepNext/>
        <w:rPr>
          <w:rFonts w:hint="eastAsia"/>
        </w:rPr>
      </w:pPr>
      <w:r>
        <w:t>Metrics and presentation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52"/>
        <w:gridCol w:w="1296"/>
        <w:gridCol w:w="1296"/>
        <w:gridCol w:w="1800"/>
        <w:gridCol w:w="1944"/>
      </w:tblGrid>
      <w:tr w:rsidR="008863DE" w14:paraId="55D83F5D" w14:textId="77777777">
        <w:trPr>
          <w:cantSplit/>
          <w:jc w:val="center"/>
        </w:trPr>
        <w:tc>
          <w:tcPr>
            <w:tcW w:w="2952" w:type="dxa"/>
            <w:shd w:val="clear" w:color="auto" w:fill="D9EAF7"/>
            <w:vAlign w:val="center"/>
          </w:tcPr>
          <w:p w14:paraId="03624012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7"/>
              </w:rPr>
              <w:t>Objective</w:t>
            </w:r>
          </w:p>
        </w:tc>
        <w:tc>
          <w:tcPr>
            <w:tcW w:w="1296" w:type="dxa"/>
            <w:shd w:val="clear" w:color="auto" w:fill="D9EAF7"/>
            <w:vAlign w:val="center"/>
          </w:tcPr>
          <w:p w14:paraId="6B40AA5C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7"/>
              </w:rPr>
              <w:t>D</w:t>
            </w:r>
          </w:p>
        </w:tc>
        <w:tc>
          <w:tcPr>
            <w:tcW w:w="1296" w:type="dxa"/>
            <w:shd w:val="clear" w:color="auto" w:fill="D9EAF7"/>
            <w:vAlign w:val="center"/>
          </w:tcPr>
          <w:p w14:paraId="2AD471A0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7"/>
              </w:rPr>
              <w:t>M</w:t>
            </w:r>
          </w:p>
        </w:tc>
        <w:tc>
          <w:tcPr>
            <w:tcW w:w="1800" w:type="dxa"/>
            <w:shd w:val="clear" w:color="auto" w:fill="D9EAF7"/>
            <w:vAlign w:val="center"/>
          </w:tcPr>
          <w:p w14:paraId="3317D7AD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7"/>
              </w:rPr>
              <w:t>Proposed F</w:t>
            </w:r>
          </w:p>
        </w:tc>
        <w:tc>
          <w:tcPr>
            <w:tcW w:w="1944" w:type="dxa"/>
            <w:shd w:val="clear" w:color="auto" w:fill="D9EAF7"/>
            <w:vAlign w:val="center"/>
          </w:tcPr>
          <w:p w14:paraId="34B9C571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7"/>
              </w:rPr>
              <w:t>Active vehicles</w:t>
            </w:r>
          </w:p>
        </w:tc>
      </w:tr>
      <w:tr w:rsidR="008863DE" w14:paraId="644C2C9D" w14:textId="77777777">
        <w:trPr>
          <w:cantSplit/>
          <w:jc w:val="center"/>
        </w:trPr>
        <w:tc>
          <w:tcPr>
            <w:tcW w:w="2952" w:type="dxa"/>
            <w:vAlign w:val="center"/>
          </w:tcPr>
          <w:p w14:paraId="6403BF48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D</w:t>
            </w:r>
          </w:p>
        </w:tc>
        <w:tc>
          <w:tcPr>
            <w:tcW w:w="1296" w:type="dxa"/>
            <w:vAlign w:val="center"/>
          </w:tcPr>
          <w:p w14:paraId="7ECE0797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—</w:t>
            </w:r>
          </w:p>
        </w:tc>
        <w:tc>
          <w:tcPr>
            <w:tcW w:w="1296" w:type="dxa"/>
            <w:vAlign w:val="center"/>
          </w:tcPr>
          <w:p w14:paraId="41063546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—</w:t>
            </w:r>
          </w:p>
        </w:tc>
        <w:tc>
          <w:tcPr>
            <w:tcW w:w="1800" w:type="dxa"/>
            <w:vAlign w:val="center"/>
          </w:tcPr>
          <w:p w14:paraId="26369D5E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—</w:t>
            </w:r>
          </w:p>
        </w:tc>
        <w:tc>
          <w:tcPr>
            <w:tcW w:w="1944" w:type="dxa"/>
            <w:vAlign w:val="center"/>
          </w:tcPr>
          <w:p w14:paraId="183FD7F2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—</w:t>
            </w:r>
          </w:p>
        </w:tc>
      </w:tr>
      <w:tr w:rsidR="008863DE" w14:paraId="4A84CA12" w14:textId="77777777">
        <w:trPr>
          <w:cantSplit/>
          <w:jc w:val="center"/>
        </w:trPr>
        <w:tc>
          <w:tcPr>
            <w:tcW w:w="2952" w:type="dxa"/>
            <w:vAlign w:val="center"/>
          </w:tcPr>
          <w:p w14:paraId="59586ABC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D + M</w:t>
            </w:r>
          </w:p>
        </w:tc>
        <w:tc>
          <w:tcPr>
            <w:tcW w:w="1296" w:type="dxa"/>
            <w:vAlign w:val="center"/>
          </w:tcPr>
          <w:p w14:paraId="3003971F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—</w:t>
            </w:r>
          </w:p>
        </w:tc>
        <w:tc>
          <w:tcPr>
            <w:tcW w:w="1296" w:type="dxa"/>
            <w:vAlign w:val="center"/>
          </w:tcPr>
          <w:p w14:paraId="14C95E86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—</w:t>
            </w:r>
          </w:p>
        </w:tc>
        <w:tc>
          <w:tcPr>
            <w:tcW w:w="1800" w:type="dxa"/>
            <w:vAlign w:val="center"/>
          </w:tcPr>
          <w:p w14:paraId="0C3C017E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—</w:t>
            </w:r>
          </w:p>
        </w:tc>
        <w:tc>
          <w:tcPr>
            <w:tcW w:w="1944" w:type="dxa"/>
            <w:vAlign w:val="center"/>
          </w:tcPr>
          <w:p w14:paraId="7511E4D6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—</w:t>
            </w:r>
          </w:p>
        </w:tc>
      </w:tr>
      <w:tr w:rsidR="008863DE" w14:paraId="2C546284" w14:textId="77777777">
        <w:trPr>
          <w:cantSplit/>
          <w:jc w:val="center"/>
        </w:trPr>
        <w:tc>
          <w:tcPr>
            <w:tcW w:w="2952" w:type="dxa"/>
            <w:vAlign w:val="center"/>
          </w:tcPr>
          <w:p w14:paraId="6348F6C5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D + (K - 1)M</w:t>
            </w:r>
          </w:p>
        </w:tc>
        <w:tc>
          <w:tcPr>
            <w:tcW w:w="1296" w:type="dxa"/>
            <w:vAlign w:val="center"/>
          </w:tcPr>
          <w:p w14:paraId="012FC26E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—</w:t>
            </w:r>
          </w:p>
        </w:tc>
        <w:tc>
          <w:tcPr>
            <w:tcW w:w="1296" w:type="dxa"/>
            <w:vAlign w:val="center"/>
          </w:tcPr>
          <w:p w14:paraId="2042A7CA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—</w:t>
            </w:r>
          </w:p>
        </w:tc>
        <w:tc>
          <w:tcPr>
            <w:tcW w:w="1800" w:type="dxa"/>
            <w:vAlign w:val="center"/>
          </w:tcPr>
          <w:p w14:paraId="382BC235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—</w:t>
            </w:r>
          </w:p>
        </w:tc>
        <w:tc>
          <w:tcPr>
            <w:tcW w:w="1944" w:type="dxa"/>
            <w:vAlign w:val="center"/>
          </w:tcPr>
          <w:p w14:paraId="01C637B9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—</w:t>
            </w:r>
          </w:p>
        </w:tc>
      </w:tr>
      <w:tr w:rsidR="008863DE" w14:paraId="2FF74C55" w14:textId="77777777">
        <w:trPr>
          <w:cantSplit/>
          <w:jc w:val="center"/>
        </w:trPr>
        <w:tc>
          <w:tcPr>
            <w:tcW w:w="2952" w:type="dxa"/>
            <w:vAlign w:val="center"/>
          </w:tcPr>
          <w:p w14:paraId="3C541F2C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lastRenderedPageBreak/>
              <w:t>M (optional)</w:t>
            </w:r>
          </w:p>
        </w:tc>
        <w:tc>
          <w:tcPr>
            <w:tcW w:w="1296" w:type="dxa"/>
            <w:vAlign w:val="center"/>
          </w:tcPr>
          <w:p w14:paraId="023CB4D4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—</w:t>
            </w:r>
          </w:p>
        </w:tc>
        <w:tc>
          <w:tcPr>
            <w:tcW w:w="1296" w:type="dxa"/>
            <w:vAlign w:val="center"/>
          </w:tcPr>
          <w:p w14:paraId="6DF1D452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—</w:t>
            </w:r>
          </w:p>
        </w:tc>
        <w:tc>
          <w:tcPr>
            <w:tcW w:w="1800" w:type="dxa"/>
            <w:vAlign w:val="center"/>
          </w:tcPr>
          <w:p w14:paraId="716B4D8B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—</w:t>
            </w:r>
          </w:p>
        </w:tc>
        <w:tc>
          <w:tcPr>
            <w:tcW w:w="1944" w:type="dxa"/>
            <w:vAlign w:val="center"/>
          </w:tcPr>
          <w:p w14:paraId="3C8AB2BA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—</w:t>
            </w:r>
          </w:p>
        </w:tc>
      </w:tr>
    </w:tbl>
    <w:p w14:paraId="3D382CA6" w14:textId="77777777" w:rsidR="008863DE" w:rsidRDefault="008863DE">
      <w:pPr>
        <w:spacing w:after="20"/>
        <w:rPr>
          <w:rFonts w:hint="eastAsia"/>
        </w:rPr>
      </w:pPr>
    </w:p>
    <w:p w14:paraId="2F15B8FE" w14:textId="77777777" w:rsidR="008863DE" w:rsidRDefault="00000000">
      <w:pPr>
        <w:rPr>
          <w:rFonts w:hint="eastAsia"/>
        </w:rPr>
      </w:pPr>
      <w:r>
        <w:rPr>
          <w:b/>
        </w:rPr>
        <w:t xml:space="preserve">Interpretation. </w:t>
      </w:r>
      <w:r>
        <w:t>Focus on the distance–makespan–utilization trade-off rather than asking which variant is best under its own objective. The intended evidence is that D + (K - 1)M provides a more stable balance as K changes.</w:t>
      </w:r>
    </w:p>
    <w:p w14:paraId="6F66B632" w14:textId="77777777" w:rsidR="008863DE" w:rsidRDefault="00000000">
      <w:pPr>
        <w:pStyle w:val="Heading2"/>
      </w:pPr>
      <w:r>
        <w:t>5.4.2 Cross-Vehicle Relocation Ablation</w:t>
      </w:r>
    </w:p>
    <w:p w14:paraId="526898C5" w14:textId="77777777" w:rsidR="008863DE" w:rsidRDefault="00000000">
      <w:pPr>
        <w:pStyle w:val="Label"/>
        <w:keepNext/>
        <w:rPr>
          <w:rFonts w:hint="eastAsia"/>
        </w:rPr>
      </w:pPr>
      <w:r>
        <w:t>Recommended setting</w:t>
      </w:r>
    </w:p>
    <w:p w14:paraId="11B99A1B" w14:textId="76D6B3E2" w:rsidR="008863DE" w:rsidRDefault="00000000">
      <w:pPr>
        <w:pStyle w:val="ListBullet"/>
        <w:spacing w:after="40"/>
        <w:rPr>
          <w:rFonts w:hint="eastAsia"/>
        </w:rPr>
      </w:pPr>
      <w:r>
        <w:t xml:space="preserve">Use N = </w:t>
      </w:r>
      <w:r w:rsidR="00C86E08">
        <w:rPr>
          <w:rFonts w:eastAsia="宋体" w:hint="eastAsia"/>
          <w:lang w:eastAsia="zh-CN"/>
        </w:rPr>
        <w:t>2</w:t>
      </w:r>
      <w:r>
        <w:t>0 with K = 2</w:t>
      </w:r>
      <w:r w:rsidR="00C86E08">
        <w:rPr>
          <w:rFonts w:eastAsia="宋体" w:hint="eastAsia"/>
          <w:lang w:eastAsia="zh-CN"/>
        </w:rPr>
        <w:t>.</w:t>
      </w:r>
    </w:p>
    <w:p w14:paraId="1859BDCD" w14:textId="77777777" w:rsidR="008863DE" w:rsidRDefault="00000000">
      <w:pPr>
        <w:pStyle w:val="Label"/>
        <w:keepNext/>
        <w:rPr>
          <w:rFonts w:hint="eastAsia"/>
        </w:rPr>
      </w:pPr>
      <w:r>
        <w:t>Variants</w:t>
      </w:r>
    </w:p>
    <w:p w14:paraId="45D31998" w14:textId="77777777" w:rsidR="008863DE" w:rsidRDefault="00000000">
      <w:pPr>
        <w:pStyle w:val="ListBullet"/>
        <w:spacing w:after="40"/>
        <w:rPr>
          <w:rFonts w:hint="eastAsia"/>
        </w:rPr>
      </w:pPr>
      <w:r>
        <w:t>Fixed assignment: pickup-delivery pairs can only be relocated within their current vehicle route; the initial request-to-vehicle assignment cannot change.</w:t>
      </w:r>
    </w:p>
    <w:p w14:paraId="4E89B7EE" w14:textId="77777777" w:rsidR="008863DE" w:rsidRDefault="00000000">
      <w:pPr>
        <w:pStyle w:val="ListBullet"/>
        <w:spacing w:after="40"/>
        <w:rPr>
          <w:rFonts w:hint="eastAsia"/>
        </w:rPr>
      </w:pPr>
      <w:r>
        <w:t>Full mvN2S: a pickup-delivery pair may move from one vehicle route to another, enabling joint assignment and route optimization.</w:t>
      </w:r>
    </w:p>
    <w:p w14:paraId="14620BE4" w14:textId="77777777" w:rsidR="008863DE" w:rsidRDefault="00000000">
      <w:pPr>
        <w:pStyle w:val="Label"/>
        <w:keepNext/>
        <w:rPr>
          <w:rFonts w:hint="eastAsia"/>
        </w:rPr>
      </w:pPr>
      <w:r>
        <w:t>Metrics and presentation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1152"/>
        <w:gridCol w:w="1152"/>
        <w:gridCol w:w="1152"/>
        <w:gridCol w:w="3816"/>
      </w:tblGrid>
      <w:tr w:rsidR="008863DE" w14:paraId="0D758097" w14:textId="77777777">
        <w:trPr>
          <w:cantSplit/>
          <w:jc w:val="center"/>
        </w:trPr>
        <w:tc>
          <w:tcPr>
            <w:tcW w:w="2448" w:type="dxa"/>
            <w:shd w:val="clear" w:color="auto" w:fill="D9EAF7"/>
            <w:vAlign w:val="center"/>
          </w:tcPr>
          <w:p w14:paraId="106EE8EC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7"/>
              </w:rPr>
              <w:t>Variant</w:t>
            </w:r>
          </w:p>
        </w:tc>
        <w:tc>
          <w:tcPr>
            <w:tcW w:w="1152" w:type="dxa"/>
            <w:shd w:val="clear" w:color="auto" w:fill="D9EAF7"/>
            <w:vAlign w:val="center"/>
          </w:tcPr>
          <w:p w14:paraId="09EA56F7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7"/>
              </w:rPr>
              <w:t>D</w:t>
            </w:r>
          </w:p>
        </w:tc>
        <w:tc>
          <w:tcPr>
            <w:tcW w:w="1152" w:type="dxa"/>
            <w:shd w:val="clear" w:color="auto" w:fill="D9EAF7"/>
            <w:vAlign w:val="center"/>
          </w:tcPr>
          <w:p w14:paraId="7E17022A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7"/>
              </w:rPr>
              <w:t>M</w:t>
            </w:r>
          </w:p>
        </w:tc>
        <w:tc>
          <w:tcPr>
            <w:tcW w:w="1152" w:type="dxa"/>
            <w:shd w:val="clear" w:color="auto" w:fill="D9EAF7"/>
            <w:vAlign w:val="center"/>
          </w:tcPr>
          <w:p w14:paraId="53BB0D8D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7"/>
              </w:rPr>
              <w:t>F</w:t>
            </w:r>
          </w:p>
        </w:tc>
        <w:tc>
          <w:tcPr>
            <w:tcW w:w="3816" w:type="dxa"/>
            <w:shd w:val="clear" w:color="auto" w:fill="D9EAF7"/>
            <w:vAlign w:val="center"/>
          </w:tcPr>
          <w:p w14:paraId="4A03C3A5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7"/>
              </w:rPr>
              <w:t>Meaning</w:t>
            </w:r>
          </w:p>
        </w:tc>
      </w:tr>
      <w:tr w:rsidR="008863DE" w14:paraId="25912278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6FD2C6B1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Fixed assignment</w:t>
            </w:r>
          </w:p>
        </w:tc>
        <w:tc>
          <w:tcPr>
            <w:tcW w:w="1152" w:type="dxa"/>
            <w:vAlign w:val="center"/>
          </w:tcPr>
          <w:p w14:paraId="041D6A18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—</w:t>
            </w:r>
          </w:p>
        </w:tc>
        <w:tc>
          <w:tcPr>
            <w:tcW w:w="1152" w:type="dxa"/>
            <w:vAlign w:val="center"/>
          </w:tcPr>
          <w:p w14:paraId="777BBC82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—</w:t>
            </w:r>
          </w:p>
        </w:tc>
        <w:tc>
          <w:tcPr>
            <w:tcW w:w="1152" w:type="dxa"/>
            <w:vAlign w:val="center"/>
          </w:tcPr>
          <w:p w14:paraId="60FBC45B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—</w:t>
            </w:r>
          </w:p>
        </w:tc>
        <w:tc>
          <w:tcPr>
            <w:tcW w:w="3816" w:type="dxa"/>
            <w:vAlign w:val="center"/>
          </w:tcPr>
          <w:p w14:paraId="35A8BE16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Route optimization only</w:t>
            </w:r>
          </w:p>
        </w:tc>
      </w:tr>
      <w:tr w:rsidR="008863DE" w14:paraId="332A4C7B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4BE40C37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Full mvN2S</w:t>
            </w:r>
          </w:p>
        </w:tc>
        <w:tc>
          <w:tcPr>
            <w:tcW w:w="1152" w:type="dxa"/>
            <w:vAlign w:val="center"/>
          </w:tcPr>
          <w:p w14:paraId="06B583C8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—</w:t>
            </w:r>
          </w:p>
        </w:tc>
        <w:tc>
          <w:tcPr>
            <w:tcW w:w="1152" w:type="dxa"/>
            <w:vAlign w:val="center"/>
          </w:tcPr>
          <w:p w14:paraId="7C8D5569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—</w:t>
            </w:r>
          </w:p>
        </w:tc>
        <w:tc>
          <w:tcPr>
            <w:tcW w:w="1152" w:type="dxa"/>
            <w:vAlign w:val="center"/>
          </w:tcPr>
          <w:p w14:paraId="5512A178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—</w:t>
            </w:r>
          </w:p>
        </w:tc>
        <w:tc>
          <w:tcPr>
            <w:tcW w:w="3816" w:type="dxa"/>
            <w:vAlign w:val="center"/>
          </w:tcPr>
          <w:p w14:paraId="46C94A0A" w14:textId="77777777" w:rsidR="008863DE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Joint assignment + routing</w:t>
            </w:r>
          </w:p>
        </w:tc>
      </w:tr>
    </w:tbl>
    <w:p w14:paraId="78C4E545" w14:textId="77777777" w:rsidR="008863DE" w:rsidRDefault="008863DE">
      <w:pPr>
        <w:spacing w:after="20"/>
        <w:rPr>
          <w:rFonts w:hint="eastAsia"/>
        </w:rPr>
      </w:pPr>
    </w:p>
    <w:p w14:paraId="349C790F" w14:textId="77777777" w:rsidR="008863DE" w:rsidRDefault="00000000">
      <w:pPr>
        <w:rPr>
          <w:rFonts w:hint="eastAsia"/>
        </w:rPr>
      </w:pPr>
      <w:r>
        <w:rPr>
          <w:b/>
        </w:rPr>
        <w:t xml:space="preserve">Interpretation. </w:t>
      </w:r>
      <w:r>
        <w:t>This ablation directly supports the claim that mvN2S performs joint assignment and routing rather than independently improving several fixed routes.</w:t>
      </w:r>
    </w:p>
    <w:p w14:paraId="71DD0AFD" w14:textId="77777777" w:rsidR="008863DE" w:rsidRDefault="00000000">
      <w:pPr>
        <w:pStyle w:val="Heading1"/>
      </w:pPr>
      <w:r>
        <w:t>5.5 Search Behavior and Convergence</w:t>
      </w:r>
    </w:p>
    <w:p w14:paraId="47FB843F" w14:textId="77777777" w:rsidR="008863DE" w:rsidRDefault="00000000">
      <w:pPr>
        <w:rPr>
          <w:rFonts w:hint="eastAsia"/>
        </w:rPr>
      </w:pPr>
      <w:r>
        <w:rPr>
          <w:b/>
        </w:rPr>
        <w:t xml:space="preserve">Purpose. </w:t>
      </w:r>
      <w:r>
        <w:t>Show how solution quality evolves during neural neighborhood search instead of reporting only the final solution.</w:t>
      </w:r>
    </w:p>
    <w:p w14:paraId="170D33F0" w14:textId="77777777" w:rsidR="008863DE" w:rsidRDefault="00000000">
      <w:pPr>
        <w:pStyle w:val="Label"/>
        <w:keepNext/>
        <w:rPr>
          <w:rFonts w:hint="eastAsia"/>
        </w:rPr>
      </w:pPr>
      <w:r>
        <w:t>Main implementation</w:t>
      </w:r>
    </w:p>
    <w:p w14:paraId="708E49DD" w14:textId="77777777" w:rsidR="008863DE" w:rsidRDefault="00000000">
      <w:pPr>
        <w:pStyle w:val="ListBullet"/>
        <w:spacing w:after="40"/>
        <w:rPr>
          <w:rFonts w:hint="eastAsia"/>
        </w:rPr>
      </w:pPr>
      <w:r>
        <w:t>Use a representative medium-scale setting, preferably N = 50; report K = 2 and K = 5 if available.</w:t>
      </w:r>
    </w:p>
    <w:p w14:paraId="1DB48EA9" w14:textId="77777777" w:rsidR="008863DE" w:rsidRDefault="00000000">
      <w:pPr>
        <w:pStyle w:val="ListBullet"/>
        <w:spacing w:after="40"/>
        <w:rPr>
          <w:rFonts w:hint="eastAsia"/>
        </w:rPr>
      </w:pPr>
      <w:r>
        <w:t>Record the best-so-far solution at regular steps, e.g., t = 0, 100, 200, …, T_max.</w:t>
      </w:r>
    </w:p>
    <w:p w14:paraId="32D1A81C" w14:textId="77777777" w:rsidR="008863DE" w:rsidRDefault="00000000">
      <w:pPr>
        <w:pStyle w:val="ListBullet"/>
        <w:spacing w:after="40"/>
        <w:rPr>
          <w:rFonts w:hint="eastAsia"/>
        </w:rPr>
      </w:pPr>
      <w:r>
        <w:t>Primary curve: search step versus best objective F_t.</w:t>
      </w:r>
    </w:p>
    <w:p w14:paraId="302B1549" w14:textId="77777777" w:rsidR="008863DE" w:rsidRDefault="00000000">
      <w:pPr>
        <w:pStyle w:val="ListBullet"/>
        <w:spacing w:after="40"/>
        <w:rPr>
          <w:rFonts w:hint="eastAsia"/>
        </w:rPr>
      </w:pPr>
      <w:r>
        <w:t>Recommended additional curves: D_t and M_t, which reveal how the policy balances route length and makespan during search.</w:t>
      </w:r>
    </w:p>
    <w:p w14:paraId="7FDC668F" w14:textId="77777777" w:rsidR="008863DE" w:rsidRDefault="00000000">
      <w:pPr>
        <w:pStyle w:val="ListBullet"/>
        <w:spacing w:after="40"/>
        <w:rPr>
          <w:rFonts w:hint="eastAsia"/>
        </w:rPr>
      </w:pPr>
      <w:r>
        <w:t>If another iterative baseline is available, overlay curves under the same search-step or time budget.</w:t>
      </w:r>
    </w:p>
    <w:p w14:paraId="4557825F" w14:textId="77777777" w:rsidR="008863DE" w:rsidRDefault="00000000">
      <w:pPr>
        <w:rPr>
          <w:rFonts w:hint="eastAsia"/>
        </w:rPr>
      </w:pPr>
      <w:r>
        <w:rPr>
          <w:b/>
        </w:rPr>
        <w:t xml:space="preserve">Implementation cost. </w:t>
      </w:r>
      <w:r>
        <w:t>This should be inexpensive because the current inference pipeline already records objective/search history; the main work is exporting the history consistently and plotting it.</w:t>
      </w:r>
    </w:p>
    <w:p w14:paraId="49314B41" w14:textId="77777777" w:rsidR="008863DE" w:rsidRDefault="00000000">
      <w:pPr>
        <w:pStyle w:val="Heading1"/>
      </w:pPr>
      <w:r>
        <w:t>5.6 Qualitative Route Visualization</w:t>
      </w:r>
    </w:p>
    <w:p w14:paraId="0320E72A" w14:textId="77777777" w:rsidR="008863DE" w:rsidRDefault="00000000">
      <w:pPr>
        <w:rPr>
          <w:rFonts w:hint="eastAsia"/>
        </w:rPr>
      </w:pPr>
      <w:r>
        <w:rPr>
          <w:b/>
        </w:rPr>
        <w:t xml:space="preserve">Purpose. </w:t>
      </w:r>
      <w:r>
        <w:t>Provide an intuitive example of how the objective and cross-vehicle search change task allocation and route balance.</w:t>
      </w:r>
    </w:p>
    <w:p w14:paraId="2050F4FA" w14:textId="77777777" w:rsidR="008863DE" w:rsidRDefault="00000000">
      <w:pPr>
        <w:pStyle w:val="Label"/>
        <w:keepNext/>
        <w:rPr>
          <w:rFonts w:hint="eastAsia"/>
        </w:rPr>
      </w:pPr>
      <w:r>
        <w:t>Main implementation</w:t>
      </w:r>
    </w:p>
    <w:p w14:paraId="5CD2CF92" w14:textId="77777777" w:rsidR="008863DE" w:rsidRDefault="00000000">
      <w:pPr>
        <w:pStyle w:val="ListBullet"/>
        <w:spacing w:after="40"/>
        <w:rPr>
          <w:rFonts w:hint="eastAsia"/>
        </w:rPr>
      </w:pPr>
      <w:r>
        <w:t>Select one representative instance, preferably N = 20 or N = 50 so the routes remain readable.</w:t>
      </w:r>
    </w:p>
    <w:p w14:paraId="1E720017" w14:textId="77777777" w:rsidR="008863DE" w:rsidRDefault="00000000">
      <w:pPr>
        <w:pStyle w:val="ListBullet"/>
        <w:spacing w:after="40"/>
        <w:rPr>
          <w:rFonts w:hint="eastAsia"/>
        </w:rPr>
      </w:pPr>
      <w:r>
        <w:t>Use a three-panel figure: (a) initial solution, (b) distance-only solution, and (c) proposed-objective mvN2S solution.</w:t>
      </w:r>
    </w:p>
    <w:p w14:paraId="167A22FD" w14:textId="77777777" w:rsidR="008863DE" w:rsidRDefault="00000000">
      <w:pPr>
        <w:pStyle w:val="ListBullet"/>
        <w:spacing w:after="40"/>
        <w:rPr>
          <w:rFonts w:hint="eastAsia"/>
        </w:rPr>
      </w:pPr>
      <w:r>
        <w:t>Use a distinct route color for each vehicle and display pickup-delivery relationships consistently.</w:t>
      </w:r>
    </w:p>
    <w:p w14:paraId="669CF2F7" w14:textId="77777777" w:rsidR="008863DE" w:rsidRDefault="00000000">
      <w:pPr>
        <w:pStyle w:val="ListBullet"/>
        <w:spacing w:after="40"/>
        <w:rPr>
          <w:rFonts w:hint="eastAsia"/>
        </w:rPr>
      </w:pPr>
      <w:r>
        <w:t>Annotate every panel with D, M, F, and the number of active vehicles.</w:t>
      </w:r>
    </w:p>
    <w:p w14:paraId="2E21CA45" w14:textId="77777777" w:rsidR="008863DE" w:rsidRDefault="00000000">
      <w:pPr>
        <w:rPr>
          <w:rFonts w:hint="eastAsia"/>
        </w:rPr>
      </w:pPr>
      <w:r>
        <w:rPr>
          <w:b/>
        </w:rPr>
        <w:t xml:space="preserve">Selection principle. </w:t>
      </w:r>
      <w:r>
        <w:t>Use a representative case that clearly illustrates the route-balancing mechanism; avoid selecting an isolated best-case example solely because it produces the largest numerical improvement.</w:t>
      </w:r>
    </w:p>
    <w:sectPr w:rsidR="008863DE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19240" w14:textId="77777777" w:rsidR="00C36FD9" w:rsidRDefault="00C36FD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D1891A9" w14:textId="77777777" w:rsidR="00C36FD9" w:rsidRDefault="00C36FD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2ECBC" w14:textId="77777777" w:rsidR="008863DE" w:rsidRDefault="00000000">
    <w:pPr>
      <w:pStyle w:val="Footer"/>
      <w:jc w:val="center"/>
      <w:rPr>
        <w:rFonts w:hint="eastAsia"/>
      </w:rPr>
    </w:pPr>
    <w:r>
      <w:rPr>
        <w:color w:val="787878"/>
        <w:sz w:val="16"/>
      </w:rPr>
      <w:t>mvN2S Experimental Implementation Guide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0E9BD" w14:textId="77777777" w:rsidR="00C36FD9" w:rsidRDefault="00C36FD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8C74220" w14:textId="77777777" w:rsidR="00C36FD9" w:rsidRDefault="00C36FD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74884">
    <w:abstractNumId w:val="8"/>
  </w:num>
  <w:num w:numId="2" w16cid:durableId="33042195">
    <w:abstractNumId w:val="6"/>
  </w:num>
  <w:num w:numId="3" w16cid:durableId="1848672213">
    <w:abstractNumId w:val="5"/>
  </w:num>
  <w:num w:numId="4" w16cid:durableId="850142589">
    <w:abstractNumId w:val="4"/>
  </w:num>
  <w:num w:numId="5" w16cid:durableId="205456204">
    <w:abstractNumId w:val="7"/>
  </w:num>
  <w:num w:numId="6" w16cid:durableId="1283658048">
    <w:abstractNumId w:val="3"/>
  </w:num>
  <w:num w:numId="7" w16cid:durableId="1804805612">
    <w:abstractNumId w:val="2"/>
  </w:num>
  <w:num w:numId="8" w16cid:durableId="1987397495">
    <w:abstractNumId w:val="1"/>
  </w:num>
  <w:num w:numId="9" w16cid:durableId="22950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863DE"/>
    <w:rsid w:val="00A05B51"/>
    <w:rsid w:val="00AA1D8D"/>
    <w:rsid w:val="00B47730"/>
    <w:rsid w:val="00C36FD9"/>
    <w:rsid w:val="00C86E0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36682F"/>
  <w14:defaultImageDpi w14:val="300"/>
  <w15:docId w15:val="{BD9D0DE2-B271-406B-A417-83F017E21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el">
    <w:name w:val="Label"/>
    <w:pPr>
      <w:spacing w:before="60" w:after="40"/>
    </w:pPr>
    <w:rPr>
      <w:rFonts w:ascii="Aptos" w:hAnsi="Aptos"/>
      <w:b/>
      <w:color w:val="40404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1103</Words>
  <Characters>6288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Peng Huang</cp:lastModifiedBy>
  <cp:revision>2</cp:revision>
  <dcterms:created xsi:type="dcterms:W3CDTF">2013-12-23T23:15:00Z</dcterms:created>
  <dcterms:modified xsi:type="dcterms:W3CDTF">2026-10-05T23:56:00Z</dcterms:modified>
  <cp:category/>
</cp:coreProperties>
</file>