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8FCD39" w14:textId="77777777" w:rsidR="005961EB" w:rsidRDefault="00C71850">
      <w:pPr>
        <w:pStyle w:val="GuideKicker"/>
        <w:rPr>
          <w:rFonts w:hint="eastAsia"/>
        </w:rPr>
      </w:pPr>
      <w:r>
        <w:t>DATA SCIENCE // SMARTYTRACKER REPORTING</w:t>
      </w:r>
    </w:p>
    <w:p w14:paraId="6FC0DF6B" w14:textId="77777777" w:rsidR="005961EB" w:rsidRDefault="00C71850">
      <w:pPr>
        <w:pStyle w:val="GuideTitle"/>
      </w:pPr>
      <w:r>
        <w:t>LEARNING &amp;</w:t>
      </w:r>
      <w:r>
        <w:br/>
        <w:t>GRADING GUIDE</w:t>
      </w:r>
    </w:p>
    <w:p w14:paraId="5547F24C" w14:textId="77777777" w:rsidR="005961EB" w:rsidRDefault="00C71850">
      <w:pPr>
        <w:spacing w:after="60" w:line="240" w:lineRule="auto"/>
      </w:pPr>
      <w:r>
        <w:rPr>
          <w:rFonts w:ascii="DejaVu Sans Mono" w:eastAsia="DejaVu Sans Mono" w:hAnsi="DejaVu Sans Mono" w:cs="DejaVu Sans Mono"/>
          <w:color w:val="168C88"/>
          <w:sz w:val="23"/>
        </w:rPr>
        <w:t>{ evidence -&gt; feedback -&gt; growth -&gt; mastery }</w:t>
      </w:r>
    </w:p>
    <w:p w14:paraId="44273323" w14:textId="77777777" w:rsidR="005961EB" w:rsidRDefault="00C71850">
      <w:pPr>
        <w:spacing w:after="220" w:line="240" w:lineRule="auto"/>
      </w:pPr>
      <w:r>
        <w:rPr>
          <w:rFonts w:eastAsia="Calibri" w:cs="Calibri"/>
          <w:b/>
          <w:color w:val="3F6E92"/>
          <w:sz w:val="25"/>
        </w:rPr>
        <w:t>Data Science with Python</w:t>
      </w:r>
    </w:p>
    <w:p w14:paraId="2EE1A447" w14:textId="77777777" w:rsidR="005961EB" w:rsidRDefault="00C71850">
      <w:pPr>
        <w:pStyle w:val="Heading1"/>
        <w:spacing w:before="40" w:after="120"/>
      </w:pPr>
      <w:r>
        <w:t>How Your Grade Is Built</w:t>
      </w:r>
    </w:p>
    <w:p w14:paraId="2167F41D" w14:textId="77777777" w:rsidR="005961EB" w:rsidRDefault="00C71850">
      <w:pPr>
        <w:numPr>
          <w:ilvl w:val="0"/>
          <w:numId w:val="1"/>
        </w:numPr>
      </w:pPr>
      <w:r>
        <w:rPr>
          <w:rFonts w:eastAsia="Calibri" w:cs="Calibri"/>
        </w:rPr>
        <w:t>Learning intentions define the broad goals of the course.</w:t>
      </w:r>
    </w:p>
    <w:p w14:paraId="2C0CB87B" w14:textId="77777777" w:rsidR="005961EB" w:rsidRDefault="00C71850">
      <w:pPr>
        <w:numPr>
          <w:ilvl w:val="0"/>
          <w:numId w:val="1"/>
        </w:numPr>
      </w:pPr>
      <w:r>
        <w:rPr>
          <w:rFonts w:eastAsia="Calibri" w:cs="Calibri"/>
        </w:rPr>
        <w:t xml:space="preserve">Success criteria describe the </w:t>
      </w:r>
      <w:r>
        <w:rPr>
          <w:rFonts w:eastAsia="Calibri" w:cs="Calibri"/>
        </w:rPr>
        <w:t>specific knowledge and skills you must demonstrate.</w:t>
      </w:r>
    </w:p>
    <w:p w14:paraId="7F0E0625" w14:textId="77777777" w:rsidR="005961EB" w:rsidRDefault="00C71850">
      <w:pPr>
        <w:numPr>
          <w:ilvl w:val="0"/>
          <w:numId w:val="1"/>
        </w:numPr>
      </w:pPr>
      <w:r>
        <w:rPr>
          <w:rFonts w:eastAsia="Calibri" w:cs="Calibri"/>
        </w:rPr>
        <w:t>Course activities create evidence that may connect to one or more success criteria.</w:t>
      </w:r>
    </w:p>
    <w:p w14:paraId="580EB3E0" w14:textId="77777777" w:rsidR="005961EB" w:rsidRDefault="00C71850">
      <w:pPr>
        <w:numPr>
          <w:ilvl w:val="0"/>
          <w:numId w:val="1"/>
        </w:numPr>
        <w:spacing w:after="120"/>
      </w:pPr>
      <w:r>
        <w:rPr>
          <w:rFonts w:eastAsia="Calibri" w:cs="Calibri"/>
        </w:rPr>
        <w:t>SmartyTracker organizes that evidence so your teacher can determine your current level of mastery and report your course</w:t>
      </w:r>
      <w:r>
        <w:rPr>
          <w:rFonts w:eastAsia="Calibri" w:cs="Calibri"/>
        </w:rPr>
        <w:t xml:space="preserve"> grade.</w:t>
      </w:r>
    </w:p>
    <w:p w14:paraId="47176AB9" w14:textId="77777777" w:rsidR="005961EB" w:rsidRDefault="00C71850">
      <w:pPr>
        <w:spacing w:after="160"/>
      </w:pPr>
      <w:r>
        <w:rPr>
          <w:rFonts w:eastAsia="Calibri" w:cs="Calibri"/>
          <w:b/>
        </w:rPr>
        <w:t>Your grade is based on what the full body of evidence shows you can do - not on an average of assignment categories.</w:t>
      </w:r>
    </w:p>
    <w:p w14:paraId="68660695" w14:textId="77777777" w:rsidR="005961EB" w:rsidRDefault="00C71850">
      <w:pPr>
        <w:pStyle w:val="Heading1"/>
        <w:spacing w:before="140" w:after="120"/>
      </w:pPr>
      <w:r>
        <w:t>What SmartyTracker Shows You</w:t>
      </w:r>
    </w:p>
    <w:p w14:paraId="2D1777FE" w14:textId="77777777" w:rsidR="005961EB" w:rsidRDefault="00C71850">
      <w:pPr>
        <w:numPr>
          <w:ilvl w:val="0"/>
          <w:numId w:val="1"/>
        </w:numPr>
      </w:pPr>
      <w:r>
        <w:rPr>
          <w:rFonts w:eastAsia="Calibri" w:cs="Calibri"/>
        </w:rPr>
        <w:t>Your current level on each required success criterion</w:t>
      </w:r>
    </w:p>
    <w:p w14:paraId="78631A65" w14:textId="77777777" w:rsidR="005961EB" w:rsidRDefault="00C71850">
      <w:pPr>
        <w:numPr>
          <w:ilvl w:val="0"/>
          <w:numId w:val="1"/>
        </w:numPr>
      </w:pPr>
      <w:r>
        <w:rPr>
          <w:rFonts w:eastAsia="Calibri" w:cs="Calibri"/>
        </w:rPr>
        <w:t xml:space="preserve">The skill checks, labs, projects, practice, and </w:t>
      </w:r>
      <w:r>
        <w:rPr>
          <w:rFonts w:eastAsia="Calibri" w:cs="Calibri"/>
        </w:rPr>
        <w:t>other evidence connected to that criterion</w:t>
      </w:r>
    </w:p>
    <w:p w14:paraId="0CF88DB4" w14:textId="77777777" w:rsidR="005961EB" w:rsidRDefault="00C71850">
      <w:pPr>
        <w:numPr>
          <w:ilvl w:val="0"/>
          <w:numId w:val="1"/>
        </w:numPr>
        <w:spacing w:after="100"/>
      </w:pPr>
      <w:r>
        <w:rPr>
          <w:rFonts w:eastAsia="Calibri" w:cs="Calibri"/>
        </w:rPr>
        <w:t>Teacher feedback, growth over time, and the learning story behind your current course grade</w:t>
      </w:r>
    </w:p>
    <w:p w14:paraId="3660F35B" w14:textId="77777777" w:rsidR="005961EB" w:rsidRDefault="00C71850">
      <w:pPr>
        <w:pBdr>
          <w:left w:val="single" w:sz="24" w:space="8" w:color="3F6E92"/>
        </w:pBdr>
        <w:shd w:val="clear" w:color="auto" w:fill="EAF1F6"/>
        <w:spacing w:before="100" w:after="100" w:line="283" w:lineRule="auto"/>
        <w:ind w:left="86" w:right="86"/>
      </w:pPr>
      <w:r>
        <w:rPr>
          <w:rFonts w:ascii="DejaVu Sans Mono" w:eastAsia="DejaVu Sans Mono" w:hAnsi="DejaVu Sans Mono" w:cs="DejaVu Sans Mono"/>
          <w:b/>
          <w:color w:val="3F6E92"/>
          <w:sz w:val="20"/>
        </w:rPr>
        <w:t xml:space="preserve">REPORTING  </w:t>
      </w:r>
      <w:r>
        <w:rPr>
          <w:rFonts w:eastAsia="Calibri" w:cs="Calibri"/>
        </w:rPr>
        <w:t>Infinite Campus records the official high-school course grade. SmartyTracker explains how your classroom evide</w:t>
      </w:r>
      <w:r>
        <w:rPr>
          <w:rFonts w:eastAsia="Calibri" w:cs="Calibri"/>
        </w:rPr>
        <w:t>nce translates into that grade.</w:t>
      </w:r>
    </w:p>
    <w:p w14:paraId="4064B00B" w14:textId="77777777" w:rsidR="005961EB" w:rsidRDefault="005961EB">
      <w:pPr>
        <w:spacing w:after="60" w:line="24" w:lineRule="auto"/>
      </w:pPr>
    </w:p>
    <w:p w14:paraId="71C2627F" w14:textId="77777777" w:rsidR="005961EB" w:rsidRDefault="00C71850">
      <w:pPr>
        <w:pStyle w:val="Heading1"/>
        <w:spacing w:before="80" w:after="100"/>
      </w:pPr>
      <w:r>
        <w:t>Boise State Concurrent Credit</w:t>
      </w:r>
    </w:p>
    <w:p w14:paraId="49498D6F" w14:textId="77777777" w:rsidR="005961EB" w:rsidRDefault="00C71850">
      <w:pPr>
        <w:spacing w:after="80" w:line="264" w:lineRule="auto"/>
      </w:pPr>
      <w:r>
        <w:rPr>
          <w:rFonts w:eastAsia="Calibri" w:cs="Calibri"/>
          <w:sz w:val="19"/>
        </w:rPr>
        <w:t xml:space="preserve">This course is offered through Boise State University as CS 133: Foundations of Data Science (3 credits). The high-school course provides the learning and evidence used to meet both </w:t>
      </w:r>
      <w:r>
        <w:rPr>
          <w:rFonts w:eastAsia="Calibri" w:cs="Calibri"/>
          <w:sz w:val="19"/>
        </w:rPr>
        <w:t>district and university course expectations.</w:t>
      </w:r>
    </w:p>
    <w:p w14:paraId="25C3B95C" w14:textId="77777777" w:rsidR="005961EB" w:rsidRDefault="00C71850">
      <w:pPr>
        <w:spacing w:after="0" w:line="264" w:lineRule="auto"/>
      </w:pPr>
      <w:r>
        <w:rPr>
          <w:rFonts w:eastAsia="Calibri" w:cs="Calibri"/>
          <w:sz w:val="19"/>
        </w:rPr>
        <w:t>Concurrent enrollment is optional and requires separate Boise State registration. Students who register work toward a letter grade recorded on both the high-school and Boise State transcripts. University registr</w:t>
      </w:r>
      <w:r>
        <w:rPr>
          <w:rFonts w:eastAsia="Calibri" w:cs="Calibri"/>
          <w:sz w:val="19"/>
        </w:rPr>
        <w:t>ation, funding/payment, drop, and withdrawal deadlines must be followed separately.</w:t>
      </w:r>
    </w:p>
    <w:p w14:paraId="60AAD6B0" w14:textId="77777777" w:rsidR="005961EB" w:rsidRDefault="00C71850">
      <w:r>
        <w:br w:type="page"/>
      </w:r>
    </w:p>
    <w:p w14:paraId="14FAF6BB" w14:textId="77777777" w:rsidR="005961EB" w:rsidRDefault="00C71850">
      <w:pPr>
        <w:pStyle w:val="Heading1"/>
        <w:spacing w:before="0" w:after="100"/>
      </w:pPr>
      <w:r>
        <w:lastRenderedPageBreak/>
        <w:t>The Mastery Scale</w:t>
      </w:r>
    </w:p>
    <w:p w14:paraId="7AD820C6" w14:textId="77777777" w:rsidR="005961EB" w:rsidRDefault="00C71850">
      <w:pPr>
        <w:spacing w:after="140"/>
      </w:pPr>
      <w:r>
        <w:rPr>
          <w:rFonts w:eastAsia="Calibri" w:cs="Calibri"/>
          <w:sz w:val="20"/>
        </w:rPr>
        <w:t>SmartyTracker reports progress on each success criterion using the course mastery scale. Mastery is the target; extended mastery recognizes learning bey</w:t>
      </w:r>
      <w:r>
        <w:rPr>
          <w:rFonts w:eastAsia="Calibri" w:cs="Calibri"/>
          <w:sz w:val="20"/>
        </w:rPr>
        <w:t>ond the target and is not required.</w:t>
      </w:r>
    </w:p>
    <w:tbl>
      <w:tblPr>
        <w:tblW w:w="9360" w:type="dxa"/>
        <w:tblInd w:w="120" w:type="dxa"/>
        <w:tblLayout w:type="fixed"/>
        <w:tblLook w:val="04A0" w:firstRow="1" w:lastRow="0" w:firstColumn="1" w:lastColumn="0" w:noHBand="0" w:noVBand="1"/>
      </w:tblPr>
      <w:tblGrid>
        <w:gridCol w:w="1080"/>
        <w:gridCol w:w="2200"/>
        <w:gridCol w:w="6080"/>
      </w:tblGrid>
      <w:tr w:rsidR="005961EB" w14:paraId="009A3D71" w14:textId="77777777">
        <w:trPr>
          <w:cantSplit/>
          <w:tblHeader/>
        </w:trPr>
        <w:tc>
          <w:tcPr>
            <w:tcW w:w="1080" w:type="dxa"/>
            <w:shd w:val="clear" w:color="auto" w:fill="17324D"/>
            <w:tcMar>
              <w:top w:w="80" w:type="dxa"/>
              <w:left w:w="120" w:type="dxa"/>
              <w:bottom w:w="80" w:type="dxa"/>
              <w:right w:w="120" w:type="dxa"/>
            </w:tcMar>
            <w:vAlign w:val="center"/>
          </w:tcPr>
          <w:p w14:paraId="506E38A6" w14:textId="77777777" w:rsidR="005961EB" w:rsidRDefault="00C71850">
            <w:pPr>
              <w:spacing w:after="0" w:line="259" w:lineRule="auto"/>
              <w:jc w:val="center"/>
            </w:pPr>
            <w:r>
              <w:rPr>
                <w:rFonts w:ascii="DejaVu Sans Mono" w:eastAsia="DejaVu Sans Mono" w:hAnsi="DejaVu Sans Mono" w:cs="DejaVu Sans Mono"/>
                <w:b/>
                <w:color w:val="FFFFFF"/>
                <w:sz w:val="17"/>
              </w:rPr>
              <w:t>LEVEL</w:t>
            </w:r>
          </w:p>
        </w:tc>
        <w:tc>
          <w:tcPr>
            <w:tcW w:w="2200" w:type="dxa"/>
            <w:shd w:val="clear" w:color="auto" w:fill="17324D"/>
            <w:tcMar>
              <w:top w:w="80" w:type="dxa"/>
              <w:left w:w="120" w:type="dxa"/>
              <w:bottom w:w="80" w:type="dxa"/>
              <w:right w:w="120" w:type="dxa"/>
            </w:tcMar>
            <w:vAlign w:val="center"/>
          </w:tcPr>
          <w:p w14:paraId="2F8027B9" w14:textId="77777777" w:rsidR="005961EB" w:rsidRDefault="00C71850">
            <w:pPr>
              <w:spacing w:after="0" w:line="259" w:lineRule="auto"/>
            </w:pPr>
            <w:r>
              <w:rPr>
                <w:rFonts w:ascii="DejaVu Sans Mono" w:eastAsia="DejaVu Sans Mono" w:hAnsi="DejaVu Sans Mono" w:cs="DejaVu Sans Mono"/>
                <w:b/>
                <w:color w:val="FFFFFF"/>
                <w:sz w:val="17"/>
              </w:rPr>
              <w:t>STATUS</w:t>
            </w:r>
          </w:p>
        </w:tc>
        <w:tc>
          <w:tcPr>
            <w:tcW w:w="6080" w:type="dxa"/>
            <w:shd w:val="clear" w:color="auto" w:fill="17324D"/>
            <w:tcMar>
              <w:top w:w="80" w:type="dxa"/>
              <w:left w:w="120" w:type="dxa"/>
              <w:bottom w:w="80" w:type="dxa"/>
              <w:right w:w="120" w:type="dxa"/>
            </w:tcMar>
            <w:vAlign w:val="center"/>
          </w:tcPr>
          <w:p w14:paraId="6280C1DE" w14:textId="77777777" w:rsidR="005961EB" w:rsidRDefault="00C71850">
            <w:pPr>
              <w:spacing w:after="0" w:line="259" w:lineRule="auto"/>
            </w:pPr>
            <w:r>
              <w:rPr>
                <w:rFonts w:ascii="DejaVu Sans Mono" w:eastAsia="DejaVu Sans Mono" w:hAnsi="DejaVu Sans Mono" w:cs="DejaVu Sans Mono"/>
                <w:b/>
                <w:color w:val="FFFFFF"/>
                <w:sz w:val="17"/>
              </w:rPr>
              <w:t>WHAT IT MEANS</w:t>
            </w:r>
          </w:p>
        </w:tc>
      </w:tr>
      <w:tr w:rsidR="005961EB" w14:paraId="405BD68E" w14:textId="77777777">
        <w:trPr>
          <w:cantSplit/>
        </w:trPr>
        <w:tc>
          <w:tcPr>
            <w:tcW w:w="1080" w:type="dxa"/>
            <w:shd w:val="clear" w:color="auto" w:fill="F2F4F7"/>
            <w:tcMar>
              <w:top w:w="80" w:type="dxa"/>
              <w:left w:w="120" w:type="dxa"/>
              <w:bottom w:w="80" w:type="dxa"/>
              <w:right w:w="120" w:type="dxa"/>
            </w:tcMar>
            <w:vAlign w:val="center"/>
          </w:tcPr>
          <w:p w14:paraId="3833B8B8" w14:textId="77777777" w:rsidR="005961EB" w:rsidRDefault="00C71850">
            <w:pPr>
              <w:spacing w:after="0" w:line="259" w:lineRule="auto"/>
              <w:jc w:val="center"/>
            </w:pPr>
            <w:r>
              <w:rPr>
                <w:rFonts w:ascii="DejaVu Sans Mono" w:eastAsia="DejaVu Sans Mono" w:hAnsi="DejaVu Sans Mono" w:cs="DejaVu Sans Mono"/>
                <w:b/>
                <w:color w:val="5E6B78"/>
                <w:sz w:val="27"/>
              </w:rPr>
              <w:t>0</w:t>
            </w:r>
          </w:p>
        </w:tc>
        <w:tc>
          <w:tcPr>
            <w:tcW w:w="2200" w:type="dxa"/>
            <w:shd w:val="clear" w:color="auto" w:fill="F2F4F7"/>
            <w:tcMar>
              <w:top w:w="80" w:type="dxa"/>
              <w:left w:w="120" w:type="dxa"/>
              <w:bottom w:w="80" w:type="dxa"/>
              <w:right w:w="120" w:type="dxa"/>
            </w:tcMar>
            <w:vAlign w:val="center"/>
          </w:tcPr>
          <w:p w14:paraId="33424C2E" w14:textId="77777777" w:rsidR="005961EB" w:rsidRDefault="00C71850">
            <w:pPr>
              <w:spacing w:after="0" w:line="259" w:lineRule="auto"/>
            </w:pPr>
            <w:r>
              <w:rPr>
                <w:rFonts w:eastAsia="Calibri" w:cs="Calibri"/>
                <w:b/>
                <w:color w:val="5E6B78"/>
                <w:sz w:val="18"/>
              </w:rPr>
              <w:t>Insufficient Evidence</w:t>
            </w:r>
          </w:p>
        </w:tc>
        <w:tc>
          <w:tcPr>
            <w:tcW w:w="6080" w:type="dxa"/>
            <w:shd w:val="clear" w:color="auto" w:fill="F2F4F7"/>
            <w:tcMar>
              <w:top w:w="80" w:type="dxa"/>
              <w:left w:w="120" w:type="dxa"/>
              <w:bottom w:w="80" w:type="dxa"/>
              <w:right w:w="120" w:type="dxa"/>
            </w:tcMar>
            <w:vAlign w:val="center"/>
          </w:tcPr>
          <w:p w14:paraId="11713DC8" w14:textId="77777777" w:rsidR="005961EB" w:rsidRDefault="00C71850">
            <w:pPr>
              <w:spacing w:after="0" w:line="259" w:lineRule="auto"/>
            </w:pPr>
            <w:r>
              <w:rPr>
                <w:rFonts w:eastAsia="Calibri" w:cs="Calibri"/>
                <w:sz w:val="18"/>
              </w:rPr>
              <w:t>There is not yet enough valid evidence to determine your current level.</w:t>
            </w:r>
          </w:p>
        </w:tc>
      </w:tr>
      <w:tr w:rsidR="005961EB" w14:paraId="013DF979" w14:textId="77777777">
        <w:trPr>
          <w:cantSplit/>
        </w:trPr>
        <w:tc>
          <w:tcPr>
            <w:tcW w:w="1080" w:type="dxa"/>
            <w:shd w:val="clear" w:color="auto" w:fill="F2EAF5"/>
            <w:tcMar>
              <w:top w:w="80" w:type="dxa"/>
              <w:left w:w="120" w:type="dxa"/>
              <w:bottom w:w="80" w:type="dxa"/>
              <w:right w:w="120" w:type="dxa"/>
            </w:tcMar>
            <w:vAlign w:val="center"/>
          </w:tcPr>
          <w:p w14:paraId="1E42E892" w14:textId="77777777" w:rsidR="005961EB" w:rsidRDefault="00C71850">
            <w:pPr>
              <w:spacing w:after="0" w:line="259" w:lineRule="auto"/>
              <w:jc w:val="center"/>
            </w:pPr>
            <w:r>
              <w:rPr>
                <w:rFonts w:ascii="DejaVu Sans Mono" w:eastAsia="DejaVu Sans Mono" w:hAnsi="DejaVu Sans Mono" w:cs="DejaVu Sans Mono"/>
                <w:b/>
                <w:color w:val="76518B"/>
                <w:sz w:val="27"/>
              </w:rPr>
              <w:t>1</w:t>
            </w:r>
          </w:p>
        </w:tc>
        <w:tc>
          <w:tcPr>
            <w:tcW w:w="2200" w:type="dxa"/>
            <w:shd w:val="clear" w:color="auto" w:fill="F2EAF5"/>
            <w:tcMar>
              <w:top w:w="80" w:type="dxa"/>
              <w:left w:w="120" w:type="dxa"/>
              <w:bottom w:w="80" w:type="dxa"/>
              <w:right w:w="120" w:type="dxa"/>
            </w:tcMar>
            <w:vAlign w:val="center"/>
          </w:tcPr>
          <w:p w14:paraId="07E0DA7F" w14:textId="77777777" w:rsidR="005961EB" w:rsidRDefault="00C71850">
            <w:pPr>
              <w:spacing w:after="0" w:line="259" w:lineRule="auto"/>
            </w:pPr>
            <w:r>
              <w:rPr>
                <w:rFonts w:eastAsia="Calibri" w:cs="Calibri"/>
                <w:b/>
                <w:color w:val="76518B"/>
                <w:sz w:val="18"/>
              </w:rPr>
              <w:t>Emerging</w:t>
            </w:r>
          </w:p>
        </w:tc>
        <w:tc>
          <w:tcPr>
            <w:tcW w:w="6080" w:type="dxa"/>
            <w:shd w:val="clear" w:color="auto" w:fill="F2EAF5"/>
            <w:tcMar>
              <w:top w:w="80" w:type="dxa"/>
              <w:left w:w="120" w:type="dxa"/>
              <w:bottom w:w="80" w:type="dxa"/>
              <w:right w:w="120" w:type="dxa"/>
            </w:tcMar>
            <w:vAlign w:val="center"/>
          </w:tcPr>
          <w:p w14:paraId="582AE91E" w14:textId="77777777" w:rsidR="005961EB" w:rsidRDefault="00C71850">
            <w:pPr>
              <w:spacing w:after="0" w:line="259" w:lineRule="auto"/>
            </w:pPr>
            <w:r>
              <w:rPr>
                <w:rFonts w:eastAsia="Calibri" w:cs="Calibri"/>
                <w:sz w:val="18"/>
              </w:rPr>
              <w:t xml:space="preserve">You are beginning to demonstrate the skill, but gaps or significant support </w:t>
            </w:r>
            <w:r>
              <w:rPr>
                <w:rFonts w:eastAsia="Calibri" w:cs="Calibri"/>
                <w:sz w:val="18"/>
              </w:rPr>
              <w:t>remain.</w:t>
            </w:r>
          </w:p>
        </w:tc>
      </w:tr>
      <w:tr w:rsidR="005961EB" w14:paraId="6B0F592D" w14:textId="77777777">
        <w:trPr>
          <w:cantSplit/>
        </w:trPr>
        <w:tc>
          <w:tcPr>
            <w:tcW w:w="1080" w:type="dxa"/>
            <w:shd w:val="clear" w:color="auto" w:fill="E8F1F7"/>
            <w:tcMar>
              <w:top w:w="80" w:type="dxa"/>
              <w:left w:w="120" w:type="dxa"/>
              <w:bottom w:w="80" w:type="dxa"/>
              <w:right w:w="120" w:type="dxa"/>
            </w:tcMar>
            <w:vAlign w:val="center"/>
          </w:tcPr>
          <w:p w14:paraId="419834B4" w14:textId="77777777" w:rsidR="005961EB" w:rsidRDefault="00C71850">
            <w:pPr>
              <w:spacing w:after="0" w:line="259" w:lineRule="auto"/>
              <w:jc w:val="center"/>
            </w:pPr>
            <w:r>
              <w:rPr>
                <w:rFonts w:ascii="DejaVu Sans Mono" w:eastAsia="DejaVu Sans Mono" w:hAnsi="DejaVu Sans Mono" w:cs="DejaVu Sans Mono"/>
                <w:b/>
                <w:color w:val="3F6E92"/>
                <w:sz w:val="27"/>
              </w:rPr>
              <w:t>2</w:t>
            </w:r>
          </w:p>
        </w:tc>
        <w:tc>
          <w:tcPr>
            <w:tcW w:w="2200" w:type="dxa"/>
            <w:shd w:val="clear" w:color="auto" w:fill="E8F1F7"/>
            <w:tcMar>
              <w:top w:w="80" w:type="dxa"/>
              <w:left w:w="120" w:type="dxa"/>
              <w:bottom w:w="80" w:type="dxa"/>
              <w:right w:w="120" w:type="dxa"/>
            </w:tcMar>
            <w:vAlign w:val="center"/>
          </w:tcPr>
          <w:p w14:paraId="072ABB81" w14:textId="77777777" w:rsidR="005961EB" w:rsidRDefault="00C71850">
            <w:pPr>
              <w:spacing w:after="0" w:line="259" w:lineRule="auto"/>
            </w:pPr>
            <w:r>
              <w:rPr>
                <w:rFonts w:eastAsia="Calibri" w:cs="Calibri"/>
                <w:b/>
                <w:color w:val="3F6E92"/>
                <w:sz w:val="18"/>
              </w:rPr>
              <w:t>Approaching</w:t>
            </w:r>
          </w:p>
        </w:tc>
        <w:tc>
          <w:tcPr>
            <w:tcW w:w="6080" w:type="dxa"/>
            <w:shd w:val="clear" w:color="auto" w:fill="E8F1F7"/>
            <w:tcMar>
              <w:top w:w="80" w:type="dxa"/>
              <w:left w:w="120" w:type="dxa"/>
              <w:bottom w:w="80" w:type="dxa"/>
              <w:right w:w="120" w:type="dxa"/>
            </w:tcMar>
            <w:vAlign w:val="center"/>
          </w:tcPr>
          <w:p w14:paraId="0D680834" w14:textId="77777777" w:rsidR="005961EB" w:rsidRDefault="00C71850">
            <w:pPr>
              <w:spacing w:after="0" w:line="259" w:lineRule="auto"/>
            </w:pPr>
            <w:r>
              <w:rPr>
                <w:rFonts w:eastAsia="Calibri" w:cs="Calibri"/>
                <w:sz w:val="18"/>
              </w:rPr>
              <w:t>You demonstrate much of the skill, but the result is partial or not yet consistent.</w:t>
            </w:r>
          </w:p>
        </w:tc>
      </w:tr>
      <w:tr w:rsidR="005961EB" w14:paraId="52CF7647" w14:textId="77777777">
        <w:trPr>
          <w:cantSplit/>
        </w:trPr>
        <w:tc>
          <w:tcPr>
            <w:tcW w:w="1080" w:type="dxa"/>
            <w:shd w:val="clear" w:color="auto" w:fill="E6F3EC"/>
            <w:tcMar>
              <w:top w:w="80" w:type="dxa"/>
              <w:left w:w="120" w:type="dxa"/>
              <w:bottom w:w="80" w:type="dxa"/>
              <w:right w:w="120" w:type="dxa"/>
            </w:tcMar>
            <w:vAlign w:val="center"/>
          </w:tcPr>
          <w:p w14:paraId="46DD0C95" w14:textId="77777777" w:rsidR="005961EB" w:rsidRDefault="00C71850">
            <w:pPr>
              <w:spacing w:after="0" w:line="259" w:lineRule="auto"/>
              <w:jc w:val="center"/>
            </w:pPr>
            <w:r>
              <w:rPr>
                <w:rFonts w:ascii="DejaVu Sans Mono" w:eastAsia="DejaVu Sans Mono" w:hAnsi="DejaVu Sans Mono" w:cs="DejaVu Sans Mono"/>
                <w:b/>
                <w:color w:val="257A4D"/>
                <w:sz w:val="27"/>
              </w:rPr>
              <w:t>3</w:t>
            </w:r>
          </w:p>
        </w:tc>
        <w:tc>
          <w:tcPr>
            <w:tcW w:w="2200" w:type="dxa"/>
            <w:shd w:val="clear" w:color="auto" w:fill="E6F3EC"/>
            <w:tcMar>
              <w:top w:w="80" w:type="dxa"/>
              <w:left w:w="120" w:type="dxa"/>
              <w:bottom w:w="80" w:type="dxa"/>
              <w:right w:w="120" w:type="dxa"/>
            </w:tcMar>
            <w:vAlign w:val="center"/>
          </w:tcPr>
          <w:p w14:paraId="29388613" w14:textId="77777777" w:rsidR="005961EB" w:rsidRDefault="00C71850">
            <w:pPr>
              <w:spacing w:after="0" w:line="259" w:lineRule="auto"/>
            </w:pPr>
            <w:r>
              <w:rPr>
                <w:rFonts w:eastAsia="Calibri" w:cs="Calibri"/>
                <w:b/>
                <w:color w:val="257A4D"/>
                <w:sz w:val="18"/>
              </w:rPr>
              <w:t>Master</w:t>
            </w:r>
          </w:p>
        </w:tc>
        <w:tc>
          <w:tcPr>
            <w:tcW w:w="6080" w:type="dxa"/>
            <w:shd w:val="clear" w:color="auto" w:fill="E6F3EC"/>
            <w:tcMar>
              <w:top w:w="80" w:type="dxa"/>
              <w:left w:w="120" w:type="dxa"/>
              <w:bottom w:w="80" w:type="dxa"/>
              <w:right w:w="120" w:type="dxa"/>
            </w:tcMar>
            <w:vAlign w:val="center"/>
          </w:tcPr>
          <w:p w14:paraId="787C477D" w14:textId="77777777" w:rsidR="005961EB" w:rsidRDefault="00C71850">
            <w:pPr>
              <w:spacing w:after="0" w:line="259" w:lineRule="auto"/>
            </w:pPr>
            <w:r>
              <w:rPr>
                <w:rFonts w:eastAsia="Calibri" w:cs="Calibri"/>
                <w:sz w:val="18"/>
              </w:rPr>
              <w:t>You independently and consistently meet the course expectation.</w:t>
            </w:r>
          </w:p>
        </w:tc>
      </w:tr>
      <w:tr w:rsidR="005961EB" w14:paraId="735F49A2" w14:textId="77777777">
        <w:trPr>
          <w:cantSplit/>
        </w:trPr>
        <w:tc>
          <w:tcPr>
            <w:tcW w:w="1080" w:type="dxa"/>
            <w:shd w:val="clear" w:color="auto" w:fill="FFF4DD"/>
            <w:tcMar>
              <w:top w:w="80" w:type="dxa"/>
              <w:left w:w="120" w:type="dxa"/>
              <w:bottom w:w="80" w:type="dxa"/>
              <w:right w:w="120" w:type="dxa"/>
            </w:tcMar>
            <w:vAlign w:val="center"/>
          </w:tcPr>
          <w:p w14:paraId="7BF962F9" w14:textId="77777777" w:rsidR="005961EB" w:rsidRDefault="00C71850">
            <w:pPr>
              <w:spacing w:after="0" w:line="259" w:lineRule="auto"/>
              <w:jc w:val="center"/>
            </w:pPr>
            <w:r>
              <w:rPr>
                <w:rFonts w:ascii="DejaVu Sans Mono" w:eastAsia="DejaVu Sans Mono" w:hAnsi="DejaVu Sans Mono" w:cs="DejaVu Sans Mono"/>
                <w:b/>
                <w:color w:val="A36A00"/>
                <w:sz w:val="27"/>
              </w:rPr>
              <w:t>4</w:t>
            </w:r>
          </w:p>
        </w:tc>
        <w:tc>
          <w:tcPr>
            <w:tcW w:w="2200" w:type="dxa"/>
            <w:shd w:val="clear" w:color="auto" w:fill="FFF4DD"/>
            <w:tcMar>
              <w:top w:w="80" w:type="dxa"/>
              <w:left w:w="120" w:type="dxa"/>
              <w:bottom w:w="80" w:type="dxa"/>
              <w:right w:w="120" w:type="dxa"/>
            </w:tcMar>
            <w:vAlign w:val="center"/>
          </w:tcPr>
          <w:p w14:paraId="2956DADA" w14:textId="77777777" w:rsidR="005961EB" w:rsidRDefault="00C71850">
            <w:pPr>
              <w:spacing w:after="0" w:line="259" w:lineRule="auto"/>
            </w:pPr>
            <w:r>
              <w:rPr>
                <w:rFonts w:eastAsia="Calibri" w:cs="Calibri"/>
                <w:b/>
                <w:color w:val="A36A00"/>
                <w:sz w:val="18"/>
              </w:rPr>
              <w:t>Extended</w:t>
            </w:r>
          </w:p>
        </w:tc>
        <w:tc>
          <w:tcPr>
            <w:tcW w:w="6080" w:type="dxa"/>
            <w:shd w:val="clear" w:color="auto" w:fill="FFF4DD"/>
            <w:tcMar>
              <w:top w:w="80" w:type="dxa"/>
              <w:left w:w="120" w:type="dxa"/>
              <w:bottom w:w="80" w:type="dxa"/>
              <w:right w:w="120" w:type="dxa"/>
            </w:tcMar>
            <w:vAlign w:val="center"/>
          </w:tcPr>
          <w:p w14:paraId="0416A25C" w14:textId="77777777" w:rsidR="005961EB" w:rsidRDefault="00C71850">
            <w:pPr>
              <w:spacing w:after="0" w:line="259" w:lineRule="auto"/>
            </w:pPr>
            <w:r>
              <w:rPr>
                <w:rFonts w:eastAsia="Calibri" w:cs="Calibri"/>
                <w:sz w:val="18"/>
              </w:rPr>
              <w:t xml:space="preserve">You transfer, connect, or apply the skill beyond the </w:t>
            </w:r>
            <w:r>
              <w:rPr>
                <w:rFonts w:eastAsia="Calibri" w:cs="Calibri"/>
                <w:sz w:val="18"/>
              </w:rPr>
              <w:t>expected level.</w:t>
            </w:r>
          </w:p>
        </w:tc>
      </w:tr>
    </w:tbl>
    <w:p w14:paraId="2998BE1E" w14:textId="77777777" w:rsidR="005961EB" w:rsidRDefault="00C71850">
      <w:pPr>
        <w:pStyle w:val="Heading1"/>
        <w:spacing w:before="200" w:after="100"/>
      </w:pPr>
      <w:r>
        <w:t>The Evidence Structure</w:t>
      </w:r>
    </w:p>
    <w:p w14:paraId="63C25EE3" w14:textId="77777777" w:rsidR="005961EB" w:rsidRDefault="00C71850">
      <w:pPr>
        <w:spacing w:after="140"/>
      </w:pPr>
      <w:r>
        <w:rPr>
          <w:rFonts w:eastAsia="Calibri" w:cs="Calibri"/>
          <w:sz w:val="20"/>
        </w:rPr>
        <w:t>These familiar routines remain central. They create timely evidence of learning; they are not separate percentage buckets.</w:t>
      </w:r>
    </w:p>
    <w:tbl>
      <w:tblPr>
        <w:tblW w:w="9360" w:type="dxa"/>
        <w:tblInd w:w="120" w:type="dxa"/>
        <w:tblLayout w:type="fixed"/>
        <w:tblLook w:val="04A0" w:firstRow="1" w:lastRow="0" w:firstColumn="1" w:lastColumn="0" w:noHBand="0" w:noVBand="1"/>
      </w:tblPr>
      <w:tblGrid>
        <w:gridCol w:w="1700"/>
        <w:gridCol w:w="3150"/>
        <w:gridCol w:w="4510"/>
      </w:tblGrid>
      <w:tr w:rsidR="005961EB" w14:paraId="418360BD" w14:textId="77777777">
        <w:trPr>
          <w:cantSplit/>
          <w:tblHeader/>
        </w:trPr>
        <w:tc>
          <w:tcPr>
            <w:tcW w:w="1700" w:type="dxa"/>
            <w:shd w:val="clear" w:color="auto" w:fill="17324D"/>
            <w:tcMar>
              <w:top w:w="80" w:type="dxa"/>
              <w:left w:w="120" w:type="dxa"/>
              <w:bottom w:w="80" w:type="dxa"/>
              <w:right w:w="120" w:type="dxa"/>
            </w:tcMar>
            <w:vAlign w:val="center"/>
          </w:tcPr>
          <w:p w14:paraId="32BF0A13" w14:textId="77777777" w:rsidR="005961EB" w:rsidRDefault="00C71850">
            <w:pPr>
              <w:spacing w:after="0" w:line="259" w:lineRule="auto"/>
            </w:pPr>
            <w:r>
              <w:rPr>
                <w:rFonts w:ascii="DejaVu Sans Mono" w:eastAsia="DejaVu Sans Mono" w:hAnsi="DejaVu Sans Mono" w:cs="DejaVu Sans Mono"/>
                <w:b/>
                <w:color w:val="FFFFFF"/>
                <w:sz w:val="16"/>
              </w:rPr>
              <w:t>EVIDENCE SOURCE</w:t>
            </w:r>
          </w:p>
        </w:tc>
        <w:tc>
          <w:tcPr>
            <w:tcW w:w="3150" w:type="dxa"/>
            <w:shd w:val="clear" w:color="auto" w:fill="17324D"/>
            <w:tcMar>
              <w:top w:w="80" w:type="dxa"/>
              <w:left w:w="120" w:type="dxa"/>
              <w:bottom w:w="80" w:type="dxa"/>
              <w:right w:w="120" w:type="dxa"/>
            </w:tcMar>
            <w:vAlign w:val="center"/>
          </w:tcPr>
          <w:p w14:paraId="65F24C0C" w14:textId="77777777" w:rsidR="005961EB" w:rsidRDefault="00C71850">
            <w:pPr>
              <w:spacing w:after="0" w:line="259" w:lineRule="auto"/>
            </w:pPr>
            <w:r>
              <w:rPr>
                <w:rFonts w:ascii="DejaVu Sans Mono" w:eastAsia="DejaVu Sans Mono" w:hAnsi="DejaVu Sans Mono" w:cs="DejaVu Sans Mono"/>
                <w:b/>
                <w:color w:val="FFFFFF"/>
                <w:sz w:val="16"/>
              </w:rPr>
              <w:t>HOW IT SUPPORTS LEARNING</w:t>
            </w:r>
          </w:p>
        </w:tc>
        <w:tc>
          <w:tcPr>
            <w:tcW w:w="4510" w:type="dxa"/>
            <w:shd w:val="clear" w:color="auto" w:fill="17324D"/>
            <w:tcMar>
              <w:top w:w="80" w:type="dxa"/>
              <w:left w:w="120" w:type="dxa"/>
              <w:bottom w:w="80" w:type="dxa"/>
              <w:right w:w="120" w:type="dxa"/>
            </w:tcMar>
            <w:vAlign w:val="center"/>
          </w:tcPr>
          <w:p w14:paraId="1B5C5DB3" w14:textId="77777777" w:rsidR="005961EB" w:rsidRDefault="00C71850">
            <w:pPr>
              <w:spacing w:after="0" w:line="259" w:lineRule="auto"/>
            </w:pPr>
            <w:r>
              <w:rPr>
                <w:rFonts w:ascii="DejaVu Sans Mono" w:eastAsia="DejaVu Sans Mono" w:hAnsi="DejaVu Sans Mono" w:cs="DejaVu Sans Mono"/>
                <w:b/>
                <w:color w:val="FFFFFF"/>
                <w:sz w:val="16"/>
              </w:rPr>
              <w:t>KEY EXPECTATIONS</w:t>
            </w:r>
          </w:p>
        </w:tc>
      </w:tr>
      <w:tr w:rsidR="005961EB" w14:paraId="2EA69CE2" w14:textId="77777777">
        <w:trPr>
          <w:cantSplit/>
        </w:trPr>
        <w:tc>
          <w:tcPr>
            <w:tcW w:w="1700" w:type="dxa"/>
            <w:shd w:val="clear" w:color="auto" w:fill="FFFFFF"/>
            <w:tcMar>
              <w:top w:w="80" w:type="dxa"/>
              <w:left w:w="120" w:type="dxa"/>
              <w:bottom w:w="80" w:type="dxa"/>
              <w:right w:w="120" w:type="dxa"/>
            </w:tcMar>
            <w:vAlign w:val="center"/>
          </w:tcPr>
          <w:p w14:paraId="6822FBCA" w14:textId="77777777" w:rsidR="005961EB" w:rsidRDefault="00C71850">
            <w:pPr>
              <w:spacing w:after="0" w:line="259" w:lineRule="auto"/>
            </w:pPr>
            <w:r>
              <w:rPr>
                <w:rFonts w:eastAsia="Calibri" w:cs="Calibri"/>
                <w:b/>
                <w:color w:val="17324D"/>
                <w:sz w:val="17"/>
              </w:rPr>
              <w:t>Tickets Out the Door</w:t>
            </w:r>
          </w:p>
        </w:tc>
        <w:tc>
          <w:tcPr>
            <w:tcW w:w="3150" w:type="dxa"/>
            <w:shd w:val="clear" w:color="auto" w:fill="FFFFFF"/>
            <w:tcMar>
              <w:top w:w="80" w:type="dxa"/>
              <w:left w:w="120" w:type="dxa"/>
              <w:bottom w:w="80" w:type="dxa"/>
              <w:right w:w="120" w:type="dxa"/>
            </w:tcMar>
            <w:vAlign w:val="center"/>
          </w:tcPr>
          <w:p w14:paraId="21225904" w14:textId="77777777" w:rsidR="005961EB" w:rsidRDefault="00C71850">
            <w:pPr>
              <w:spacing w:after="0" w:line="259" w:lineRule="auto"/>
            </w:pPr>
            <w:r>
              <w:rPr>
                <w:rFonts w:eastAsia="Calibri" w:cs="Calibri"/>
                <w:sz w:val="17"/>
              </w:rPr>
              <w:t xml:space="preserve">Guided </w:t>
            </w:r>
            <w:r>
              <w:rPr>
                <w:rFonts w:eastAsia="Calibri" w:cs="Calibri"/>
                <w:sz w:val="17"/>
              </w:rPr>
              <w:t>practice during instruction helps you process new ideas and gives your teacher timely feedback.</w:t>
            </w:r>
          </w:p>
        </w:tc>
        <w:tc>
          <w:tcPr>
            <w:tcW w:w="4510" w:type="dxa"/>
            <w:shd w:val="clear" w:color="auto" w:fill="FFFFFF"/>
            <w:tcMar>
              <w:top w:w="80" w:type="dxa"/>
              <w:left w:w="120" w:type="dxa"/>
              <w:bottom w:w="80" w:type="dxa"/>
              <w:right w:w="120" w:type="dxa"/>
            </w:tcMar>
            <w:vAlign w:val="center"/>
          </w:tcPr>
          <w:p w14:paraId="3DBD9FC2" w14:textId="77777777" w:rsidR="005961EB" w:rsidRDefault="00C71850">
            <w:pPr>
              <w:spacing w:after="0" w:line="259" w:lineRule="auto"/>
            </w:pPr>
            <w:r>
              <w:rPr>
                <w:rFonts w:eastAsia="Calibri" w:cs="Calibri"/>
                <w:sz w:val="17"/>
              </w:rPr>
              <w:t>Complete them if absent. Related tickets must be current before reassessment; all are due by the quarter cutoff.</w:t>
            </w:r>
          </w:p>
        </w:tc>
      </w:tr>
      <w:tr w:rsidR="005961EB" w14:paraId="13041235" w14:textId="77777777">
        <w:trPr>
          <w:cantSplit/>
        </w:trPr>
        <w:tc>
          <w:tcPr>
            <w:tcW w:w="1700" w:type="dxa"/>
            <w:shd w:val="clear" w:color="auto" w:fill="EAF1F6"/>
            <w:tcMar>
              <w:top w:w="80" w:type="dxa"/>
              <w:left w:w="120" w:type="dxa"/>
              <w:bottom w:w="80" w:type="dxa"/>
              <w:right w:w="120" w:type="dxa"/>
            </w:tcMar>
            <w:vAlign w:val="center"/>
          </w:tcPr>
          <w:p w14:paraId="48DD67E9" w14:textId="77777777" w:rsidR="005961EB" w:rsidRDefault="00C71850">
            <w:pPr>
              <w:spacing w:after="0" w:line="259" w:lineRule="auto"/>
            </w:pPr>
            <w:r>
              <w:rPr>
                <w:rFonts w:eastAsia="Calibri" w:cs="Calibri"/>
                <w:b/>
                <w:color w:val="17324D"/>
                <w:sz w:val="17"/>
              </w:rPr>
              <w:t>Weekly Skill Checks</w:t>
            </w:r>
          </w:p>
        </w:tc>
        <w:tc>
          <w:tcPr>
            <w:tcW w:w="3150" w:type="dxa"/>
            <w:shd w:val="clear" w:color="auto" w:fill="EAF1F6"/>
            <w:tcMar>
              <w:top w:w="80" w:type="dxa"/>
              <w:left w:w="120" w:type="dxa"/>
              <w:bottom w:w="80" w:type="dxa"/>
              <w:right w:w="120" w:type="dxa"/>
            </w:tcMar>
            <w:vAlign w:val="center"/>
          </w:tcPr>
          <w:p w14:paraId="70E83F5E" w14:textId="77777777" w:rsidR="005961EB" w:rsidRDefault="00C71850">
            <w:pPr>
              <w:spacing w:after="0" w:line="259" w:lineRule="auto"/>
            </w:pPr>
            <w:r>
              <w:rPr>
                <w:rFonts w:eastAsia="Calibri" w:cs="Calibri"/>
                <w:sz w:val="17"/>
              </w:rPr>
              <w:t xml:space="preserve">At the end of most weeks, </w:t>
            </w:r>
            <w:r>
              <w:rPr>
                <w:rFonts w:eastAsia="Calibri" w:cs="Calibri"/>
                <w:sz w:val="17"/>
              </w:rPr>
              <w:t>a brief handwritten check provides independent evidence of the concepts and skills developed through notes, Tickets Out the Door, and labs.</w:t>
            </w:r>
          </w:p>
        </w:tc>
        <w:tc>
          <w:tcPr>
            <w:tcW w:w="4510" w:type="dxa"/>
            <w:shd w:val="clear" w:color="auto" w:fill="EAF1F6"/>
            <w:tcMar>
              <w:top w:w="80" w:type="dxa"/>
              <w:left w:w="120" w:type="dxa"/>
              <w:bottom w:w="80" w:type="dxa"/>
              <w:right w:w="120" w:type="dxa"/>
            </w:tcMar>
            <w:vAlign w:val="center"/>
          </w:tcPr>
          <w:p w14:paraId="18D3DE4E" w14:textId="77777777" w:rsidR="005961EB" w:rsidRDefault="00C71850">
            <w:pPr>
              <w:spacing w:after="0" w:line="259" w:lineRule="auto"/>
            </w:pPr>
            <w:r>
              <w:rPr>
                <w:rFonts w:eastAsia="Calibri" w:cs="Calibri"/>
                <w:sz w:val="17"/>
              </w:rPr>
              <w:t>Complete each scheduled check independently, without an IDE or AI. Missed skill checks must be completed by the quar</w:t>
            </w:r>
            <w:r>
              <w:rPr>
                <w:rFonts w:eastAsia="Calibri" w:cs="Calibri"/>
                <w:sz w:val="17"/>
              </w:rPr>
              <w:t>ter cutoff on page 3.</w:t>
            </w:r>
          </w:p>
        </w:tc>
      </w:tr>
      <w:tr w:rsidR="005961EB" w14:paraId="4EF13AD6" w14:textId="77777777">
        <w:trPr>
          <w:cantSplit/>
        </w:trPr>
        <w:tc>
          <w:tcPr>
            <w:tcW w:w="1700" w:type="dxa"/>
            <w:shd w:val="clear" w:color="auto" w:fill="FFFFFF"/>
            <w:tcMar>
              <w:top w:w="80" w:type="dxa"/>
              <w:left w:w="120" w:type="dxa"/>
              <w:bottom w:w="80" w:type="dxa"/>
              <w:right w:w="120" w:type="dxa"/>
            </w:tcMar>
            <w:vAlign w:val="center"/>
          </w:tcPr>
          <w:p w14:paraId="1E3B33C1" w14:textId="77777777" w:rsidR="005961EB" w:rsidRDefault="00C71850">
            <w:pPr>
              <w:spacing w:after="0" w:line="259" w:lineRule="auto"/>
            </w:pPr>
            <w:r>
              <w:rPr>
                <w:rFonts w:eastAsia="Calibri" w:cs="Calibri"/>
                <w:b/>
                <w:color w:val="17324D"/>
                <w:sz w:val="17"/>
              </w:rPr>
              <w:t>Lab Guides &amp; Programming Labs</w:t>
            </w:r>
          </w:p>
        </w:tc>
        <w:tc>
          <w:tcPr>
            <w:tcW w:w="3150" w:type="dxa"/>
            <w:shd w:val="clear" w:color="auto" w:fill="FFFFFF"/>
            <w:tcMar>
              <w:top w:w="80" w:type="dxa"/>
              <w:left w:w="120" w:type="dxa"/>
              <w:bottom w:w="80" w:type="dxa"/>
              <w:right w:w="120" w:type="dxa"/>
            </w:tcMar>
            <w:vAlign w:val="center"/>
          </w:tcPr>
          <w:p w14:paraId="603D24F0" w14:textId="77777777" w:rsidR="005961EB" w:rsidRDefault="00C71850">
            <w:pPr>
              <w:spacing w:after="0" w:line="259" w:lineRule="auto"/>
            </w:pPr>
            <w:r>
              <w:rPr>
                <w:rFonts w:eastAsia="Calibri" w:cs="Calibri"/>
                <w:sz w:val="17"/>
              </w:rPr>
              <w:t>Planning, code, output, analysis, and interpretation provide evidence of computational and data-science reasoning.</w:t>
            </w:r>
          </w:p>
        </w:tc>
        <w:tc>
          <w:tcPr>
            <w:tcW w:w="4510" w:type="dxa"/>
            <w:shd w:val="clear" w:color="auto" w:fill="FFFFFF"/>
            <w:tcMar>
              <w:top w:w="80" w:type="dxa"/>
              <w:left w:w="120" w:type="dxa"/>
              <w:bottom w:w="80" w:type="dxa"/>
              <w:right w:w="120" w:type="dxa"/>
            </w:tcMar>
            <w:vAlign w:val="center"/>
          </w:tcPr>
          <w:p w14:paraId="24BF0360" w14:textId="77777777" w:rsidR="005961EB" w:rsidRDefault="00C71850">
            <w:pPr>
              <w:spacing w:after="0" w:line="259" w:lineRule="auto"/>
            </w:pPr>
            <w:r>
              <w:rPr>
                <w:rFonts w:eastAsia="Calibri" w:cs="Calibri"/>
                <w:sz w:val="17"/>
              </w:rPr>
              <w:t xml:space="preserve">Submit complete notebooks or lab guides, including code and explanations. No late </w:t>
            </w:r>
            <w:r>
              <w:rPr>
                <w:rFonts w:eastAsia="Calibri" w:cs="Calibri"/>
                <w:sz w:val="17"/>
              </w:rPr>
              <w:t>penalty; all labs are due by the quarter cutoff.</w:t>
            </w:r>
          </w:p>
        </w:tc>
      </w:tr>
      <w:tr w:rsidR="005961EB" w14:paraId="0DD0F999" w14:textId="77777777">
        <w:trPr>
          <w:cantSplit/>
        </w:trPr>
        <w:tc>
          <w:tcPr>
            <w:tcW w:w="1700" w:type="dxa"/>
            <w:shd w:val="clear" w:color="auto" w:fill="E8F4F2"/>
            <w:tcMar>
              <w:top w:w="80" w:type="dxa"/>
              <w:left w:w="120" w:type="dxa"/>
              <w:bottom w:w="80" w:type="dxa"/>
              <w:right w:w="120" w:type="dxa"/>
            </w:tcMar>
            <w:vAlign w:val="center"/>
          </w:tcPr>
          <w:p w14:paraId="176B1017" w14:textId="77777777" w:rsidR="005961EB" w:rsidRDefault="00C71850">
            <w:pPr>
              <w:spacing w:after="0" w:line="259" w:lineRule="auto"/>
            </w:pPr>
            <w:r>
              <w:rPr>
                <w:rFonts w:eastAsia="Calibri" w:cs="Calibri"/>
                <w:b/>
                <w:color w:val="17324D"/>
                <w:sz w:val="17"/>
              </w:rPr>
              <w:t>Projects</w:t>
            </w:r>
          </w:p>
        </w:tc>
        <w:tc>
          <w:tcPr>
            <w:tcW w:w="3150" w:type="dxa"/>
            <w:shd w:val="clear" w:color="auto" w:fill="E8F4F2"/>
            <w:tcMar>
              <w:top w:w="80" w:type="dxa"/>
              <w:left w:w="120" w:type="dxa"/>
              <w:bottom w:w="80" w:type="dxa"/>
              <w:right w:w="120" w:type="dxa"/>
            </w:tcMar>
            <w:vAlign w:val="center"/>
          </w:tcPr>
          <w:p w14:paraId="01550EDD" w14:textId="77777777" w:rsidR="005961EB" w:rsidRDefault="00C71850">
            <w:pPr>
              <w:spacing w:after="0" w:line="259" w:lineRule="auto"/>
            </w:pPr>
            <w:r>
              <w:rPr>
                <w:rFonts w:eastAsia="Calibri" w:cs="Calibri"/>
                <w:sz w:val="17"/>
              </w:rPr>
              <w:t>Culminating investigations integrate data, programming, visualization, modeling, and communication across several success criteria.</w:t>
            </w:r>
          </w:p>
        </w:tc>
        <w:tc>
          <w:tcPr>
            <w:tcW w:w="4510" w:type="dxa"/>
            <w:shd w:val="clear" w:color="auto" w:fill="E8F4F2"/>
            <w:tcMar>
              <w:top w:w="80" w:type="dxa"/>
              <w:left w:w="120" w:type="dxa"/>
              <w:bottom w:w="80" w:type="dxa"/>
              <w:right w:w="120" w:type="dxa"/>
            </w:tcMar>
            <w:vAlign w:val="center"/>
          </w:tcPr>
          <w:p w14:paraId="3727D2DB" w14:textId="77777777" w:rsidR="005961EB" w:rsidRDefault="00C71850">
            <w:pPr>
              <w:spacing w:after="0" w:line="259" w:lineRule="auto"/>
            </w:pPr>
            <w:r>
              <w:rPr>
                <w:rFonts w:eastAsia="Calibri" w:cs="Calibri"/>
                <w:sz w:val="17"/>
              </w:rPr>
              <w:t>Submit work that reflects your own understanding. Only on-time pr</w:t>
            </w:r>
            <w:r>
              <w:rPr>
                <w:rFonts w:eastAsia="Calibri" w:cs="Calibri"/>
                <w:sz w:val="17"/>
              </w:rPr>
              <w:t>ojects may be revised; late projects are not eligible for reassessment.</w:t>
            </w:r>
          </w:p>
        </w:tc>
      </w:tr>
    </w:tbl>
    <w:p w14:paraId="25041FF3" w14:textId="77777777" w:rsidR="005961EB" w:rsidRDefault="00C71850">
      <w:pPr>
        <w:spacing w:before="100" w:after="0"/>
      </w:pPr>
      <w:r>
        <w:rPr>
          <w:rFonts w:eastAsia="Calibri" w:cs="Calibri"/>
          <w:b/>
          <w:sz w:val="18"/>
        </w:rPr>
        <w:t>Completion alone is not mastery. Evidence must show quality, independence, and consistency.</w:t>
      </w:r>
    </w:p>
    <w:p w14:paraId="2A4A7E0D" w14:textId="77777777" w:rsidR="005961EB" w:rsidRDefault="00C71850">
      <w:r>
        <w:br w:type="page"/>
      </w:r>
    </w:p>
    <w:p w14:paraId="06D28B39" w14:textId="77777777" w:rsidR="005961EB" w:rsidRDefault="00C71850">
      <w:pPr>
        <w:pStyle w:val="Heading1"/>
        <w:spacing w:before="0"/>
      </w:pPr>
      <w:r>
        <w:lastRenderedPageBreak/>
        <w:t>Reassessment, Deadlines &amp; Responsibility</w:t>
      </w:r>
    </w:p>
    <w:p w14:paraId="5633BCA8" w14:textId="77777777" w:rsidR="005961EB" w:rsidRDefault="00C71850">
      <w:pPr>
        <w:pBdr>
          <w:left w:val="single" w:sz="24" w:space="8" w:color="D6A232"/>
        </w:pBdr>
        <w:shd w:val="clear" w:color="auto" w:fill="FFF5DE"/>
        <w:spacing w:before="100" w:after="100" w:line="283" w:lineRule="auto"/>
        <w:ind w:left="86" w:right="86"/>
      </w:pPr>
      <w:r>
        <w:rPr>
          <w:rFonts w:ascii="DejaVu Sans Mono" w:eastAsia="DejaVu Sans Mono" w:hAnsi="DejaVu Sans Mono" w:cs="DejaVu Sans Mono"/>
          <w:b/>
          <w:color w:val="D6A232"/>
          <w:sz w:val="20"/>
        </w:rPr>
        <w:t xml:space="preserve">WHY REASSESS?  </w:t>
      </w:r>
      <w:r>
        <w:rPr>
          <w:rFonts w:eastAsia="Calibri" w:cs="Calibri"/>
        </w:rPr>
        <w:t xml:space="preserve">A reassessment is a new </w:t>
      </w:r>
      <w:r>
        <w:rPr>
          <w:rFonts w:eastAsia="Calibri" w:cs="Calibri"/>
        </w:rPr>
        <w:t>opportunity to demonstrate learning. If it provides stronger evidence, SmartyTracker will reflect the higher level of mastery; reassessment will not lower the level already demonstrated.</w:t>
      </w:r>
    </w:p>
    <w:p w14:paraId="19D966A7" w14:textId="77777777" w:rsidR="005961EB" w:rsidRDefault="005961EB">
      <w:pPr>
        <w:spacing w:after="100" w:line="24" w:lineRule="auto"/>
      </w:pPr>
    </w:p>
    <w:p w14:paraId="4443E48B" w14:textId="77777777" w:rsidR="005961EB" w:rsidRDefault="00C71850">
      <w:pPr>
        <w:pStyle w:val="Heading2"/>
        <w:spacing w:before="60" w:after="80"/>
      </w:pPr>
      <w:r>
        <w:t>Skill Check Reassessment Policy</w:t>
      </w:r>
    </w:p>
    <w:p w14:paraId="7BA37418" w14:textId="77777777" w:rsidR="005961EB" w:rsidRDefault="00C71850">
      <w:pPr>
        <w:spacing w:after="80"/>
      </w:pPr>
      <w:r>
        <w:rPr>
          <w:rFonts w:eastAsia="Calibri" w:cs="Calibri"/>
          <w:sz w:val="20"/>
        </w:rPr>
        <w:t>You may reassess an individual skill</w:t>
      </w:r>
      <w:r>
        <w:rPr>
          <w:rFonts w:eastAsia="Calibri" w:cs="Calibri"/>
          <w:sz w:val="20"/>
        </w:rPr>
        <w:t xml:space="preserve"> check completed during the original class period. Before reassessing, you must:</w:t>
      </w:r>
    </w:p>
    <w:p w14:paraId="48A9C77C" w14:textId="77777777" w:rsidR="005961EB" w:rsidRDefault="00C71850">
      <w:pPr>
        <w:numPr>
          <w:ilvl w:val="0"/>
          <w:numId w:val="1"/>
        </w:numPr>
        <w:spacing w:after="60"/>
      </w:pPr>
      <w:r>
        <w:rPr>
          <w:rFonts w:eastAsia="Calibri" w:cs="Calibri"/>
        </w:rPr>
        <w:t>Be up to date on the labs and Tickets Out the Door connected to the skill check.</w:t>
      </w:r>
    </w:p>
    <w:p w14:paraId="007070C2" w14:textId="77777777" w:rsidR="005961EB" w:rsidRDefault="00C71850">
      <w:pPr>
        <w:numPr>
          <w:ilvl w:val="0"/>
          <w:numId w:val="1"/>
        </w:numPr>
      </w:pPr>
      <w:r>
        <w:rPr>
          <w:rFonts w:eastAsia="Calibri" w:cs="Calibri"/>
        </w:rPr>
        <w:t xml:space="preserve">Complete corrections and reflection </w:t>
      </w:r>
      <w:r>
        <w:rPr>
          <w:rFonts w:eastAsia="Calibri" w:cs="Calibri"/>
        </w:rPr>
        <w:t>on the original skill check.</w:t>
      </w:r>
    </w:p>
    <w:p w14:paraId="74A278CC" w14:textId="77777777" w:rsidR="005961EB" w:rsidRDefault="00C71850">
      <w:pPr>
        <w:spacing w:after="100"/>
      </w:pPr>
      <w:r>
        <w:rPr>
          <w:rFonts w:eastAsia="Calibri" w:cs="Calibri"/>
          <w:sz w:val="20"/>
        </w:rPr>
        <w:t>All reassessments must be completed two weeks before the end of the quarter in which the original skill check was assigned.</w:t>
      </w:r>
    </w:p>
    <w:p w14:paraId="18011E67" w14:textId="77777777" w:rsidR="005961EB" w:rsidRDefault="00C71850">
      <w:pPr>
        <w:pStyle w:val="Heading2"/>
        <w:spacing w:before="100" w:after="80"/>
      </w:pPr>
      <w:r>
        <w:t>Missed Skill Check Policy</w:t>
      </w:r>
    </w:p>
    <w:p w14:paraId="7DF810D5" w14:textId="77777777" w:rsidR="005961EB" w:rsidRDefault="00C71850">
      <w:pPr>
        <w:spacing w:after="60"/>
      </w:pPr>
      <w:r>
        <w:rPr>
          <w:rFonts w:eastAsia="Calibri" w:cs="Calibri"/>
          <w:sz w:val="20"/>
        </w:rPr>
        <w:t xml:space="preserve">If you miss a skill check, you must complete the alternate version to </w:t>
      </w:r>
      <w:r>
        <w:rPr>
          <w:rFonts w:eastAsia="Calibri" w:cs="Calibri"/>
          <w:sz w:val="20"/>
        </w:rPr>
        <w:t>provide the missing evidence. Because the original skill check was not completed during the allotted class period, the alternate skill check receives one attempt and may not be reassessed.</w:t>
      </w:r>
    </w:p>
    <w:p w14:paraId="30AABD28" w14:textId="77777777" w:rsidR="005961EB" w:rsidRDefault="00C71850">
      <w:pPr>
        <w:spacing w:after="100"/>
      </w:pPr>
      <w:r>
        <w:rPr>
          <w:rFonts w:eastAsia="Calibri" w:cs="Calibri"/>
          <w:sz w:val="20"/>
        </w:rPr>
        <w:t xml:space="preserve">All missed skill checks must be completed two weeks before the end </w:t>
      </w:r>
      <w:r>
        <w:rPr>
          <w:rFonts w:eastAsia="Calibri" w:cs="Calibri"/>
          <w:sz w:val="20"/>
        </w:rPr>
        <w:t>of the quarter in which they were assigned.</w:t>
      </w:r>
    </w:p>
    <w:p w14:paraId="21277216" w14:textId="77777777" w:rsidR="005961EB" w:rsidRDefault="00C71850">
      <w:pPr>
        <w:pStyle w:val="Heading2"/>
        <w:spacing w:before="100" w:after="80"/>
      </w:pPr>
      <w:r>
        <w:t>Missing, Late, and Revised Work</w:t>
      </w:r>
    </w:p>
    <w:p w14:paraId="01508592" w14:textId="77777777" w:rsidR="005961EB" w:rsidRDefault="00C71850">
      <w:pPr>
        <w:numPr>
          <w:ilvl w:val="0"/>
          <w:numId w:val="1"/>
        </w:numPr>
        <w:spacing w:after="60"/>
      </w:pPr>
      <w:r>
        <w:rPr>
          <w:rFonts w:eastAsia="Calibri" w:cs="Calibri"/>
        </w:rPr>
        <w:t>In accordance with Boise School District policy, missing and revised work are accepted until two weeks before the end of the quarter in which they were assigned.</w:t>
      </w:r>
    </w:p>
    <w:p w14:paraId="0920E1C6" w14:textId="77777777" w:rsidR="005961EB" w:rsidRDefault="00C71850">
      <w:pPr>
        <w:numPr>
          <w:ilvl w:val="0"/>
          <w:numId w:val="1"/>
        </w:numPr>
        <w:spacing w:after="60"/>
      </w:pPr>
      <w:r>
        <w:rPr>
          <w:rFonts w:eastAsia="Calibri" w:cs="Calibri"/>
        </w:rPr>
        <w:t>Work completed aft</w:t>
      </w:r>
      <w:r>
        <w:rPr>
          <w:rFonts w:eastAsia="Calibri" w:cs="Calibri"/>
        </w:rPr>
        <w:t>er its due date is late. Because on-time work receives priority, late work may not be evaluated until the final two weeks of the quarter.</w:t>
      </w:r>
    </w:p>
    <w:p w14:paraId="4D821118" w14:textId="77777777" w:rsidR="005961EB" w:rsidRDefault="00C71850">
      <w:pPr>
        <w:numPr>
          <w:ilvl w:val="0"/>
          <w:numId w:val="1"/>
        </w:numPr>
        <w:spacing w:after="60"/>
      </w:pPr>
      <w:r>
        <w:rPr>
          <w:rFonts w:eastAsia="Calibri" w:cs="Calibri"/>
        </w:rPr>
        <w:t>Revised work also enters the later grading queue. Late or revised evidence will not change displayed mastery levels or</w:t>
      </w:r>
      <w:r>
        <w:rPr>
          <w:rFonts w:eastAsia="Calibri" w:cs="Calibri"/>
        </w:rPr>
        <w:t xml:space="preserve"> the learning story until it has been reviewed.</w:t>
      </w:r>
    </w:p>
    <w:p w14:paraId="11D6927C" w14:textId="77777777" w:rsidR="005961EB" w:rsidRDefault="00C71850">
      <w:pPr>
        <w:numPr>
          <w:ilvl w:val="0"/>
          <w:numId w:val="1"/>
        </w:numPr>
        <w:spacing w:after="100"/>
      </w:pPr>
      <w:r>
        <w:rPr>
          <w:rFonts w:eastAsia="Calibri" w:cs="Calibri"/>
        </w:rPr>
        <w:t>Only projects submitted by the due date may be revised. Late projects may be accepted through the quarter cutoff, but they are not eligible for revision or reassessment.</w:t>
      </w:r>
    </w:p>
    <w:p w14:paraId="6FBE6939" w14:textId="77777777" w:rsidR="005961EB" w:rsidRDefault="00C71850">
      <w:pPr>
        <w:pStyle w:val="Heading2"/>
        <w:spacing w:before="100" w:after="80"/>
      </w:pPr>
      <w:r>
        <w:t>Academic Integrity</w:t>
      </w:r>
    </w:p>
    <w:p w14:paraId="76D7A92A" w14:textId="77777777" w:rsidR="005961EB" w:rsidRDefault="00C71850">
      <w:r>
        <w:rPr>
          <w:rFonts w:eastAsia="Calibri" w:cs="Calibri"/>
          <w:sz w:val="20"/>
        </w:rPr>
        <w:t xml:space="preserve">You are encouraged </w:t>
      </w:r>
      <w:r>
        <w:rPr>
          <w:rFonts w:eastAsia="Calibri" w:cs="Calibri"/>
          <w:sz w:val="20"/>
        </w:rPr>
        <w:t>to think with classmates and consult appropriate resources, including AI tools when they are explicitly permitted. However, the code, analysis, and written explanations you submit must demonstrate your own understanding. You may be asked to explain, modify</w:t>
      </w:r>
      <w:r>
        <w:rPr>
          <w:rFonts w:eastAsia="Calibri" w:cs="Calibri"/>
          <w:sz w:val="20"/>
        </w:rPr>
        <w:t>, or reproduce your work. Work you cannot explain, or work that is identical or strikingly similar to another submission, cannot be used as evidence of mastery.</w:t>
      </w:r>
    </w:p>
    <w:p w14:paraId="4A819B08" w14:textId="77777777" w:rsidR="005961EB" w:rsidRDefault="00C71850">
      <w:pPr>
        <w:pBdr>
          <w:left w:val="single" w:sz="24" w:space="8" w:color="168C88"/>
        </w:pBdr>
        <w:shd w:val="clear" w:color="auto" w:fill="E8F4F2"/>
        <w:spacing w:before="100" w:after="100" w:line="283" w:lineRule="auto"/>
        <w:ind w:left="86" w:right="86"/>
      </w:pPr>
      <w:r>
        <w:rPr>
          <w:rFonts w:ascii="DejaVu Sans Mono" w:eastAsia="DejaVu Sans Mono" w:hAnsi="DejaVu Sans Mono" w:cs="DejaVu Sans Mono"/>
          <w:b/>
          <w:color w:val="168C88"/>
          <w:sz w:val="20"/>
        </w:rPr>
        <w:t xml:space="preserve">THE QUESTION YOUR GRADE SHOULD ANSWER  </w:t>
      </w:r>
      <w:r>
        <w:rPr>
          <w:rFonts w:eastAsia="Calibri" w:cs="Calibri"/>
        </w:rPr>
        <w:t>What can you demonstrate now? Check SmartyTracker regula</w:t>
      </w:r>
      <w:r>
        <w:rPr>
          <w:rFonts w:eastAsia="Calibri" w:cs="Calibri"/>
        </w:rPr>
        <w:t>rly, use feedback, complete missing evidence, and reassess when you are ready to show growth.</w:t>
      </w:r>
    </w:p>
    <w:p w14:paraId="69255599" w14:textId="77777777" w:rsidR="005961EB" w:rsidRDefault="005961EB">
      <w:pPr>
        <w:spacing w:after="0" w:line="24" w:lineRule="auto"/>
      </w:pPr>
    </w:p>
    <w:sectPr w:rsidR="005961EB" w:rsidSect="00034616">
      <w:headerReference w:type="even" r:id="rId8"/>
      <w:headerReference w:type="default" r:id="rId9"/>
      <w:footerReference w:type="even" r:id="rId10"/>
      <w:footerReference w:type="default" r:id="rId11"/>
      <w:pgSz w:w="12240" w:h="15840"/>
      <w:pgMar w:top="1181" w:right="1440" w:bottom="1037" w:left="1440" w:header="518"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22C611" w14:textId="77777777" w:rsidR="00C71850" w:rsidRDefault="00C71850">
      <w:pPr>
        <w:spacing w:after="0" w:line="240" w:lineRule="auto"/>
      </w:pPr>
      <w:r>
        <w:separator/>
      </w:r>
    </w:p>
  </w:endnote>
  <w:endnote w:type="continuationSeparator" w:id="0">
    <w:p w14:paraId="09A98A9A" w14:textId="77777777" w:rsidR="00C71850" w:rsidRDefault="00C71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EDABD6" w14:textId="77777777" w:rsidR="005961EB" w:rsidRDefault="00C71850">
    <w:pPr>
      <w:pStyle w:val="Footer"/>
      <w:tabs>
        <w:tab w:val="right" w:pos="9360"/>
      </w:tabs>
    </w:pPr>
    <w:r>
      <w:rPr>
        <w:rFonts w:ascii="DejaVu Sans Mono" w:eastAsia="DejaVu Sans Mono" w:hAnsi="DejaVu Sans Mono" w:cs="DejaVu Sans Mono"/>
        <w:color w:val="5F7082"/>
        <w:sz w:val="16"/>
      </w:rPr>
      <w:t>EVIDENCE | FEEDBACK | GROWTH | MASTERY</w:t>
    </w:r>
    <w:r>
      <w:tab/>
    </w:r>
    <w:r>
      <w:rPr>
        <w:rFonts w:ascii="DejaVu Sans Mono" w:eastAsia="DejaVu Sans Mono" w:hAnsi="DejaVu Sans Mono" w:cs="DejaVu Sans Mono"/>
        <w:color w:val="5F7082"/>
        <w:sz w:val="16"/>
      </w:rPr>
      <w:t xml:space="preserve">PAGE </w:t>
    </w:r>
    <w:r>
      <w:rPr>
        <w:rFonts w:ascii="DejaVu Sans Mono" w:eastAsia="DejaVu Sans Mono" w:hAnsi="DejaVu Sans Mono" w:cs="DejaVu Sans Mono"/>
        <w:color w:val="5F7082"/>
        <w:sz w:val="17"/>
      </w:rPr>
      <w:fldChar w:fldCharType="begin"/>
    </w:r>
    <w:r>
      <w:rPr>
        <w:rFonts w:ascii="DejaVu Sans Mono" w:eastAsia="DejaVu Sans Mono" w:hAnsi="DejaVu Sans Mono" w:cs="DejaVu Sans Mono"/>
        <w:color w:val="5F7082"/>
        <w:sz w:val="17"/>
      </w:rPr>
      <w:instrText xml:space="preserve"> PAGE </w:instrText>
    </w:r>
    <w:r>
      <w:rPr>
        <w:rFonts w:ascii="DejaVu Sans Mono" w:eastAsia="DejaVu Sans Mono" w:hAnsi="DejaVu Sans Mono" w:cs="DejaVu Sans Mono"/>
        <w:color w:val="5F7082"/>
        <w:sz w:val="17"/>
      </w:rPr>
      <w:fldChar w:fldCharType="separate"/>
    </w:r>
    <w:r>
      <w:rPr>
        <w:rFonts w:ascii="DejaVu Sans Mono" w:eastAsia="DejaVu Sans Mono" w:hAnsi="DejaVu Sans Mono" w:cs="DejaVu Sans Mono"/>
        <w:color w:val="5F7082"/>
        <w:sz w:val="17"/>
      </w:rPr>
      <w:t>1</w:t>
    </w:r>
    <w:r>
      <w:rPr>
        <w:rFonts w:ascii="DejaVu Sans Mono" w:eastAsia="DejaVu Sans Mono" w:hAnsi="DejaVu Sans Mono" w:cs="DejaVu Sans Mono"/>
        <w:color w:val="5F7082"/>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D1950D" w14:textId="77777777" w:rsidR="005961EB" w:rsidRDefault="00C71850">
    <w:pPr>
      <w:pStyle w:val="Footer"/>
      <w:tabs>
        <w:tab w:val="right" w:pos="9360"/>
      </w:tabs>
    </w:pPr>
    <w:r>
      <w:rPr>
        <w:rFonts w:ascii="DejaVu Sans Mono" w:eastAsia="DejaVu Sans Mono" w:hAnsi="DejaVu Sans Mono" w:cs="DejaVu Sans Mono"/>
        <w:color w:val="5F7082"/>
        <w:sz w:val="16"/>
      </w:rPr>
      <w:t>EVIDENCE | FEEDBACK | GROWTH | MASTERY</w:t>
    </w:r>
    <w:r>
      <w:tab/>
    </w:r>
    <w:r>
      <w:rPr>
        <w:rFonts w:ascii="DejaVu Sans Mono" w:eastAsia="DejaVu Sans Mono" w:hAnsi="DejaVu Sans Mono" w:cs="DejaVu Sans Mono"/>
        <w:color w:val="5F7082"/>
        <w:sz w:val="16"/>
      </w:rPr>
      <w:t xml:space="preserve">PAGE </w:t>
    </w:r>
    <w:r>
      <w:rPr>
        <w:rFonts w:ascii="DejaVu Sans Mono" w:eastAsia="DejaVu Sans Mono" w:hAnsi="DejaVu Sans Mono" w:cs="DejaVu Sans Mono"/>
        <w:color w:val="5F7082"/>
        <w:sz w:val="17"/>
      </w:rPr>
      <w:fldChar w:fldCharType="begin"/>
    </w:r>
    <w:r>
      <w:rPr>
        <w:rFonts w:ascii="DejaVu Sans Mono" w:eastAsia="DejaVu Sans Mono" w:hAnsi="DejaVu Sans Mono" w:cs="DejaVu Sans Mono"/>
        <w:color w:val="5F7082"/>
        <w:sz w:val="17"/>
      </w:rPr>
      <w:instrText xml:space="preserve"> PAGE </w:instrText>
    </w:r>
    <w:r>
      <w:rPr>
        <w:rFonts w:ascii="DejaVu Sans Mono" w:eastAsia="DejaVu Sans Mono" w:hAnsi="DejaVu Sans Mono" w:cs="DejaVu Sans Mono"/>
        <w:color w:val="5F7082"/>
        <w:sz w:val="17"/>
      </w:rPr>
      <w:fldChar w:fldCharType="separate"/>
    </w:r>
    <w:r>
      <w:rPr>
        <w:rFonts w:ascii="DejaVu Sans Mono" w:eastAsia="DejaVu Sans Mono" w:hAnsi="DejaVu Sans Mono" w:cs="DejaVu Sans Mono"/>
        <w:color w:val="5F7082"/>
        <w:sz w:val="17"/>
      </w:rPr>
      <w:t>1</w:t>
    </w:r>
    <w:r>
      <w:rPr>
        <w:rFonts w:ascii="DejaVu Sans Mono" w:eastAsia="DejaVu Sans Mono" w:hAnsi="DejaVu Sans Mono" w:cs="DejaVu Sans Mono"/>
        <w:color w:val="5F708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F6C21C" w14:textId="77777777" w:rsidR="00C71850" w:rsidRDefault="00C71850">
      <w:pPr>
        <w:spacing w:after="0" w:line="240" w:lineRule="auto"/>
      </w:pPr>
      <w:r>
        <w:separator/>
      </w:r>
    </w:p>
  </w:footnote>
  <w:footnote w:type="continuationSeparator" w:id="0">
    <w:p w14:paraId="743B500B" w14:textId="77777777" w:rsidR="00C71850" w:rsidRDefault="00C71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E30A06" w14:textId="77777777" w:rsidR="005961EB" w:rsidRDefault="00C71850">
    <w:pPr>
      <w:pStyle w:val="Header"/>
      <w:pBdr>
        <w:bottom w:val="single" w:sz="4" w:space="5" w:color="CAD5DF"/>
      </w:pBdr>
      <w:tabs>
        <w:tab w:val="right" w:pos="9360"/>
      </w:tabs>
    </w:pPr>
    <w:r>
      <w:rPr>
        <w:rFonts w:ascii="DejaVu Sans Mono" w:eastAsia="DejaVu Sans Mono" w:hAnsi="DejaVu Sans Mono" w:cs="DejaVu Sans Mono"/>
        <w:b/>
        <w:color w:val="17324D"/>
        <w:sz w:val="17"/>
      </w:rPr>
      <w:t>DATA SCIENCE WITH PYTHON</w:t>
    </w:r>
    <w:r>
      <w:tab/>
    </w:r>
    <w:r>
      <w:rPr>
        <w:rFonts w:ascii="DejaVu Sans Mono" w:eastAsia="DejaVu Sans Mono" w:hAnsi="DejaVu Sans Mono" w:cs="DejaVu Sans Mono"/>
        <w:b/>
        <w:color w:val="168C88"/>
        <w:sz w:val="17"/>
      </w:rPr>
      <w:t>LEARNING &amp; GRADING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1030D5" w14:textId="77777777" w:rsidR="005961EB" w:rsidRDefault="00C71850">
    <w:pPr>
      <w:pStyle w:val="Header"/>
      <w:pBdr>
        <w:bottom w:val="single" w:sz="4" w:space="5" w:color="CAD5DF"/>
      </w:pBdr>
      <w:tabs>
        <w:tab w:val="right" w:pos="9360"/>
      </w:tabs>
    </w:pPr>
    <w:r>
      <w:rPr>
        <w:rFonts w:ascii="DejaVu Sans Mono" w:eastAsia="DejaVu Sans Mono" w:hAnsi="DejaVu Sans Mono" w:cs="DejaVu Sans Mono"/>
        <w:b/>
        <w:color w:val="17324D"/>
        <w:sz w:val="17"/>
      </w:rPr>
      <w:t>DATA SCIENCE WITH PYTHON</w:t>
    </w:r>
    <w:r>
      <w:tab/>
    </w:r>
    <w:r>
      <w:rPr>
        <w:rFonts w:ascii="DejaVu Sans Mono" w:eastAsia="DejaVu Sans Mono" w:hAnsi="DejaVu Sans Mono" w:cs="DejaVu Sans Mono"/>
        <w:b/>
        <w:color w:val="168C88"/>
        <w:sz w:val="17"/>
      </w:rPr>
      <w:t>LEARNING &amp; GRADING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4C76108"/>
    <w:multiLevelType w:val="singleLevel"/>
    <w:tmpl w:val="87EA8D82"/>
    <w:lvl w:ilvl="0">
      <w:start w:val="1"/>
      <w:numFmt w:val="decimal"/>
      <w:pStyle w:val="ListBullet"/>
      <w:lvlText w:val="%1."/>
      <w:lvlJc w:val="right"/>
      <w:pPr>
        <w:tabs>
          <w:tab w:val="num" w:pos="720"/>
        </w:tabs>
        <w:spacing w:after="80" w:line="276" w:lineRule="auto"/>
        <w:ind w:left="720" w:hanging="360"/>
      </w:pPr>
      <w:rPr>
        <w:rFonts w:ascii="Calibri" w:hAnsi="Calibri"/>
      </w:r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3D42"/>
    <w:rsid w:val="005961EB"/>
    <w:rsid w:val="008A609F"/>
    <w:rsid w:val="00AA1D8D"/>
    <w:rsid w:val="00B47730"/>
    <w:rsid w:val="00C718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B1262"/>
  <w14:defaultImageDpi w14:val="300"/>
  <w15:docId w15:val="{886CB1C9-3D05-4723-A8D7-588BC52C5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8324F"/>
      <w:sz w:val="21"/>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b/>
      <w:bCs/>
      <w:color w:val="168C8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Kicker">
    <w:name w:val="Guide Kicker"/>
    <w:pPr>
      <w:keepNext/>
      <w:spacing w:before="480" w:after="140"/>
    </w:pPr>
    <w:rPr>
      <w:rFonts w:ascii="DejaVu Sans Mono" w:hAnsi="DejaVu Sans Mono"/>
      <w:b/>
      <w:color w:val="168C88"/>
      <w:sz w:val="19"/>
    </w:rPr>
  </w:style>
  <w:style w:type="paragraph" w:customStyle="1" w:styleId="GuideTitle">
    <w:name w:val="Guide Title"/>
    <w:pPr>
      <w:keepNext/>
      <w:spacing w:after="120"/>
    </w:pPr>
    <w:rPr>
      <w:rFonts w:ascii="Calibri" w:hAnsi="Calibri"/>
      <w:b/>
      <w:color w:val="17324D"/>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with Python Learning and Grading Guide</dc:title>
  <dc:subject>Standards-based reporting, SmartyTracker, and Boise State concurrent credit</dc:subject>
  <dc:creator>Heidi Pluska</dc:creator>
  <cp:keywords>Data Science with Python, standards-based reporting, SmartyTracker, CS 133, Boise State, concurrent enrollment</cp:keywords>
  <dc:description>Revised from the 2025-2026 category-weighted grading policy.</dc:description>
  <cp:lastModifiedBy>Heidi Pluska</cp:lastModifiedBy>
  <cp:revision>3</cp:revision>
  <dcterms:created xsi:type="dcterms:W3CDTF">2026-08-12T17:23:00Z</dcterms:created>
  <dcterms:modified xsi:type="dcterms:W3CDTF">2026-08-12T17:24:00Z</dcterms:modified>
  <cp:category/>
</cp:coreProperties>
</file>