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Arial" w:hAnsi="Arial"/>
          <w:b/>
          <w:i w:val="0"/>
          <w:color w:val="599591"/>
          <w:sz w:val="40"/>
        </w:rPr>
        <w:t>NOH Maternity Programme</w:t>
      </w:r>
    </w:p>
    <w:p>
      <w:pPr>
        <w:jc w:val="center"/>
      </w:pPr>
      <w:r>
        <w:rPr>
          <w:rFonts w:ascii="Arial" w:hAnsi="Arial"/>
          <w:b w:val="0"/>
          <w:i w:val="0"/>
          <w:color w:val="000000"/>
          <w:sz w:val="28"/>
        </w:rPr>
        <w:t>24-Month Cashflow Model — Project Description</w:t>
      </w:r>
    </w:p>
    <w:p>
      <w:pPr>
        <w:jc w:val="center"/>
      </w:pPr>
      <w:r>
        <w:rPr>
          <w:rFonts w:ascii="Arial" w:hAnsi="Arial"/>
          <w:b w:val="0"/>
          <w:i/>
          <w:color w:val="606060"/>
          <w:sz w:val="20"/>
        </w:rPr>
        <w:t>Version 1.0  |  2 March 2026  |  NOH Expansion Workbench</w:t>
      </w:r>
    </w:p>
    <w:p>
      <w:r>
        <w:br w:type="page"/>
      </w:r>
    </w:p>
    <w:p>
      <w:pPr>
        <w:spacing w:before="320" w:after="80"/>
      </w:pPr>
      <w:r>
        <w:rPr>
          <w:rFonts w:ascii="Arial" w:hAnsi="Arial"/>
          <w:b/>
          <w:i w:val="0"/>
          <w:color w:val="599591"/>
          <w:sz w:val="28"/>
        </w:rPr>
        <w:t>1. Purpose</w:t>
      </w:r>
    </w:p>
    <w:p>
      <w:pPr>
        <w:spacing w:after="120"/>
      </w:pPr>
      <w:r>
        <w:rPr>
          <w:rFonts w:ascii="Arial" w:hAnsi="Arial"/>
          <w:b w:val="0"/>
          <w:i w:val="0"/>
          <w:color w:val="000000"/>
          <w:sz w:val="22"/>
        </w:rPr>
        <w:t>This document describes the NOH Maternity Programme cashflow model — what it does, why it was built, the decisions and assumptions it encodes, and how to maintain and update it. It serves as the primary reference for anyone working with the model or the dashboard.</w:t>
      </w:r>
    </w:p>
    <w:p/>
    <w:p>
      <w:pPr>
        <w:spacing w:after="120"/>
      </w:pPr>
      <w:r>
        <w:rPr>
          <w:rFonts w:ascii="Arial" w:hAnsi="Arial"/>
          <w:b w:val="0"/>
          <w:i w:val="0"/>
          <w:color w:val="000000"/>
          <w:sz w:val="22"/>
        </w:rPr>
        <w:t>The model was built to support commercial negotiations with a hospital group partner, with the objective of demonstrating programme financial viability, quantifying the impact of different partnership terms, and providing a live negotiation tool that can be used in real-time discussions.</w:t>
      </w:r>
    </w:p>
    <w:p>
      <w:pPr>
        <w:spacing w:before="320" w:after="80"/>
      </w:pPr>
      <w:r>
        <w:rPr>
          <w:rFonts w:ascii="Arial" w:hAnsi="Arial"/>
          <w:b/>
          <w:i w:val="0"/>
          <w:color w:val="599591"/>
          <w:sz w:val="28"/>
        </w:rPr>
        <w:t>2. Context</w:t>
      </w:r>
    </w:p>
    <w:p>
      <w:pPr>
        <w:spacing w:after="120"/>
      </w:pPr>
      <w:r>
        <w:rPr>
          <w:rFonts w:ascii="Arial" w:hAnsi="Arial"/>
          <w:b w:val="0"/>
          <w:i w:val="0"/>
          <w:color w:val="000000"/>
          <w:sz w:val="22"/>
        </w:rPr>
        <w:t>NOH is establishing a midwifery-led maternity programme at a private hospital in Rustenburg. The programme is designed to:</w:t>
      </w:r>
    </w:p>
    <w:p>
      <w:pPr>
        <w:pStyle w:val="ListBullet"/>
        <w:spacing w:after="60"/>
      </w:pPr>
      <w:r>
        <w:rPr>
          <w:rFonts w:ascii="Arial" w:hAnsi="Arial"/>
          <w:b w:val="0"/>
          <w:i w:val="0"/>
          <w:color w:val="000000"/>
          <w:sz w:val="22"/>
        </w:rPr>
        <w:t>Increase utilisation of existing hospital facilities and personnel</w:t>
      </w:r>
    </w:p>
    <w:p>
      <w:pPr>
        <w:pStyle w:val="ListBullet"/>
        <w:spacing w:after="60"/>
      </w:pPr>
      <w:r>
        <w:rPr>
          <w:rFonts w:ascii="Arial" w:hAnsi="Arial"/>
          <w:b w:val="0"/>
          <w:i w:val="0"/>
          <w:color w:val="000000"/>
          <w:sz w:val="22"/>
        </w:rPr>
        <w:t>Provide a platform for expansion into government and mine health contracts</w:t>
      </w:r>
    </w:p>
    <w:p>
      <w:pPr>
        <w:pStyle w:val="ListBullet"/>
        <w:spacing w:after="60"/>
      </w:pPr>
      <w:r>
        <w:rPr>
          <w:rFonts w:ascii="Arial" w:hAnsi="Arial"/>
          <w:b w:val="0"/>
          <w:i w:val="0"/>
          <w:color w:val="000000"/>
          <w:sz w:val="22"/>
        </w:rPr>
        <w:t>Reduce the caesarean section rate from 42% toward 30% over 24 months</w:t>
      </w:r>
    </w:p>
    <w:p>
      <w:pPr>
        <w:pStyle w:val="ListBullet"/>
        <w:spacing w:after="60"/>
      </w:pPr>
      <w:r>
        <w:rPr>
          <w:rFonts w:ascii="Arial" w:hAnsi="Arial"/>
          <w:b w:val="0"/>
          <w:i w:val="0"/>
          <w:color w:val="000000"/>
          <w:sz w:val="22"/>
        </w:rPr>
        <w:t>Build a sustainable mixed-payer model (medical aid and cash patients)</w:t>
      </w:r>
    </w:p>
    <w:p/>
    <w:p>
      <w:pPr>
        <w:spacing w:after="120"/>
      </w:pPr>
      <w:r>
        <w:rPr>
          <w:rFonts w:ascii="Arial" w:hAnsi="Arial"/>
          <w:b w:val="0"/>
          <w:i w:val="0"/>
          <w:color w:val="000000"/>
          <w:sz w:val="22"/>
        </w:rPr>
        <w:t>The financial model projects programme cashflow over 24 months from launch, disaggregated by cost category, across five scenarios. A live dashboard makes the model accessible to non-technical partners during negotiations.</w:t>
      </w:r>
    </w:p>
    <w:p>
      <w:pPr>
        <w:spacing w:before="320" w:after="80"/>
      </w:pPr>
      <w:r>
        <w:rPr>
          <w:rFonts w:ascii="Arial" w:hAnsi="Arial"/>
          <w:b/>
          <w:i w:val="0"/>
          <w:color w:val="599591"/>
          <w:sz w:val="28"/>
        </w:rPr>
        <w:t>3. What was built</w:t>
      </w:r>
    </w:p>
    <w:p>
      <w:pPr>
        <w:spacing w:before="240" w:after="80"/>
      </w:pPr>
      <w:r>
        <w:rPr>
          <w:rFonts w:ascii="Arial" w:hAnsi="Arial"/>
          <w:b/>
          <w:i w:val="0"/>
          <w:color w:val="599591"/>
          <w:sz w:val="24"/>
        </w:rPr>
        <w:t>3.1 Financial model</w:t>
      </w:r>
    </w:p>
    <w:p>
      <w:pPr>
        <w:spacing w:after="120"/>
      </w:pPr>
      <w:r>
        <w:rPr>
          <w:rFonts w:ascii="Arial" w:hAnsi="Arial"/>
          <w:b w:val="0"/>
          <w:i w:val="0"/>
          <w:color w:val="000000"/>
          <w:sz w:val="22"/>
        </w:rPr>
        <w:t>File: src/scenario_model.py</w:t>
      </w:r>
    </w:p>
    <w:p>
      <w:pPr>
        <w:spacing w:after="120"/>
      </w:pPr>
      <w:r>
        <w:rPr>
          <w:rFonts w:ascii="Arial" w:hAnsi="Arial"/>
          <w:b w:val="0"/>
          <w:i w:val="0"/>
          <w:color w:val="000000"/>
          <w:sz w:val="22"/>
        </w:rPr>
        <w:t>A Python-based disaggregated cashflow model that runs 24 monthly periods for each scenario. Outputs are written to dated CSV files in outputs/.</w:t>
      </w:r>
    </w:p>
    <w:p/>
    <w:p>
      <w:pPr>
        <w:spacing w:after="120"/>
      </w:pPr>
      <w:r>
        <w:rPr>
          <w:rFonts w:ascii="Arial" w:hAnsi="Arial"/>
          <w:b/>
          <w:i w:val="0"/>
          <w:color w:val="000000"/>
          <w:sz w:val="22"/>
        </w:rPr>
        <w:t>Key model features:</w:t>
      </w:r>
    </w:p>
    <w:p>
      <w:pPr>
        <w:pStyle w:val="ListBullet"/>
        <w:spacing w:after="60"/>
      </w:pPr>
      <w:r>
        <w:rPr>
          <w:rFonts w:ascii="Arial" w:hAnsi="Arial"/>
          <w:b w:val="0"/>
          <w:i w:val="0"/>
          <w:color w:val="000000"/>
          <w:sz w:val="22"/>
        </w:rPr>
        <w:t>Linear volume ramp from zero to target births over 24 months</w:t>
      </w:r>
    </w:p>
    <w:p>
      <w:pPr>
        <w:pStyle w:val="ListBullet"/>
        <w:spacing w:after="60"/>
      </w:pPr>
      <w:r>
        <w:rPr>
          <w:rFonts w:ascii="Arial" w:hAnsi="Arial"/>
          <w:b w:val="0"/>
          <w:i w:val="0"/>
          <w:color w:val="000000"/>
          <w:sz w:val="22"/>
        </w:rPr>
        <w:t>CPI price escalation applied monthly to both cash and medical aid prices</w:t>
      </w:r>
    </w:p>
    <w:p>
      <w:pPr>
        <w:pStyle w:val="ListBullet"/>
        <w:spacing w:after="60"/>
      </w:pPr>
      <w:r>
        <w:rPr>
          <w:rFonts w:ascii="Arial" w:hAnsi="Arial"/>
          <w:b w:val="0"/>
          <w:i w:val="0"/>
          <w:color w:val="000000"/>
          <w:sz w:val="22"/>
        </w:rPr>
        <w:t>Disaggregated cost stack: antenatal midwifery, board/facility, MO, anaesthesia, OB pool</w:t>
      </w:r>
    </w:p>
    <w:p>
      <w:pPr>
        <w:pStyle w:val="ListBullet"/>
        <w:spacing w:after="60"/>
      </w:pPr>
      <w:r>
        <w:rPr>
          <w:rFonts w:ascii="Arial" w:hAnsi="Arial"/>
          <w:b w:val="0"/>
          <w:i w:val="0"/>
          <w:color w:val="000000"/>
          <w:sz w:val="22"/>
        </w:rPr>
        <w:t>CS/NVD split with independent ramp toward target CS rate</w:t>
      </w:r>
    </w:p>
    <w:p>
      <w:pPr>
        <w:pStyle w:val="ListBullet"/>
        <w:spacing w:after="60"/>
      </w:pPr>
      <w:r>
        <w:rPr>
          <w:rFonts w:ascii="Arial" w:hAnsi="Arial"/>
          <w:b w:val="0"/>
          <w:i w:val="0"/>
          <w:color w:val="000000"/>
          <w:sz w:val="22"/>
        </w:rPr>
        <w:t>Medical aid share ramp from starting mix to target mix</w:t>
      </w:r>
    </w:p>
    <w:p>
      <w:pPr>
        <w:pStyle w:val="ListBullet"/>
        <w:spacing w:after="60"/>
      </w:pPr>
      <w:r>
        <w:rPr>
          <w:rFonts w:ascii="Arial" w:hAnsi="Arial"/>
          <w:b w:val="0"/>
          <w:i w:val="0"/>
          <w:color w:val="000000"/>
          <w:sz w:val="22"/>
        </w:rPr>
        <w:t>Break-even month calculated per scenario</w:t>
      </w:r>
    </w:p>
    <w:p>
      <w:pPr>
        <w:spacing w:before="240" w:after="80"/>
      </w:pPr>
      <w:r>
        <w:rPr>
          <w:rFonts w:ascii="Arial" w:hAnsi="Arial"/>
          <w:b/>
          <w:i w:val="0"/>
          <w:color w:val="599591"/>
          <w:sz w:val="24"/>
        </w:rPr>
        <w:t>3.2 Live dashboard</w:t>
      </w:r>
    </w:p>
    <w:p>
      <w:pPr>
        <w:spacing w:after="120"/>
      </w:pPr>
      <w:r>
        <w:rPr>
          <w:rFonts w:ascii="Arial" w:hAnsi="Arial"/>
          <w:b w:val="0"/>
          <w:i w:val="0"/>
          <w:color w:val="000000"/>
          <w:sz w:val="22"/>
        </w:rPr>
        <w:t>File: dashboards/app.py</w:t>
      </w:r>
    </w:p>
    <w:p>
      <w:pPr>
        <w:spacing w:after="120"/>
      </w:pPr>
      <w:r>
        <w:rPr>
          <w:rFonts w:ascii="Arial" w:hAnsi="Arial"/>
          <w:b w:val="0"/>
          <w:i w:val="0"/>
          <w:color w:val="000000"/>
          <w:sz w:val="22"/>
        </w:rPr>
        <w:t>URL: https://noh-medicare.streamlit.app/</w:t>
      </w:r>
    </w:p>
    <w:p>
      <w:pPr>
        <w:spacing w:after="120"/>
      </w:pPr>
      <w:r>
        <w:rPr>
          <w:rFonts w:ascii="Arial" w:hAnsi="Arial"/>
          <w:b w:val="0"/>
          <w:i w:val="0"/>
          <w:color w:val="000000"/>
          <w:sz w:val="22"/>
        </w:rPr>
        <w:t>A Streamlit dashboard that loads the latest scenario outputs and includes a Live Negotiation panel with six interactive sliders. The custom scenario recomputes in real time as sliders are adjusted, allowing live what-if analysis during meetings.</w:t>
      </w:r>
    </w:p>
    <w:p>
      <w:pPr>
        <w:spacing w:before="240" w:after="80"/>
      </w:pPr>
      <w:r>
        <w:rPr>
          <w:rFonts w:ascii="Arial" w:hAnsi="Arial"/>
          <w:b/>
          <w:i w:val="0"/>
          <w:color w:val="599591"/>
          <w:sz w:val="24"/>
        </w:rPr>
        <w:t>3.3 Code repositories</w:t>
      </w:r>
    </w:p>
    <w:tbl>
      <w:tblPr>
        <w:tblStyle w:val="TableGrid"/>
        <w:tblW w:type="auto" w:w="0"/>
        <w:tblLook w:firstColumn="1" w:firstRow="1" w:lastColumn="0" w:lastRow="0" w:noHBand="0" w:noVBand="1" w:val="04A0"/>
      </w:tblPr>
      <w:tblGrid>
        <w:gridCol w:w="2928"/>
        <w:gridCol w:w="2928"/>
        <w:gridCol w:w="2928"/>
      </w:tblGrid>
      <w:tr>
        <w:tc>
          <w:tcPr>
            <w:tcW w:type="dxa" w:w="2928"/>
            <w:shd w:fill="D6EDEC"/>
          </w:tcPr>
          <w:p>
            <w:pPr>
              <w:spacing w:after="40"/>
            </w:pPr>
            <w:r>
              <w:rPr>
                <w:rFonts w:ascii="Arial" w:hAnsi="Arial"/>
                <w:b/>
                <w:i w:val="0"/>
                <w:color w:val="000000"/>
                <w:sz w:val="22"/>
              </w:rPr>
              <w:t>Repository</w:t>
            </w:r>
          </w:p>
        </w:tc>
        <w:tc>
          <w:tcPr>
            <w:tcW w:type="dxa" w:w="2928"/>
            <w:shd w:fill="D6EDEC"/>
          </w:tcPr>
          <w:p>
            <w:pPr>
              <w:spacing w:after="40"/>
            </w:pPr>
            <w:r>
              <w:rPr>
                <w:rFonts w:ascii="Arial" w:hAnsi="Arial"/>
                <w:b/>
                <w:i w:val="0"/>
                <w:color w:val="000000"/>
                <w:sz w:val="22"/>
              </w:rPr>
              <w:t>Location</w:t>
            </w:r>
          </w:p>
        </w:tc>
        <w:tc>
          <w:tcPr>
            <w:tcW w:type="dxa" w:w="2928"/>
            <w:shd w:fill="D6EDEC"/>
          </w:tcPr>
          <w:p>
            <w:pPr>
              <w:spacing w:after="40"/>
            </w:pPr>
            <w:r>
              <w:rPr>
                <w:rFonts w:ascii="Arial" w:hAnsi="Arial"/>
                <w:b/>
                <w:i w:val="0"/>
                <w:color w:val="000000"/>
                <w:sz w:val="22"/>
              </w:rPr>
              <w:t>Visibility</w:t>
            </w:r>
          </w:p>
        </w:tc>
      </w:tr>
      <w:tr>
        <w:tc>
          <w:tcPr>
            <w:tcW w:type="dxa" w:w="2928"/>
          </w:tcPr>
          <w:p>
            <w:pPr>
              <w:spacing w:after="40"/>
            </w:pPr>
            <w:r>
              <w:rPr>
                <w:rFonts w:ascii="Arial" w:hAnsi="Arial"/>
                <w:b w:val="0"/>
                <w:i w:val="0"/>
                <w:color w:val="000000"/>
                <w:sz w:val="22"/>
              </w:rPr>
              <w:t>Primary (personal)</w:t>
            </w:r>
          </w:p>
        </w:tc>
        <w:tc>
          <w:tcPr>
            <w:tcW w:type="dxa" w:w="2928"/>
          </w:tcPr>
          <w:p>
            <w:pPr>
              <w:spacing w:after="40"/>
            </w:pPr>
            <w:r>
              <w:rPr>
                <w:rFonts w:ascii="Arial" w:hAnsi="Arial"/>
                <w:b w:val="0"/>
                <w:i w:val="0"/>
                <w:color w:val="000000"/>
                <w:sz w:val="22"/>
              </w:rPr>
              <w:t>github.com/hpmanyonga/noh-expansion-workbench-</w:t>
            </w:r>
          </w:p>
        </w:tc>
        <w:tc>
          <w:tcPr>
            <w:tcW w:type="dxa" w:w="2928"/>
          </w:tcPr>
          <w:p>
            <w:pPr>
              <w:spacing w:after="40"/>
            </w:pPr>
            <w:r>
              <w:rPr>
                <w:rFonts w:ascii="Arial" w:hAnsi="Arial"/>
                <w:b w:val="0"/>
                <w:i w:val="0"/>
                <w:color w:val="000000"/>
                <w:sz w:val="22"/>
              </w:rPr>
              <w:t>Public</w:t>
            </w:r>
          </w:p>
        </w:tc>
      </w:tr>
      <w:tr>
        <w:tc>
          <w:tcPr>
            <w:tcW w:type="dxa" w:w="2928"/>
          </w:tcPr>
          <w:p>
            <w:pPr>
              <w:spacing w:after="40"/>
            </w:pPr>
            <w:r>
              <w:rPr>
                <w:rFonts w:ascii="Arial" w:hAnsi="Arial"/>
                <w:b w:val="0"/>
                <w:i w:val="0"/>
                <w:color w:val="000000"/>
                <w:sz w:val="22"/>
              </w:rPr>
              <w:t>Organisation</w:t>
            </w:r>
          </w:p>
        </w:tc>
        <w:tc>
          <w:tcPr>
            <w:tcW w:type="dxa" w:w="2928"/>
          </w:tcPr>
          <w:p>
            <w:pPr>
              <w:spacing w:after="40"/>
            </w:pPr>
            <w:r>
              <w:rPr>
                <w:rFonts w:ascii="Arial" w:hAnsi="Arial"/>
                <w:b w:val="0"/>
                <w:i w:val="0"/>
                <w:color w:val="000000"/>
                <w:sz w:val="22"/>
              </w:rPr>
              <w:t>github.com/Network-One/noh-expansion-workbench</w:t>
            </w:r>
          </w:p>
        </w:tc>
        <w:tc>
          <w:tcPr>
            <w:tcW w:type="dxa" w:w="2928"/>
          </w:tcPr>
          <w:p>
            <w:pPr>
              <w:spacing w:after="40"/>
            </w:pPr>
            <w:r>
              <w:rPr>
                <w:rFonts w:ascii="Arial" w:hAnsi="Arial"/>
                <w:b w:val="0"/>
                <w:i w:val="0"/>
                <w:color w:val="000000"/>
                <w:sz w:val="22"/>
              </w:rPr>
              <w:t>Private</w:t>
            </w:r>
          </w:p>
        </w:tc>
      </w:tr>
    </w:tbl>
    <w:p/>
    <w:p>
      <w:pPr>
        <w:spacing w:before="240" w:after="80"/>
      </w:pPr>
      <w:r>
        <w:rPr>
          <w:rFonts w:ascii="Arial" w:hAnsi="Arial"/>
          <w:b/>
          <w:i w:val="0"/>
          <w:color w:val="599591"/>
          <w:sz w:val="24"/>
        </w:rPr>
        <w:t>3.4 Partner documents</w:t>
      </w:r>
    </w:p>
    <w:p>
      <w:pPr>
        <w:spacing w:after="120"/>
      </w:pPr>
      <w:r>
        <w:rPr>
          <w:rFonts w:ascii="Arial" w:hAnsi="Arial"/>
          <w:b w:val="0"/>
          <w:i w:val="0"/>
          <w:color w:val="000000"/>
          <w:sz w:val="22"/>
        </w:rPr>
        <w:t>File: outputs/2026-03-02_noh_dashboard_email_and_guide.docx</w:t>
      </w:r>
    </w:p>
    <w:p>
      <w:pPr>
        <w:spacing w:after="120"/>
      </w:pPr>
      <w:r>
        <w:rPr>
          <w:rFonts w:ascii="Arial" w:hAnsi="Arial"/>
          <w:b w:val="0"/>
          <w:i w:val="0"/>
          <w:color w:val="000000"/>
          <w:sz w:val="22"/>
        </w:rPr>
        <w:t>A Word document containing the partner email (with dashboard link and negotiation variables table) and the dashboard user guide.</w:t>
      </w:r>
    </w:p>
    <w:p>
      <w:pPr>
        <w:spacing w:before="320" w:after="80"/>
      </w:pPr>
      <w:r>
        <w:rPr>
          <w:rFonts w:ascii="Arial" w:hAnsi="Arial"/>
          <w:b/>
          <w:i w:val="0"/>
          <w:color w:val="599591"/>
          <w:sz w:val="28"/>
        </w:rPr>
        <w:t>4. Scenarios</w:t>
      </w:r>
    </w:p>
    <w:tbl>
      <w:tblPr>
        <w:tblStyle w:val="TableGrid"/>
        <w:tblW w:type="auto" w:w="0"/>
        <w:tblLook w:firstColumn="1" w:firstRow="1" w:lastColumn="0" w:lastRow="0" w:noHBand="0" w:noVBand="1" w:val="04A0"/>
      </w:tblPr>
      <w:tblGrid>
        <w:gridCol w:w="2928"/>
        <w:gridCol w:w="2928"/>
        <w:gridCol w:w="2928"/>
      </w:tblGrid>
      <w:tr>
        <w:tc>
          <w:tcPr>
            <w:tcW w:type="dxa" w:w="2928"/>
            <w:shd w:fill="D6EDEC"/>
          </w:tcPr>
          <w:p>
            <w:pPr>
              <w:spacing w:after="40"/>
            </w:pPr>
            <w:r>
              <w:rPr>
                <w:rFonts w:ascii="Arial" w:hAnsi="Arial"/>
                <w:b/>
                <w:i w:val="0"/>
                <w:color w:val="000000"/>
                <w:sz w:val="22"/>
              </w:rPr>
              <w:t>Scenario</w:t>
            </w:r>
          </w:p>
        </w:tc>
        <w:tc>
          <w:tcPr>
            <w:tcW w:type="dxa" w:w="2928"/>
            <w:shd w:fill="D6EDEC"/>
          </w:tcPr>
          <w:p>
            <w:pPr>
              <w:spacing w:after="40"/>
            </w:pPr>
            <w:r>
              <w:rPr>
                <w:rFonts w:ascii="Arial" w:hAnsi="Arial"/>
                <w:b/>
                <w:i w:val="0"/>
                <w:color w:val="000000"/>
                <w:sz w:val="22"/>
              </w:rPr>
              <w:t>Key assumptions</w:t>
            </w:r>
          </w:p>
        </w:tc>
        <w:tc>
          <w:tcPr>
            <w:tcW w:type="dxa" w:w="2928"/>
            <w:shd w:fill="D6EDEC"/>
          </w:tcPr>
          <w:p>
            <w:pPr>
              <w:spacing w:after="40"/>
            </w:pPr>
            <w:r>
              <w:rPr>
                <w:rFonts w:ascii="Arial" w:hAnsi="Arial"/>
                <w:b/>
                <w:i w:val="0"/>
                <w:color w:val="000000"/>
                <w:sz w:val="22"/>
              </w:rPr>
              <w:t>Purpose</w:t>
            </w:r>
          </w:p>
        </w:tc>
      </w:tr>
      <w:tr>
        <w:tc>
          <w:tcPr>
            <w:tcW w:type="dxa" w:w="2928"/>
          </w:tcPr>
          <w:p>
            <w:pPr>
              <w:spacing w:after="40"/>
            </w:pPr>
            <w:r>
              <w:rPr>
                <w:rFonts w:ascii="Arial" w:hAnsi="Arial"/>
                <w:b w:val="0"/>
                <w:i w:val="0"/>
                <w:color w:val="000000"/>
                <w:sz w:val="22"/>
              </w:rPr>
              <w:t>Base</w:t>
            </w:r>
          </w:p>
        </w:tc>
        <w:tc>
          <w:tcPr>
            <w:tcW w:type="dxa" w:w="2928"/>
          </w:tcPr>
          <w:p>
            <w:pPr>
              <w:spacing w:after="40"/>
            </w:pPr>
            <w:r>
              <w:rPr>
                <w:rFonts w:ascii="Arial" w:hAnsi="Arial"/>
                <w:b w:val="0"/>
                <w:i w:val="0"/>
                <w:color w:val="000000"/>
                <w:sz w:val="22"/>
              </w:rPr>
              <w:t>52 births, 6% CPI, 30% CS target by M12</w:t>
            </w:r>
          </w:p>
        </w:tc>
        <w:tc>
          <w:tcPr>
            <w:tcW w:type="dxa" w:w="2928"/>
          </w:tcPr>
          <w:p>
            <w:pPr>
              <w:spacing w:after="40"/>
            </w:pPr>
            <w:r>
              <w:rPr>
                <w:rFonts w:ascii="Arial" w:hAnsi="Arial"/>
                <w:b w:val="0"/>
                <w:i w:val="0"/>
                <w:color w:val="000000"/>
                <w:sz w:val="22"/>
              </w:rPr>
              <w:t>Central case for negotiations</w:t>
            </w:r>
          </w:p>
        </w:tc>
      </w:tr>
      <w:tr>
        <w:tc>
          <w:tcPr>
            <w:tcW w:type="dxa" w:w="2928"/>
          </w:tcPr>
          <w:p>
            <w:pPr>
              <w:spacing w:after="40"/>
            </w:pPr>
            <w:r>
              <w:rPr>
                <w:rFonts w:ascii="Arial" w:hAnsi="Arial"/>
                <w:b w:val="0"/>
                <w:i w:val="0"/>
                <w:color w:val="000000"/>
                <w:sz w:val="22"/>
              </w:rPr>
              <w:t>Conservative</w:t>
            </w:r>
          </w:p>
        </w:tc>
        <w:tc>
          <w:tcPr>
            <w:tcW w:type="dxa" w:w="2928"/>
          </w:tcPr>
          <w:p>
            <w:pPr>
              <w:spacing w:after="40"/>
            </w:pPr>
            <w:r>
              <w:rPr>
                <w:rFonts w:ascii="Arial" w:hAnsi="Arial"/>
                <w:b w:val="0"/>
                <w:i w:val="0"/>
                <w:color w:val="000000"/>
                <w:sz w:val="22"/>
              </w:rPr>
              <w:t>35 births, 35% CS target, slower MA ramp (18 months)</w:t>
            </w:r>
          </w:p>
        </w:tc>
        <w:tc>
          <w:tcPr>
            <w:tcW w:type="dxa" w:w="2928"/>
          </w:tcPr>
          <w:p>
            <w:pPr>
              <w:spacing w:after="40"/>
            </w:pPr>
            <w:r>
              <w:rPr>
                <w:rFonts w:ascii="Arial" w:hAnsi="Arial"/>
                <w:b w:val="0"/>
                <w:i w:val="0"/>
                <w:color w:val="000000"/>
                <w:sz w:val="22"/>
              </w:rPr>
              <w:t>Downside volume risk</w:t>
            </w:r>
          </w:p>
        </w:tc>
      </w:tr>
      <w:tr>
        <w:tc>
          <w:tcPr>
            <w:tcW w:type="dxa" w:w="2928"/>
          </w:tcPr>
          <w:p>
            <w:pPr>
              <w:spacing w:after="40"/>
            </w:pPr>
            <w:r>
              <w:rPr>
                <w:rFonts w:ascii="Arial" w:hAnsi="Arial"/>
                <w:b w:val="0"/>
                <w:i w:val="0"/>
                <w:color w:val="000000"/>
                <w:sz w:val="22"/>
              </w:rPr>
              <w:t>Optimistic</w:t>
            </w:r>
          </w:p>
        </w:tc>
        <w:tc>
          <w:tcPr>
            <w:tcW w:type="dxa" w:w="2928"/>
          </w:tcPr>
          <w:p>
            <w:pPr>
              <w:spacing w:after="40"/>
            </w:pPr>
            <w:r>
              <w:rPr>
                <w:rFonts w:ascii="Arial" w:hAnsi="Arial"/>
                <w:b w:val="0"/>
                <w:i w:val="0"/>
                <w:color w:val="000000"/>
                <w:sz w:val="22"/>
              </w:rPr>
              <w:t>70 births, 25% CS target, faster MA ramp (10 months)</w:t>
            </w:r>
          </w:p>
        </w:tc>
        <w:tc>
          <w:tcPr>
            <w:tcW w:type="dxa" w:w="2928"/>
          </w:tcPr>
          <w:p>
            <w:pPr>
              <w:spacing w:after="40"/>
            </w:pPr>
            <w:r>
              <w:rPr>
                <w:rFonts w:ascii="Arial" w:hAnsi="Arial"/>
                <w:b w:val="0"/>
                <w:i w:val="0"/>
                <w:color w:val="000000"/>
                <w:sz w:val="22"/>
              </w:rPr>
              <w:t>Upside case</w:t>
            </w:r>
          </w:p>
        </w:tc>
      </w:tr>
      <w:tr>
        <w:tc>
          <w:tcPr>
            <w:tcW w:type="dxa" w:w="2928"/>
          </w:tcPr>
          <w:p>
            <w:pPr>
              <w:spacing w:after="40"/>
            </w:pPr>
            <w:r>
              <w:rPr>
                <w:rFonts w:ascii="Arial" w:hAnsi="Arial"/>
                <w:b w:val="0"/>
                <w:i w:val="0"/>
                <w:color w:val="000000"/>
                <w:sz w:val="22"/>
              </w:rPr>
              <w:t>High CS Rate</w:t>
            </w:r>
          </w:p>
        </w:tc>
        <w:tc>
          <w:tcPr>
            <w:tcW w:type="dxa" w:w="2928"/>
          </w:tcPr>
          <w:p>
            <w:pPr>
              <w:spacing w:after="40"/>
            </w:pPr>
            <w:r>
              <w:rPr>
                <w:rFonts w:ascii="Arial" w:hAnsi="Arial"/>
                <w:b w:val="0"/>
                <w:i w:val="0"/>
                <w:color w:val="000000"/>
                <w:sz w:val="22"/>
              </w:rPr>
              <w:t>CS rate stays at 42% throughout</w:t>
            </w:r>
          </w:p>
        </w:tc>
        <w:tc>
          <w:tcPr>
            <w:tcW w:type="dxa" w:w="2928"/>
          </w:tcPr>
          <w:p>
            <w:pPr>
              <w:spacing w:after="40"/>
            </w:pPr>
            <w:r>
              <w:rPr>
                <w:rFonts w:ascii="Arial" w:hAnsi="Arial"/>
                <w:b w:val="0"/>
                <w:i w:val="0"/>
                <w:color w:val="000000"/>
                <w:sz w:val="22"/>
              </w:rPr>
              <w:t>Cost of not reducing CS rate</w:t>
            </w:r>
          </w:p>
        </w:tc>
      </w:tr>
      <w:tr>
        <w:tc>
          <w:tcPr>
            <w:tcW w:type="dxa" w:w="2928"/>
          </w:tcPr>
          <w:p>
            <w:pPr>
              <w:spacing w:after="40"/>
            </w:pPr>
            <w:r>
              <w:rPr>
                <w:rFonts w:ascii="Arial" w:hAnsi="Arial"/>
                <w:b w:val="0"/>
                <w:i w:val="0"/>
                <w:color w:val="000000"/>
                <w:sz w:val="22"/>
              </w:rPr>
              <w:t>Price Stress</w:t>
            </w:r>
          </w:p>
        </w:tc>
        <w:tc>
          <w:tcPr>
            <w:tcW w:type="dxa" w:w="2928"/>
          </w:tcPr>
          <w:p>
            <w:pPr>
              <w:spacing w:after="40"/>
            </w:pPr>
            <w:r>
              <w:rPr>
                <w:rFonts w:ascii="Arial" w:hAnsi="Arial"/>
                <w:b w:val="0"/>
                <w:i w:val="0"/>
                <w:color w:val="000000"/>
                <w:sz w:val="22"/>
              </w:rPr>
              <w:t>CPI at 4% floor for both prices</w:t>
            </w:r>
          </w:p>
        </w:tc>
        <w:tc>
          <w:tcPr>
            <w:tcW w:type="dxa" w:w="2928"/>
          </w:tcPr>
          <w:p>
            <w:pPr>
              <w:spacing w:after="40"/>
            </w:pPr>
            <w:r>
              <w:rPr>
                <w:rFonts w:ascii="Arial" w:hAnsi="Arial"/>
                <w:b w:val="0"/>
                <w:i w:val="0"/>
                <w:color w:val="000000"/>
                <w:sz w:val="22"/>
              </w:rPr>
              <w:t>Downside price escalation risk</w:t>
            </w:r>
          </w:p>
        </w:tc>
      </w:tr>
      <w:tr>
        <w:tc>
          <w:tcPr>
            <w:tcW w:type="dxa" w:w="2928"/>
          </w:tcPr>
          <w:p>
            <w:pPr>
              <w:spacing w:after="40"/>
            </w:pPr>
            <w:r>
              <w:rPr>
                <w:rFonts w:ascii="Arial" w:hAnsi="Arial"/>
                <w:b w:val="0"/>
                <w:i w:val="0"/>
                <w:color w:val="000000"/>
                <w:sz w:val="22"/>
              </w:rPr>
              <w:t>Live Negotiation</w:t>
            </w:r>
          </w:p>
        </w:tc>
        <w:tc>
          <w:tcPr>
            <w:tcW w:type="dxa" w:w="2928"/>
          </w:tcPr>
          <w:p>
            <w:pPr>
              <w:spacing w:after="40"/>
            </w:pPr>
            <w:r>
              <w:rPr>
                <w:rFonts w:ascii="Arial" w:hAnsi="Arial"/>
                <w:b w:val="0"/>
                <w:i w:val="0"/>
                <w:color w:val="000000"/>
                <w:sz w:val="22"/>
              </w:rPr>
              <w:t>User-defined via dashboard sliders</w:t>
            </w:r>
          </w:p>
        </w:tc>
        <w:tc>
          <w:tcPr>
            <w:tcW w:type="dxa" w:w="2928"/>
          </w:tcPr>
          <w:p>
            <w:pPr>
              <w:spacing w:after="40"/>
            </w:pPr>
            <w:r>
              <w:rPr>
                <w:rFonts w:ascii="Arial" w:hAnsi="Arial"/>
                <w:b w:val="0"/>
                <w:i w:val="0"/>
                <w:color w:val="000000"/>
                <w:sz w:val="22"/>
              </w:rPr>
              <w:t>Real-time negotiation tool</w:t>
            </w:r>
          </w:p>
        </w:tc>
      </w:tr>
    </w:tbl>
    <w:p/>
    <w:p>
      <w:pPr>
        <w:spacing w:before="320" w:after="80"/>
      </w:pPr>
      <w:r>
        <w:rPr>
          <w:rFonts w:ascii="Arial" w:hAnsi="Arial"/>
          <w:b/>
          <w:i w:val="0"/>
          <w:color w:val="599591"/>
          <w:sz w:val="28"/>
        </w:rPr>
        <w:t>5. Model assumptions (Version 1.0, 2 March 2026)</w:t>
      </w:r>
    </w:p>
    <w:p>
      <w:pPr>
        <w:spacing w:before="240" w:after="80"/>
      </w:pPr>
      <w:r>
        <w:rPr>
          <w:rFonts w:ascii="Arial" w:hAnsi="Arial"/>
          <w:b/>
          <w:i w:val="0"/>
          <w:color w:val="599591"/>
          <w:sz w:val="24"/>
        </w:rPr>
        <w:t>5.1 Revenue</w:t>
      </w:r>
    </w:p>
    <w:tbl>
      <w:tblPr>
        <w:tblStyle w:val="TableGrid"/>
        <w:tblW w:type="auto" w:w="0"/>
        <w:tblLook w:firstColumn="1" w:firstRow="1" w:lastColumn="0" w:lastRow="0" w:noHBand="0" w:noVBand="1" w:val="04A0"/>
      </w:tblPr>
      <w:tblGrid>
        <w:gridCol w:w="2928"/>
        <w:gridCol w:w="2928"/>
        <w:gridCol w:w="2928"/>
      </w:tblGrid>
      <w:tr>
        <w:tc>
          <w:tcPr>
            <w:tcW w:type="dxa" w:w="2928"/>
            <w:shd w:fill="D6EDEC"/>
          </w:tcPr>
          <w:p>
            <w:pPr>
              <w:spacing w:after="40"/>
            </w:pPr>
            <w:r>
              <w:rPr>
                <w:rFonts w:ascii="Arial" w:hAnsi="Arial"/>
                <w:b/>
                <w:i w:val="0"/>
                <w:color w:val="000000"/>
                <w:sz w:val="22"/>
              </w:rPr>
              <w:t>Parameter</w:t>
            </w:r>
          </w:p>
        </w:tc>
        <w:tc>
          <w:tcPr>
            <w:tcW w:type="dxa" w:w="2928"/>
            <w:shd w:fill="D6EDEC"/>
          </w:tcPr>
          <w:p>
            <w:pPr>
              <w:spacing w:after="40"/>
            </w:pPr>
            <w:r>
              <w:rPr>
                <w:rFonts w:ascii="Arial" w:hAnsi="Arial"/>
                <w:b/>
                <w:i w:val="0"/>
                <w:color w:val="000000"/>
                <w:sz w:val="22"/>
              </w:rPr>
              <w:t>Value</w:t>
            </w:r>
          </w:p>
        </w:tc>
        <w:tc>
          <w:tcPr>
            <w:tcW w:type="dxa" w:w="2928"/>
            <w:shd w:fill="D6EDEC"/>
          </w:tcPr>
          <w:p>
            <w:pPr>
              <w:spacing w:after="40"/>
            </w:pPr>
            <w:r>
              <w:rPr>
                <w:rFonts w:ascii="Arial" w:hAnsi="Arial"/>
                <w:b/>
                <w:i w:val="0"/>
                <w:color w:val="000000"/>
                <w:sz w:val="22"/>
              </w:rPr>
              <w:t>Notes</w:t>
            </w:r>
          </w:p>
        </w:tc>
      </w:tr>
      <w:tr>
        <w:tc>
          <w:tcPr>
            <w:tcW w:type="dxa" w:w="2928"/>
          </w:tcPr>
          <w:p>
            <w:pPr>
              <w:spacing w:after="40"/>
            </w:pPr>
            <w:r>
              <w:rPr>
                <w:rFonts w:ascii="Arial" w:hAnsi="Arial"/>
                <w:b w:val="0"/>
                <w:i w:val="0"/>
                <w:color w:val="000000"/>
                <w:sz w:val="22"/>
              </w:rPr>
              <w:t>Cash price per birth (Month 1)</w:t>
            </w:r>
          </w:p>
        </w:tc>
        <w:tc>
          <w:tcPr>
            <w:tcW w:type="dxa" w:w="2928"/>
          </w:tcPr>
          <w:p>
            <w:pPr>
              <w:spacing w:after="40"/>
            </w:pPr>
            <w:r>
              <w:rPr>
                <w:rFonts w:ascii="Arial" w:hAnsi="Arial"/>
                <w:b w:val="0"/>
                <w:i w:val="0"/>
                <w:color w:val="000000"/>
                <w:sz w:val="22"/>
              </w:rPr>
              <w:t>R 40,000</w:t>
            </w:r>
          </w:p>
        </w:tc>
        <w:tc>
          <w:tcPr>
            <w:tcW w:type="dxa" w:w="2928"/>
          </w:tcPr>
          <w:p>
            <w:pPr>
              <w:spacing w:after="40"/>
            </w:pPr>
            <w:r>
              <w:rPr>
                <w:rFonts w:ascii="Arial" w:hAnsi="Arial"/>
                <w:b w:val="0"/>
                <w:i w:val="0"/>
                <w:color w:val="000000"/>
                <w:sz w:val="22"/>
              </w:rPr>
              <w:t>Escalates at CPI monthly</w:t>
            </w:r>
          </w:p>
        </w:tc>
      </w:tr>
      <w:tr>
        <w:tc>
          <w:tcPr>
            <w:tcW w:type="dxa" w:w="2928"/>
          </w:tcPr>
          <w:p>
            <w:pPr>
              <w:spacing w:after="40"/>
            </w:pPr>
            <w:r>
              <w:rPr>
                <w:rFonts w:ascii="Arial" w:hAnsi="Arial"/>
                <w:b w:val="0"/>
                <w:i w:val="0"/>
                <w:color w:val="000000"/>
                <w:sz w:val="22"/>
              </w:rPr>
              <w:t>MA price per birth (Month 1)</w:t>
            </w:r>
          </w:p>
        </w:tc>
        <w:tc>
          <w:tcPr>
            <w:tcW w:type="dxa" w:w="2928"/>
          </w:tcPr>
          <w:p>
            <w:pPr>
              <w:spacing w:after="40"/>
            </w:pPr>
            <w:r>
              <w:rPr>
                <w:rFonts w:ascii="Arial" w:hAnsi="Arial"/>
                <w:b w:val="0"/>
                <w:i w:val="0"/>
                <w:color w:val="000000"/>
                <w:sz w:val="22"/>
              </w:rPr>
              <w:t>R 50,000</w:t>
            </w:r>
          </w:p>
        </w:tc>
        <w:tc>
          <w:tcPr>
            <w:tcW w:type="dxa" w:w="2928"/>
          </w:tcPr>
          <w:p>
            <w:pPr>
              <w:spacing w:after="40"/>
            </w:pPr>
            <w:r>
              <w:rPr>
                <w:rFonts w:ascii="Arial" w:hAnsi="Arial"/>
                <w:b w:val="0"/>
                <w:i w:val="0"/>
                <w:color w:val="000000"/>
                <w:sz w:val="22"/>
              </w:rPr>
              <w:t>Escalates at CPI; cannot drop</w:t>
            </w:r>
          </w:p>
        </w:tc>
      </w:tr>
      <w:tr>
        <w:tc>
          <w:tcPr>
            <w:tcW w:type="dxa" w:w="2928"/>
          </w:tcPr>
          <w:p>
            <w:pPr>
              <w:spacing w:after="40"/>
            </w:pPr>
            <w:r>
              <w:rPr>
                <w:rFonts w:ascii="Arial" w:hAnsi="Arial"/>
                <w:b w:val="0"/>
                <w:i w:val="0"/>
                <w:color w:val="000000"/>
                <w:sz w:val="22"/>
              </w:rPr>
              <w:t>CPI escalation — base</w:t>
            </w:r>
          </w:p>
        </w:tc>
        <w:tc>
          <w:tcPr>
            <w:tcW w:type="dxa" w:w="2928"/>
          </w:tcPr>
          <w:p>
            <w:pPr>
              <w:spacing w:after="40"/>
            </w:pPr>
            <w:r>
              <w:rPr>
                <w:rFonts w:ascii="Arial" w:hAnsi="Arial"/>
                <w:b w:val="0"/>
                <w:i w:val="0"/>
                <w:color w:val="000000"/>
                <w:sz w:val="22"/>
              </w:rPr>
              <w:t>6% per year</w:t>
            </w:r>
          </w:p>
        </w:tc>
        <w:tc>
          <w:tcPr>
            <w:tcW w:type="dxa" w:w="2928"/>
          </w:tcPr>
          <w:p>
            <w:pPr>
              <w:spacing w:after="40"/>
            </w:pPr>
            <w:r>
              <w:rPr>
                <w:rFonts w:ascii="Arial" w:hAnsi="Arial"/>
                <w:b w:val="0"/>
                <w:i w:val="0"/>
                <w:color w:val="000000"/>
                <w:sz w:val="22"/>
              </w:rPr>
              <w:t>Monthly compounding</w:t>
            </w:r>
          </w:p>
        </w:tc>
      </w:tr>
      <w:tr>
        <w:tc>
          <w:tcPr>
            <w:tcW w:type="dxa" w:w="2928"/>
          </w:tcPr>
          <w:p>
            <w:pPr>
              <w:spacing w:after="40"/>
            </w:pPr>
            <w:r>
              <w:rPr>
                <w:rFonts w:ascii="Arial" w:hAnsi="Arial"/>
                <w:b w:val="0"/>
                <w:i w:val="0"/>
                <w:color w:val="000000"/>
                <w:sz w:val="22"/>
              </w:rPr>
              <w:t>CPI escalation — price stress floor</w:t>
            </w:r>
          </w:p>
        </w:tc>
        <w:tc>
          <w:tcPr>
            <w:tcW w:type="dxa" w:w="2928"/>
          </w:tcPr>
          <w:p>
            <w:pPr>
              <w:spacing w:after="40"/>
            </w:pPr>
            <w:r>
              <w:rPr>
                <w:rFonts w:ascii="Arial" w:hAnsi="Arial"/>
                <w:b w:val="0"/>
                <w:i w:val="0"/>
                <w:color w:val="000000"/>
                <w:sz w:val="22"/>
              </w:rPr>
              <w:t>4% per year</w:t>
            </w:r>
          </w:p>
        </w:tc>
        <w:tc>
          <w:tcPr>
            <w:tcW w:type="dxa" w:w="2928"/>
          </w:tcPr>
          <w:p>
            <w:pPr>
              <w:spacing w:after="40"/>
            </w:pPr>
            <w:r>
              <w:rPr>
                <w:rFonts w:ascii="Arial" w:hAnsi="Arial"/>
                <w:b w:val="0"/>
                <w:i w:val="0"/>
                <w:color w:val="000000"/>
                <w:sz w:val="22"/>
              </w:rPr>
              <w:t>Minimum allowable</w:t>
            </w:r>
          </w:p>
        </w:tc>
      </w:tr>
      <w:tr>
        <w:tc>
          <w:tcPr>
            <w:tcW w:type="dxa" w:w="2928"/>
          </w:tcPr>
          <w:p>
            <w:pPr>
              <w:spacing w:after="40"/>
            </w:pPr>
            <w:r>
              <w:rPr>
                <w:rFonts w:ascii="Arial" w:hAnsi="Arial"/>
                <w:b w:val="0"/>
                <w:i w:val="0"/>
                <w:color w:val="000000"/>
                <w:sz w:val="22"/>
              </w:rPr>
              <w:t>NOH management fee</w:t>
            </w:r>
          </w:p>
        </w:tc>
        <w:tc>
          <w:tcPr>
            <w:tcW w:type="dxa" w:w="2928"/>
          </w:tcPr>
          <w:p>
            <w:pPr>
              <w:spacing w:after="40"/>
            </w:pPr>
            <w:r>
              <w:rPr>
                <w:rFonts w:ascii="Arial" w:hAnsi="Arial"/>
                <w:b w:val="0"/>
                <w:i w:val="0"/>
                <w:color w:val="000000"/>
                <w:sz w:val="22"/>
              </w:rPr>
              <w:t>15% of total receipts</w:t>
            </w:r>
          </w:p>
        </w:tc>
        <w:tc>
          <w:tcPr>
            <w:tcW w:type="dxa" w:w="2928"/>
          </w:tcPr>
          <w:p>
            <w:pPr>
              <w:spacing w:after="40"/>
            </w:pPr>
            <w:r>
              <w:rPr>
                <w:rFonts w:ascii="Arial" w:hAnsi="Arial"/>
                <w:b w:val="0"/>
                <w:i w:val="0"/>
                <w:color w:val="000000"/>
                <w:sz w:val="22"/>
              </w:rPr>
              <w:t>Open to negotiation</w:t>
            </w:r>
          </w:p>
        </w:tc>
      </w:tr>
      <w:tr>
        <w:tc>
          <w:tcPr>
            <w:tcW w:type="dxa" w:w="2928"/>
          </w:tcPr>
          <w:p>
            <w:pPr>
              <w:spacing w:after="40"/>
            </w:pPr>
            <w:r>
              <w:rPr>
                <w:rFonts w:ascii="Arial" w:hAnsi="Arial"/>
                <w:b w:val="0"/>
                <w:i w:val="0"/>
                <w:color w:val="000000"/>
                <w:sz w:val="22"/>
              </w:rPr>
              <w:t>Medicare fee</w:t>
            </w:r>
          </w:p>
        </w:tc>
        <w:tc>
          <w:tcPr>
            <w:tcW w:type="dxa" w:w="2928"/>
          </w:tcPr>
          <w:p>
            <w:pPr>
              <w:spacing w:after="40"/>
            </w:pPr>
            <w:r>
              <w:rPr>
                <w:rFonts w:ascii="Arial" w:hAnsi="Arial"/>
                <w:b w:val="0"/>
                <w:i w:val="0"/>
                <w:color w:val="000000"/>
                <w:sz w:val="22"/>
              </w:rPr>
              <w:t>48.68% of total receipts</w:t>
            </w:r>
          </w:p>
        </w:tc>
        <w:tc>
          <w:tcPr>
            <w:tcW w:type="dxa" w:w="2928"/>
          </w:tcPr>
          <w:p>
            <w:pPr>
              <w:spacing w:after="40"/>
            </w:pPr>
            <w:r>
              <w:rPr>
                <w:rFonts w:ascii="Arial" w:hAnsi="Arial"/>
                <w:b w:val="0"/>
                <w:i w:val="0"/>
                <w:color w:val="000000"/>
                <w:sz w:val="22"/>
              </w:rPr>
              <w:t>Fixed</w:t>
            </w:r>
          </w:p>
        </w:tc>
      </w:tr>
      <w:tr>
        <w:tc>
          <w:tcPr>
            <w:tcW w:type="dxa" w:w="2928"/>
          </w:tcPr>
          <w:p>
            <w:pPr>
              <w:spacing w:after="40"/>
            </w:pPr>
            <w:r>
              <w:rPr>
                <w:rFonts w:ascii="Arial" w:hAnsi="Arial"/>
                <w:b w:val="0"/>
                <w:i w:val="0"/>
                <w:color w:val="000000"/>
                <w:sz w:val="22"/>
              </w:rPr>
              <w:t>MA share — start</w:t>
            </w:r>
          </w:p>
        </w:tc>
        <w:tc>
          <w:tcPr>
            <w:tcW w:type="dxa" w:w="2928"/>
          </w:tcPr>
          <w:p>
            <w:pPr>
              <w:spacing w:after="40"/>
            </w:pPr>
            <w:r>
              <w:rPr>
                <w:rFonts w:ascii="Arial" w:hAnsi="Arial"/>
                <w:b w:val="0"/>
                <w:i w:val="0"/>
                <w:color w:val="000000"/>
                <w:sz w:val="22"/>
              </w:rPr>
              <w:t>20%</w:t>
            </w:r>
          </w:p>
        </w:tc>
        <w:tc>
          <w:tcPr>
            <w:tcW w:type="dxa" w:w="2928"/>
          </w:tcPr>
          <w:p>
            <w:pPr>
              <w:spacing w:after="40"/>
            </w:pPr>
            <w:r>
              <w:rPr>
                <w:rFonts w:ascii="Arial" w:hAnsi="Arial"/>
                <w:b w:val="0"/>
                <w:i w:val="0"/>
                <w:color w:val="000000"/>
                <w:sz w:val="22"/>
              </w:rPr>
            </w:r>
          </w:p>
        </w:tc>
      </w:tr>
      <w:tr>
        <w:tc>
          <w:tcPr>
            <w:tcW w:type="dxa" w:w="2928"/>
          </w:tcPr>
          <w:p>
            <w:pPr>
              <w:spacing w:after="40"/>
            </w:pPr>
            <w:r>
              <w:rPr>
                <w:rFonts w:ascii="Arial" w:hAnsi="Arial"/>
                <w:b w:val="0"/>
                <w:i w:val="0"/>
                <w:color w:val="000000"/>
                <w:sz w:val="22"/>
              </w:rPr>
              <w:t>MA share — target</w:t>
            </w:r>
          </w:p>
        </w:tc>
        <w:tc>
          <w:tcPr>
            <w:tcW w:type="dxa" w:w="2928"/>
          </w:tcPr>
          <w:p>
            <w:pPr>
              <w:spacing w:after="40"/>
            </w:pPr>
            <w:r>
              <w:rPr>
                <w:rFonts w:ascii="Arial" w:hAnsi="Arial"/>
                <w:b w:val="0"/>
                <w:i w:val="0"/>
                <w:color w:val="000000"/>
                <w:sz w:val="22"/>
              </w:rPr>
              <w:t>50%</w:t>
            </w:r>
          </w:p>
        </w:tc>
        <w:tc>
          <w:tcPr>
            <w:tcW w:type="dxa" w:w="2928"/>
          </w:tcPr>
          <w:p>
            <w:pPr>
              <w:spacing w:after="40"/>
            </w:pPr>
            <w:r>
              <w:rPr>
                <w:rFonts w:ascii="Arial" w:hAnsi="Arial"/>
                <w:b w:val="0"/>
                <w:i w:val="0"/>
                <w:color w:val="000000"/>
                <w:sz w:val="22"/>
              </w:rPr>
              <w:t>Reached by Month 12 (base)</w:t>
            </w:r>
          </w:p>
        </w:tc>
      </w:tr>
    </w:tbl>
    <w:p/>
    <w:p>
      <w:pPr>
        <w:spacing w:before="240" w:after="80"/>
      </w:pPr>
      <w:r>
        <w:rPr>
          <w:rFonts w:ascii="Arial" w:hAnsi="Arial"/>
          <w:b/>
          <w:i w:val="0"/>
          <w:color w:val="599591"/>
          <w:sz w:val="24"/>
        </w:rPr>
        <w:t>5.2 Volume</w:t>
      </w:r>
    </w:p>
    <w:tbl>
      <w:tblPr>
        <w:tblStyle w:val="TableGrid"/>
        <w:tblW w:type="auto" w:w="0"/>
        <w:tblLook w:firstColumn="1" w:firstRow="1" w:lastColumn="0" w:lastRow="0" w:noHBand="0" w:noVBand="1" w:val="04A0"/>
      </w:tblPr>
      <w:tblGrid>
        <w:gridCol w:w="2928"/>
        <w:gridCol w:w="2928"/>
        <w:gridCol w:w="2928"/>
      </w:tblGrid>
      <w:tr>
        <w:tc>
          <w:tcPr>
            <w:tcW w:type="dxa" w:w="2928"/>
            <w:shd w:fill="D6EDEC"/>
          </w:tcPr>
          <w:p>
            <w:pPr>
              <w:spacing w:after="40"/>
            </w:pPr>
            <w:r>
              <w:rPr>
                <w:rFonts w:ascii="Arial" w:hAnsi="Arial"/>
                <w:b/>
                <w:i w:val="0"/>
                <w:color w:val="000000"/>
                <w:sz w:val="22"/>
              </w:rPr>
              <w:t>Parameter</w:t>
            </w:r>
          </w:p>
        </w:tc>
        <w:tc>
          <w:tcPr>
            <w:tcW w:type="dxa" w:w="2928"/>
            <w:shd w:fill="D6EDEC"/>
          </w:tcPr>
          <w:p>
            <w:pPr>
              <w:spacing w:after="40"/>
            </w:pPr>
            <w:r>
              <w:rPr>
                <w:rFonts w:ascii="Arial" w:hAnsi="Arial"/>
                <w:b/>
                <w:i w:val="0"/>
                <w:color w:val="000000"/>
                <w:sz w:val="22"/>
              </w:rPr>
              <w:t>Value</w:t>
            </w:r>
          </w:p>
        </w:tc>
        <w:tc>
          <w:tcPr>
            <w:tcW w:type="dxa" w:w="2928"/>
            <w:shd w:fill="D6EDEC"/>
          </w:tcPr>
          <w:p>
            <w:pPr>
              <w:spacing w:after="40"/>
            </w:pPr>
            <w:r>
              <w:rPr>
                <w:rFonts w:ascii="Arial" w:hAnsi="Arial"/>
                <w:b/>
                <w:i w:val="0"/>
                <w:color w:val="000000"/>
                <w:sz w:val="22"/>
              </w:rPr>
              <w:t>Notes</w:t>
            </w:r>
          </w:p>
        </w:tc>
      </w:tr>
      <w:tr>
        <w:tc>
          <w:tcPr>
            <w:tcW w:type="dxa" w:w="2928"/>
          </w:tcPr>
          <w:p>
            <w:pPr>
              <w:spacing w:after="40"/>
            </w:pPr>
            <w:r>
              <w:rPr>
                <w:rFonts w:ascii="Arial" w:hAnsi="Arial"/>
                <w:b w:val="0"/>
                <w:i w:val="0"/>
                <w:color w:val="000000"/>
                <w:sz w:val="22"/>
              </w:rPr>
              <w:t>Births at Month 24 (base)</w:t>
            </w:r>
          </w:p>
        </w:tc>
        <w:tc>
          <w:tcPr>
            <w:tcW w:type="dxa" w:w="2928"/>
          </w:tcPr>
          <w:p>
            <w:pPr>
              <w:spacing w:after="40"/>
            </w:pPr>
            <w:r>
              <w:rPr>
                <w:rFonts w:ascii="Arial" w:hAnsi="Arial"/>
                <w:b w:val="0"/>
                <w:i w:val="0"/>
                <w:color w:val="000000"/>
                <w:sz w:val="22"/>
              </w:rPr>
              <w:t>52/month</w:t>
            </w:r>
          </w:p>
        </w:tc>
        <w:tc>
          <w:tcPr>
            <w:tcW w:type="dxa" w:w="2928"/>
          </w:tcPr>
          <w:p>
            <w:pPr>
              <w:spacing w:after="40"/>
            </w:pPr>
            <w:r>
              <w:rPr>
                <w:rFonts w:ascii="Arial" w:hAnsi="Arial"/>
                <w:b w:val="0"/>
                <w:i w:val="0"/>
                <w:color w:val="000000"/>
                <w:sz w:val="22"/>
              </w:rPr>
            </w:r>
          </w:p>
        </w:tc>
      </w:tr>
      <w:tr>
        <w:tc>
          <w:tcPr>
            <w:tcW w:type="dxa" w:w="2928"/>
          </w:tcPr>
          <w:p>
            <w:pPr>
              <w:spacing w:after="40"/>
            </w:pPr>
            <w:r>
              <w:rPr>
                <w:rFonts w:ascii="Arial" w:hAnsi="Arial"/>
                <w:b w:val="0"/>
                <w:i w:val="0"/>
                <w:color w:val="000000"/>
                <w:sz w:val="22"/>
              </w:rPr>
              <w:t>Enrolments at Month 24 (base)</w:t>
            </w:r>
          </w:p>
        </w:tc>
        <w:tc>
          <w:tcPr>
            <w:tcW w:type="dxa" w:w="2928"/>
          </w:tcPr>
          <w:p>
            <w:pPr>
              <w:spacing w:after="40"/>
            </w:pPr>
            <w:r>
              <w:rPr>
                <w:rFonts w:ascii="Arial" w:hAnsi="Arial"/>
                <w:b w:val="0"/>
                <w:i w:val="0"/>
                <w:color w:val="000000"/>
                <w:sz w:val="22"/>
              </w:rPr>
              <w:t>50/month</w:t>
            </w:r>
          </w:p>
        </w:tc>
        <w:tc>
          <w:tcPr>
            <w:tcW w:type="dxa" w:w="2928"/>
          </w:tcPr>
          <w:p>
            <w:pPr>
              <w:spacing w:after="40"/>
            </w:pPr>
            <w:r>
              <w:rPr>
                <w:rFonts w:ascii="Arial" w:hAnsi="Arial"/>
                <w:b w:val="0"/>
                <w:i w:val="0"/>
                <w:color w:val="000000"/>
                <w:sz w:val="22"/>
              </w:rPr>
            </w:r>
          </w:p>
        </w:tc>
      </w:tr>
      <w:tr>
        <w:tc>
          <w:tcPr>
            <w:tcW w:type="dxa" w:w="2928"/>
          </w:tcPr>
          <w:p>
            <w:pPr>
              <w:spacing w:after="40"/>
            </w:pPr>
            <w:r>
              <w:rPr>
                <w:rFonts w:ascii="Arial" w:hAnsi="Arial"/>
                <w:b w:val="0"/>
                <w:i w:val="0"/>
                <w:color w:val="000000"/>
                <w:sz w:val="22"/>
              </w:rPr>
              <w:t>CS rate — start</w:t>
            </w:r>
          </w:p>
        </w:tc>
        <w:tc>
          <w:tcPr>
            <w:tcW w:type="dxa" w:w="2928"/>
          </w:tcPr>
          <w:p>
            <w:pPr>
              <w:spacing w:after="40"/>
            </w:pPr>
            <w:r>
              <w:rPr>
                <w:rFonts w:ascii="Arial" w:hAnsi="Arial"/>
                <w:b w:val="0"/>
                <w:i w:val="0"/>
                <w:color w:val="000000"/>
                <w:sz w:val="22"/>
              </w:rPr>
              <w:t>42%</w:t>
            </w:r>
          </w:p>
        </w:tc>
        <w:tc>
          <w:tcPr>
            <w:tcW w:type="dxa" w:w="2928"/>
          </w:tcPr>
          <w:p>
            <w:pPr>
              <w:spacing w:after="40"/>
            </w:pPr>
            <w:r>
              <w:rPr>
                <w:rFonts w:ascii="Arial" w:hAnsi="Arial"/>
                <w:b w:val="0"/>
                <w:i w:val="0"/>
                <w:color w:val="000000"/>
                <w:sz w:val="22"/>
              </w:rPr>
              <w:t>Current hospital rate</w:t>
            </w:r>
          </w:p>
        </w:tc>
      </w:tr>
      <w:tr>
        <w:tc>
          <w:tcPr>
            <w:tcW w:type="dxa" w:w="2928"/>
          </w:tcPr>
          <w:p>
            <w:pPr>
              <w:spacing w:after="40"/>
            </w:pPr>
            <w:r>
              <w:rPr>
                <w:rFonts w:ascii="Arial" w:hAnsi="Arial"/>
                <w:b w:val="0"/>
                <w:i w:val="0"/>
                <w:color w:val="000000"/>
                <w:sz w:val="22"/>
              </w:rPr>
              <w:t>CS rate — target (base)</w:t>
            </w:r>
          </w:p>
        </w:tc>
        <w:tc>
          <w:tcPr>
            <w:tcW w:type="dxa" w:w="2928"/>
          </w:tcPr>
          <w:p>
            <w:pPr>
              <w:spacing w:after="40"/>
            </w:pPr>
            <w:r>
              <w:rPr>
                <w:rFonts w:ascii="Arial" w:hAnsi="Arial"/>
                <w:b w:val="0"/>
                <w:i w:val="0"/>
                <w:color w:val="000000"/>
                <w:sz w:val="22"/>
              </w:rPr>
              <w:t>30% by Month 12</w:t>
            </w:r>
          </w:p>
        </w:tc>
        <w:tc>
          <w:tcPr>
            <w:tcW w:type="dxa" w:w="2928"/>
          </w:tcPr>
          <w:p>
            <w:pPr>
              <w:spacing w:after="40"/>
            </w:pPr>
            <w:r>
              <w:rPr>
                <w:rFonts w:ascii="Arial" w:hAnsi="Arial"/>
                <w:b w:val="0"/>
                <w:i w:val="0"/>
                <w:color w:val="000000"/>
                <w:sz w:val="22"/>
              </w:rPr>
              <w:t>Negotiation objective</w:t>
            </w:r>
          </w:p>
        </w:tc>
      </w:tr>
      <w:tr>
        <w:tc>
          <w:tcPr>
            <w:tcW w:type="dxa" w:w="2928"/>
          </w:tcPr>
          <w:p>
            <w:pPr>
              <w:spacing w:after="40"/>
            </w:pPr>
            <w:r>
              <w:rPr>
                <w:rFonts w:ascii="Arial" w:hAnsi="Arial"/>
                <w:b w:val="0"/>
                <w:i w:val="0"/>
                <w:color w:val="000000"/>
                <w:sz w:val="22"/>
              </w:rPr>
              <w:t>MO-assisted NVD share</w:t>
            </w:r>
          </w:p>
        </w:tc>
        <w:tc>
          <w:tcPr>
            <w:tcW w:type="dxa" w:w="2928"/>
          </w:tcPr>
          <w:p>
            <w:pPr>
              <w:spacing w:after="40"/>
            </w:pPr>
            <w:r>
              <w:rPr>
                <w:rFonts w:ascii="Arial" w:hAnsi="Arial"/>
                <w:b w:val="0"/>
                <w:i w:val="0"/>
                <w:color w:val="000000"/>
                <w:sz w:val="22"/>
              </w:rPr>
              <w:t>17.5%</w:t>
            </w:r>
          </w:p>
        </w:tc>
        <w:tc>
          <w:tcPr>
            <w:tcW w:type="dxa" w:w="2928"/>
          </w:tcPr>
          <w:p>
            <w:pPr>
              <w:spacing w:after="40"/>
            </w:pPr>
            <w:r>
              <w:rPr>
                <w:rFonts w:ascii="Arial" w:hAnsi="Arial"/>
                <w:b w:val="0"/>
                <w:i w:val="0"/>
                <w:color w:val="000000"/>
                <w:sz w:val="22"/>
              </w:rPr>
              <w:t>Midpoint of 15–20% range</w:t>
            </w:r>
          </w:p>
        </w:tc>
      </w:tr>
    </w:tbl>
    <w:p/>
    <w:p>
      <w:pPr>
        <w:spacing w:before="240" w:after="80"/>
      </w:pPr>
      <w:r>
        <w:rPr>
          <w:rFonts w:ascii="Arial" w:hAnsi="Arial"/>
          <w:b/>
          <w:i w:val="0"/>
          <w:color w:val="599591"/>
          <w:sz w:val="24"/>
        </w:rPr>
        <w:t>5.3 Outpatient (antenatal) midwifery</w:t>
      </w:r>
    </w:p>
    <w:tbl>
      <w:tblPr>
        <w:tblStyle w:val="TableGrid"/>
        <w:tblW w:type="auto" w:w="0"/>
        <w:tblLook w:firstColumn="1" w:firstRow="1" w:lastColumn="0" w:lastRow="0" w:noHBand="0" w:noVBand="1" w:val="04A0"/>
      </w:tblPr>
      <w:tblGrid>
        <w:gridCol w:w="2928"/>
        <w:gridCol w:w="2928"/>
        <w:gridCol w:w="2928"/>
      </w:tblGrid>
      <w:tr>
        <w:tc>
          <w:tcPr>
            <w:tcW w:type="dxa" w:w="2928"/>
            <w:shd w:fill="D6EDEC"/>
          </w:tcPr>
          <w:p>
            <w:pPr>
              <w:spacing w:after="40"/>
            </w:pPr>
            <w:r>
              <w:rPr>
                <w:rFonts w:ascii="Arial" w:hAnsi="Arial"/>
                <w:b/>
                <w:i w:val="0"/>
                <w:color w:val="000000"/>
                <w:sz w:val="22"/>
              </w:rPr>
              <w:t>Item</w:t>
            </w:r>
          </w:p>
        </w:tc>
        <w:tc>
          <w:tcPr>
            <w:tcW w:type="dxa" w:w="2928"/>
            <w:shd w:fill="D6EDEC"/>
          </w:tcPr>
          <w:p>
            <w:pPr>
              <w:spacing w:after="40"/>
            </w:pPr>
            <w:r>
              <w:rPr>
                <w:rFonts w:ascii="Arial" w:hAnsi="Arial"/>
                <w:b/>
                <w:i w:val="0"/>
                <w:color w:val="000000"/>
                <w:sz w:val="22"/>
              </w:rPr>
              <w:t>Detail</w:t>
            </w:r>
          </w:p>
        </w:tc>
        <w:tc>
          <w:tcPr>
            <w:tcW w:type="dxa" w:w="2928"/>
            <w:shd w:fill="D6EDEC"/>
          </w:tcPr>
          <w:p>
            <w:pPr>
              <w:spacing w:after="40"/>
            </w:pPr>
            <w:r>
              <w:rPr>
                <w:rFonts w:ascii="Arial" w:hAnsi="Arial"/>
                <w:b/>
                <w:i w:val="0"/>
                <w:color w:val="000000"/>
                <w:sz w:val="22"/>
              </w:rPr>
              <w:t>Cost per episode</w:t>
            </w:r>
          </w:p>
        </w:tc>
      </w:tr>
      <w:tr>
        <w:tc>
          <w:tcPr>
            <w:tcW w:type="dxa" w:w="2928"/>
          </w:tcPr>
          <w:p>
            <w:pPr>
              <w:spacing w:after="40"/>
            </w:pPr>
            <w:r>
              <w:rPr>
                <w:rFonts w:ascii="Arial" w:hAnsi="Arial"/>
                <w:b w:val="0"/>
                <w:i w:val="0"/>
                <w:color w:val="000000"/>
                <w:sz w:val="22"/>
              </w:rPr>
              <w:t>Long visits</w:t>
            </w:r>
          </w:p>
        </w:tc>
        <w:tc>
          <w:tcPr>
            <w:tcW w:type="dxa" w:w="2928"/>
          </w:tcPr>
          <w:p>
            <w:pPr>
              <w:spacing w:after="40"/>
            </w:pPr>
            <w:r>
              <w:rPr>
                <w:rFonts w:ascii="Arial" w:hAnsi="Arial"/>
                <w:b w:val="0"/>
                <w:i w:val="0"/>
                <w:color w:val="000000"/>
                <w:sz w:val="22"/>
              </w:rPr>
              <w:t>2 visits × 1.0 hr × R310/hr</w:t>
            </w:r>
          </w:p>
        </w:tc>
        <w:tc>
          <w:tcPr>
            <w:tcW w:type="dxa" w:w="2928"/>
          </w:tcPr>
          <w:p>
            <w:pPr>
              <w:spacing w:after="40"/>
            </w:pPr>
            <w:r>
              <w:rPr>
                <w:rFonts w:ascii="Arial" w:hAnsi="Arial"/>
                <w:b w:val="0"/>
                <w:i w:val="0"/>
                <w:color w:val="000000"/>
                <w:sz w:val="22"/>
              </w:rPr>
              <w:t>R 620</w:t>
            </w:r>
          </w:p>
        </w:tc>
      </w:tr>
      <w:tr>
        <w:tc>
          <w:tcPr>
            <w:tcW w:type="dxa" w:w="2928"/>
          </w:tcPr>
          <w:p>
            <w:pPr>
              <w:spacing w:after="40"/>
            </w:pPr>
            <w:r>
              <w:rPr>
                <w:rFonts w:ascii="Arial" w:hAnsi="Arial"/>
                <w:b w:val="0"/>
                <w:i w:val="0"/>
                <w:color w:val="000000"/>
                <w:sz w:val="22"/>
              </w:rPr>
              <w:t>Short visits</w:t>
            </w:r>
          </w:p>
        </w:tc>
        <w:tc>
          <w:tcPr>
            <w:tcW w:type="dxa" w:w="2928"/>
          </w:tcPr>
          <w:p>
            <w:pPr>
              <w:spacing w:after="40"/>
            </w:pPr>
            <w:r>
              <w:rPr>
                <w:rFonts w:ascii="Arial" w:hAnsi="Arial"/>
                <w:b w:val="0"/>
                <w:i w:val="0"/>
                <w:color w:val="000000"/>
                <w:sz w:val="22"/>
              </w:rPr>
              <w:t>8 visits × 0.5 hr × R310/hr</w:t>
            </w:r>
          </w:p>
        </w:tc>
        <w:tc>
          <w:tcPr>
            <w:tcW w:type="dxa" w:w="2928"/>
          </w:tcPr>
          <w:p>
            <w:pPr>
              <w:spacing w:after="40"/>
            </w:pPr>
            <w:r>
              <w:rPr>
                <w:rFonts w:ascii="Arial" w:hAnsi="Arial"/>
                <w:b w:val="0"/>
                <w:i w:val="0"/>
                <w:color w:val="000000"/>
                <w:sz w:val="22"/>
              </w:rPr>
              <w:t>R 1,240</w:t>
            </w:r>
          </w:p>
        </w:tc>
      </w:tr>
      <w:tr>
        <w:tc>
          <w:tcPr>
            <w:tcW w:type="dxa" w:w="2928"/>
          </w:tcPr>
          <w:p>
            <w:pPr>
              <w:spacing w:after="40"/>
            </w:pPr>
            <w:r>
              <w:rPr>
                <w:rFonts w:ascii="Arial" w:hAnsi="Arial"/>
                <w:b w:val="0"/>
                <w:i w:val="0"/>
                <w:color w:val="000000"/>
                <w:sz w:val="22"/>
              </w:rPr>
              <w:t>Total per episode</w:t>
            </w:r>
          </w:p>
        </w:tc>
        <w:tc>
          <w:tcPr>
            <w:tcW w:type="dxa" w:w="2928"/>
          </w:tcPr>
          <w:p>
            <w:pPr>
              <w:spacing w:after="40"/>
            </w:pPr>
            <w:r>
              <w:rPr>
                <w:rFonts w:ascii="Arial" w:hAnsi="Arial"/>
                <w:b w:val="0"/>
                <w:i w:val="0"/>
                <w:color w:val="000000"/>
                <w:sz w:val="22"/>
              </w:rPr>
              <w:t>10 visits, applied to all births</w:t>
            </w:r>
          </w:p>
        </w:tc>
        <w:tc>
          <w:tcPr>
            <w:tcW w:type="dxa" w:w="2928"/>
          </w:tcPr>
          <w:p>
            <w:pPr>
              <w:spacing w:after="40"/>
            </w:pPr>
            <w:r>
              <w:rPr>
                <w:rFonts w:ascii="Arial" w:hAnsi="Arial"/>
                <w:b w:val="0"/>
                <w:i w:val="0"/>
                <w:color w:val="000000"/>
                <w:sz w:val="22"/>
              </w:rPr>
              <w:t>R 1,860</w:t>
            </w:r>
          </w:p>
        </w:tc>
      </w:tr>
    </w:tbl>
    <w:p/>
    <w:p>
      <w:pPr>
        <w:spacing w:before="240" w:after="80"/>
      </w:pPr>
      <w:r>
        <w:rPr>
          <w:rFonts w:ascii="Arial" w:hAnsi="Arial"/>
          <w:b/>
          <w:i w:val="0"/>
          <w:color w:val="599591"/>
          <w:sz w:val="24"/>
        </w:rPr>
        <w:t>5.4 In-hospital (intrapartum) midwifery</w:t>
      </w:r>
    </w:p>
    <w:p>
      <w:pPr>
        <w:spacing w:after="120"/>
      </w:pPr>
      <w:r>
        <w:rPr>
          <w:rFonts w:ascii="Arial" w:hAnsi="Arial"/>
          <w:b w:val="0"/>
          <w:i w:val="0"/>
          <w:color w:val="000000"/>
          <w:sz w:val="22"/>
        </w:rPr>
        <w:t>Collapsed into the per diem. Midwives are on hospital payroll. The midwifery cost is treated as an allowance embedded in the board rate: R200/day uplift for NVD, R300/day uplift for CS. No separate line item in the model.</w:t>
      </w:r>
    </w:p>
    <w:p/>
    <w:p>
      <w:pPr>
        <w:spacing w:before="240" w:after="80"/>
      </w:pPr>
      <w:r>
        <w:rPr>
          <w:rFonts w:ascii="Arial" w:hAnsi="Arial"/>
          <w:b/>
          <w:i w:val="0"/>
          <w:color w:val="599591"/>
          <w:sz w:val="24"/>
        </w:rPr>
        <w:t>5.5 Board / facility (incl. midwifery allowance, medicines, consumables)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fill="D6EDEC"/>
          </w:tcPr>
          <w:p>
            <w:pPr>
              <w:spacing w:after="40"/>
            </w:pPr>
            <w:r>
              <w:rPr>
                <w:rFonts w:ascii="Arial" w:hAnsi="Arial"/>
                <w:b/>
                <w:i w:val="0"/>
                <w:color w:val="000000"/>
                <w:sz w:val="22"/>
              </w:rPr>
              <w:t>Birth type</w:t>
            </w:r>
          </w:p>
        </w:tc>
        <w:tc>
          <w:tcPr>
            <w:tcW w:type="dxa" w:w="2196"/>
            <w:shd w:fill="D6EDEC"/>
          </w:tcPr>
          <w:p>
            <w:pPr>
              <w:spacing w:after="40"/>
            </w:pPr>
            <w:r>
              <w:rPr>
                <w:rFonts w:ascii="Arial" w:hAnsi="Arial"/>
                <w:b/>
                <w:i w:val="0"/>
                <w:color w:val="000000"/>
                <w:sz w:val="22"/>
              </w:rPr>
              <w:t>LOS</w:t>
            </w:r>
          </w:p>
        </w:tc>
        <w:tc>
          <w:tcPr>
            <w:tcW w:type="dxa" w:w="2196"/>
            <w:shd w:fill="D6EDEC"/>
          </w:tcPr>
          <w:p>
            <w:pPr>
              <w:spacing w:after="40"/>
            </w:pPr>
            <w:r>
              <w:rPr>
                <w:rFonts w:ascii="Arial" w:hAnsi="Arial"/>
                <w:b/>
                <w:i w:val="0"/>
                <w:color w:val="000000"/>
                <w:sz w:val="22"/>
              </w:rPr>
              <w:t>Rate/day</w:t>
            </w:r>
          </w:p>
        </w:tc>
        <w:tc>
          <w:tcPr>
            <w:tcW w:type="dxa" w:w="2196"/>
            <w:shd w:fill="D6EDEC"/>
          </w:tcPr>
          <w:p>
            <w:pPr>
              <w:spacing w:after="40"/>
            </w:pPr>
            <w:r>
              <w:rPr>
                <w:rFonts w:ascii="Arial" w:hAnsi="Arial"/>
                <w:b/>
                <w:i w:val="0"/>
                <w:color w:val="000000"/>
                <w:sz w:val="22"/>
              </w:rPr>
              <w:t>Cost per birth</w:t>
            </w:r>
          </w:p>
        </w:tc>
      </w:tr>
      <w:tr>
        <w:tc>
          <w:tcPr>
            <w:tcW w:type="dxa" w:w="2196"/>
          </w:tcPr>
          <w:p>
            <w:pPr>
              <w:spacing w:after="40"/>
            </w:pPr>
            <w:r>
              <w:rPr>
                <w:rFonts w:ascii="Arial" w:hAnsi="Arial"/>
                <w:b w:val="0"/>
                <w:i w:val="0"/>
                <w:color w:val="000000"/>
                <w:sz w:val="22"/>
              </w:rPr>
              <w:t>NVD</w:t>
            </w:r>
          </w:p>
        </w:tc>
        <w:tc>
          <w:tcPr>
            <w:tcW w:type="dxa" w:w="2196"/>
          </w:tcPr>
          <w:p>
            <w:pPr>
              <w:spacing w:after="40"/>
            </w:pPr>
            <w:r>
              <w:rPr>
                <w:rFonts w:ascii="Arial" w:hAnsi="Arial"/>
                <w:b w:val="0"/>
                <w:i w:val="0"/>
                <w:color w:val="000000"/>
                <w:sz w:val="22"/>
              </w:rPr>
              <w:t>24 hrs (1.0 day)</w:t>
            </w:r>
          </w:p>
        </w:tc>
        <w:tc>
          <w:tcPr>
            <w:tcW w:type="dxa" w:w="2196"/>
          </w:tcPr>
          <w:p>
            <w:pPr>
              <w:spacing w:after="40"/>
            </w:pPr>
            <w:r>
              <w:rPr>
                <w:rFonts w:ascii="Arial" w:hAnsi="Arial"/>
                <w:b w:val="0"/>
                <w:i w:val="0"/>
                <w:color w:val="000000"/>
                <w:sz w:val="22"/>
              </w:rPr>
              <w:t>R 3,200</w:t>
            </w:r>
          </w:p>
        </w:tc>
        <w:tc>
          <w:tcPr>
            <w:tcW w:type="dxa" w:w="2196"/>
          </w:tcPr>
          <w:p>
            <w:pPr>
              <w:spacing w:after="40"/>
            </w:pPr>
            <w:r>
              <w:rPr>
                <w:rFonts w:ascii="Arial" w:hAnsi="Arial"/>
                <w:b w:val="0"/>
                <w:i w:val="0"/>
                <w:color w:val="000000"/>
                <w:sz w:val="22"/>
              </w:rPr>
              <w:t>R 3,200</w:t>
            </w:r>
          </w:p>
        </w:tc>
      </w:tr>
      <w:tr>
        <w:tc>
          <w:tcPr>
            <w:tcW w:type="dxa" w:w="2196"/>
          </w:tcPr>
          <w:p>
            <w:pPr>
              <w:spacing w:after="40"/>
            </w:pPr>
            <w:r>
              <w:rPr>
                <w:rFonts w:ascii="Arial" w:hAnsi="Arial"/>
                <w:b w:val="0"/>
                <w:i w:val="0"/>
                <w:color w:val="000000"/>
                <w:sz w:val="22"/>
              </w:rPr>
              <w:t>CS</w:t>
            </w:r>
          </w:p>
        </w:tc>
        <w:tc>
          <w:tcPr>
            <w:tcW w:type="dxa" w:w="2196"/>
          </w:tcPr>
          <w:p>
            <w:pPr>
              <w:spacing w:after="40"/>
            </w:pPr>
            <w:r>
              <w:rPr>
                <w:rFonts w:ascii="Arial" w:hAnsi="Arial"/>
                <w:b w:val="0"/>
                <w:i w:val="0"/>
                <w:color w:val="000000"/>
                <w:sz w:val="22"/>
              </w:rPr>
              <w:t>48 hrs (2.0 days)</w:t>
            </w:r>
          </w:p>
        </w:tc>
        <w:tc>
          <w:tcPr>
            <w:tcW w:type="dxa" w:w="2196"/>
          </w:tcPr>
          <w:p>
            <w:pPr>
              <w:spacing w:after="40"/>
            </w:pPr>
            <w:r>
              <w:rPr>
                <w:rFonts w:ascii="Arial" w:hAnsi="Arial"/>
                <w:b w:val="0"/>
                <w:i w:val="0"/>
                <w:color w:val="000000"/>
                <w:sz w:val="22"/>
              </w:rPr>
              <w:t>R 4,900</w:t>
            </w:r>
          </w:p>
        </w:tc>
        <w:tc>
          <w:tcPr>
            <w:tcW w:type="dxa" w:w="2196"/>
          </w:tcPr>
          <w:p>
            <w:pPr>
              <w:spacing w:after="40"/>
            </w:pPr>
            <w:r>
              <w:rPr>
                <w:rFonts w:ascii="Arial" w:hAnsi="Arial"/>
                <w:b w:val="0"/>
                <w:i w:val="0"/>
                <w:color w:val="000000"/>
                <w:sz w:val="22"/>
              </w:rPr>
              <w:t>R 9,800</w:t>
            </w:r>
          </w:p>
        </w:tc>
      </w:tr>
    </w:tbl>
    <w:p/>
    <w:p>
      <w:pPr>
        <w:spacing w:before="240" w:after="80"/>
      </w:pPr>
      <w:r>
        <w:rPr>
          <w:rFonts w:ascii="Arial" w:hAnsi="Arial"/>
          <w:b/>
          <w:i w:val="0"/>
          <w:color w:val="599591"/>
          <w:sz w:val="24"/>
        </w:rPr>
        <w:t>5.6 MO costs</w:t>
      </w:r>
    </w:p>
    <w:tbl>
      <w:tblPr>
        <w:tblStyle w:val="TableGrid"/>
        <w:tblW w:type="auto" w:w="0"/>
        <w:tblLook w:firstColumn="1" w:firstRow="1" w:lastColumn="0" w:lastRow="0" w:noHBand="0" w:noVBand="1" w:val="04A0"/>
      </w:tblPr>
      <w:tblGrid>
        <w:gridCol w:w="2928"/>
        <w:gridCol w:w="2928"/>
        <w:gridCol w:w="2928"/>
      </w:tblGrid>
      <w:tr>
        <w:tc>
          <w:tcPr>
            <w:tcW w:type="dxa" w:w="2928"/>
            <w:shd w:fill="D6EDEC"/>
          </w:tcPr>
          <w:p>
            <w:pPr>
              <w:spacing w:after="40"/>
            </w:pPr>
            <w:r>
              <w:rPr>
                <w:rFonts w:ascii="Arial" w:hAnsi="Arial"/>
                <w:b/>
                <w:i w:val="0"/>
                <w:color w:val="000000"/>
                <w:sz w:val="22"/>
              </w:rPr>
              <w:t>Item</w:t>
            </w:r>
          </w:p>
        </w:tc>
        <w:tc>
          <w:tcPr>
            <w:tcW w:type="dxa" w:w="2928"/>
            <w:shd w:fill="D6EDEC"/>
          </w:tcPr>
          <w:p>
            <w:pPr>
              <w:spacing w:after="40"/>
            </w:pPr>
            <w:r>
              <w:rPr>
                <w:rFonts w:ascii="Arial" w:hAnsi="Arial"/>
                <w:b/>
                <w:i w:val="0"/>
                <w:color w:val="000000"/>
                <w:sz w:val="22"/>
              </w:rPr>
              <w:t>Basis</w:t>
            </w:r>
          </w:p>
        </w:tc>
        <w:tc>
          <w:tcPr>
            <w:tcW w:type="dxa" w:w="2928"/>
            <w:shd w:fill="D6EDEC"/>
          </w:tcPr>
          <w:p>
            <w:pPr>
              <w:spacing w:after="40"/>
            </w:pPr>
            <w:r>
              <w:rPr>
                <w:rFonts w:ascii="Arial" w:hAnsi="Arial"/>
                <w:b/>
                <w:i w:val="0"/>
                <w:color w:val="000000"/>
                <w:sz w:val="22"/>
              </w:rPr>
              <w:t>Rate</w:t>
            </w:r>
          </w:p>
        </w:tc>
      </w:tr>
      <w:tr>
        <w:tc>
          <w:tcPr>
            <w:tcW w:type="dxa" w:w="2928"/>
          </w:tcPr>
          <w:p>
            <w:pPr>
              <w:spacing w:after="40"/>
            </w:pPr>
            <w:r>
              <w:rPr>
                <w:rFonts w:ascii="Arial" w:hAnsi="Arial"/>
                <w:b w:val="0"/>
                <w:i w:val="0"/>
                <w:color w:val="000000"/>
                <w:sz w:val="22"/>
              </w:rPr>
              <w:t>Session fee</w:t>
            </w:r>
          </w:p>
        </w:tc>
        <w:tc>
          <w:tcPr>
            <w:tcW w:type="dxa" w:w="2928"/>
          </w:tcPr>
          <w:p>
            <w:pPr>
              <w:spacing w:after="40"/>
            </w:pPr>
            <w:r>
              <w:rPr>
                <w:rFonts w:ascii="Arial" w:hAnsi="Arial"/>
                <w:b w:val="0"/>
                <w:i w:val="0"/>
                <w:color w:val="000000"/>
                <w:sz w:val="22"/>
              </w:rPr>
              <w:t>1 session per 40 enrolments</w:t>
            </w:r>
          </w:p>
        </w:tc>
        <w:tc>
          <w:tcPr>
            <w:tcW w:type="dxa" w:w="2928"/>
          </w:tcPr>
          <w:p>
            <w:pPr>
              <w:spacing w:after="40"/>
            </w:pPr>
            <w:r>
              <w:rPr>
                <w:rFonts w:ascii="Arial" w:hAnsi="Arial"/>
                <w:b w:val="0"/>
                <w:i w:val="0"/>
                <w:color w:val="000000"/>
                <w:sz w:val="22"/>
              </w:rPr>
              <w:t>R 2,000/session</w:t>
            </w:r>
          </w:p>
        </w:tc>
      </w:tr>
      <w:tr>
        <w:tc>
          <w:tcPr>
            <w:tcW w:type="dxa" w:w="2928"/>
          </w:tcPr>
          <w:p>
            <w:pPr>
              <w:spacing w:after="40"/>
            </w:pPr>
            <w:r>
              <w:rPr>
                <w:rFonts w:ascii="Arial" w:hAnsi="Arial"/>
                <w:b w:val="0"/>
                <w:i w:val="0"/>
                <w:color w:val="000000"/>
                <w:sz w:val="22"/>
              </w:rPr>
              <w:t>Birth fee</w:t>
            </w:r>
          </w:p>
        </w:tc>
        <w:tc>
          <w:tcPr>
            <w:tcW w:type="dxa" w:w="2928"/>
          </w:tcPr>
          <w:p>
            <w:pPr>
              <w:spacing w:after="40"/>
            </w:pPr>
            <w:r>
              <w:rPr>
                <w:rFonts w:ascii="Arial" w:hAnsi="Arial"/>
                <w:b w:val="0"/>
                <w:i w:val="0"/>
                <w:color w:val="000000"/>
                <w:sz w:val="22"/>
              </w:rPr>
              <w:t>MO-assisted NVDs + all CS</w:t>
            </w:r>
          </w:p>
        </w:tc>
        <w:tc>
          <w:tcPr>
            <w:tcW w:type="dxa" w:w="2928"/>
          </w:tcPr>
          <w:p>
            <w:pPr>
              <w:spacing w:after="40"/>
            </w:pPr>
            <w:r>
              <w:rPr>
                <w:rFonts w:ascii="Arial" w:hAnsi="Arial"/>
                <w:b w:val="0"/>
                <w:i w:val="0"/>
                <w:color w:val="000000"/>
                <w:sz w:val="22"/>
              </w:rPr>
              <w:t>R 3,000/birth</w:t>
            </w:r>
          </w:p>
        </w:tc>
      </w:tr>
    </w:tbl>
    <w:p/>
    <w:p>
      <w:pPr>
        <w:spacing w:before="240" w:after="80"/>
      </w:pPr>
      <w:r>
        <w:rPr>
          <w:rFonts w:ascii="Arial" w:hAnsi="Arial"/>
          <w:b/>
          <w:i w:val="0"/>
          <w:color w:val="599591"/>
          <w:sz w:val="24"/>
        </w:rPr>
        <w:t>5.7 Anaesthesia</w:t>
      </w:r>
    </w:p>
    <w:tbl>
      <w:tblPr>
        <w:tblStyle w:val="TableGrid"/>
        <w:tblW w:type="auto" w:w="0"/>
        <w:tblLook w:firstColumn="1" w:firstRow="1" w:lastColumn="0" w:lastRow="0" w:noHBand="0" w:noVBand="1" w:val="04A0"/>
      </w:tblPr>
      <w:tblGrid>
        <w:gridCol w:w="2928"/>
        <w:gridCol w:w="2928"/>
        <w:gridCol w:w="2928"/>
      </w:tblGrid>
      <w:tr>
        <w:tc>
          <w:tcPr>
            <w:tcW w:type="dxa" w:w="2928"/>
            <w:shd w:fill="D6EDEC"/>
          </w:tcPr>
          <w:p>
            <w:pPr>
              <w:spacing w:after="40"/>
            </w:pPr>
            <w:r>
              <w:rPr>
                <w:rFonts w:ascii="Arial" w:hAnsi="Arial"/>
                <w:b/>
                <w:i w:val="0"/>
                <w:color w:val="000000"/>
                <w:sz w:val="22"/>
              </w:rPr>
              <w:t>Item</w:t>
            </w:r>
          </w:p>
        </w:tc>
        <w:tc>
          <w:tcPr>
            <w:tcW w:type="dxa" w:w="2928"/>
            <w:shd w:fill="D6EDEC"/>
          </w:tcPr>
          <w:p>
            <w:pPr>
              <w:spacing w:after="40"/>
            </w:pPr>
            <w:r>
              <w:rPr>
                <w:rFonts w:ascii="Arial" w:hAnsi="Arial"/>
                <w:b/>
                <w:i w:val="0"/>
                <w:color w:val="000000"/>
                <w:sz w:val="22"/>
              </w:rPr>
              <w:t>Basis</w:t>
            </w:r>
          </w:p>
        </w:tc>
        <w:tc>
          <w:tcPr>
            <w:tcW w:type="dxa" w:w="2928"/>
            <w:shd w:fill="D6EDEC"/>
          </w:tcPr>
          <w:p>
            <w:pPr>
              <w:spacing w:after="40"/>
            </w:pPr>
            <w:r>
              <w:rPr>
                <w:rFonts w:ascii="Arial" w:hAnsi="Arial"/>
                <w:b/>
                <w:i w:val="0"/>
                <w:color w:val="000000"/>
                <w:sz w:val="22"/>
              </w:rPr>
              <w:t>Rate</w:t>
            </w:r>
          </w:p>
        </w:tc>
      </w:tr>
      <w:tr>
        <w:tc>
          <w:tcPr>
            <w:tcW w:type="dxa" w:w="2928"/>
          </w:tcPr>
          <w:p>
            <w:pPr>
              <w:spacing w:after="40"/>
            </w:pPr>
            <w:r>
              <w:rPr>
                <w:rFonts w:ascii="Arial" w:hAnsi="Arial"/>
                <w:b w:val="0"/>
                <w:i w:val="0"/>
                <w:color w:val="000000"/>
                <w:sz w:val="22"/>
              </w:rPr>
              <w:t>Anaesthesia fee</w:t>
            </w:r>
          </w:p>
        </w:tc>
        <w:tc>
          <w:tcPr>
            <w:tcW w:type="dxa" w:w="2928"/>
          </w:tcPr>
          <w:p>
            <w:pPr>
              <w:spacing w:after="40"/>
            </w:pPr>
            <w:r>
              <w:rPr>
                <w:rFonts w:ascii="Arial" w:hAnsi="Arial"/>
                <w:b w:val="0"/>
                <w:i w:val="0"/>
                <w:color w:val="000000"/>
                <w:sz w:val="22"/>
              </w:rPr>
              <w:t>All CS births</w:t>
            </w:r>
          </w:p>
        </w:tc>
        <w:tc>
          <w:tcPr>
            <w:tcW w:type="dxa" w:w="2928"/>
          </w:tcPr>
          <w:p>
            <w:pPr>
              <w:spacing w:after="40"/>
            </w:pPr>
            <w:r>
              <w:rPr>
                <w:rFonts w:ascii="Arial" w:hAnsi="Arial"/>
                <w:b w:val="0"/>
                <w:i w:val="0"/>
                <w:color w:val="000000"/>
                <w:sz w:val="22"/>
              </w:rPr>
              <w:t>R 5,000/CS</w:t>
            </w:r>
          </w:p>
        </w:tc>
      </w:tr>
    </w:tbl>
    <w:p/>
    <w:p>
      <w:pPr>
        <w:spacing w:before="240" w:after="80"/>
      </w:pPr>
      <w:r>
        <w:rPr>
          <w:rFonts w:ascii="Arial" w:hAnsi="Arial"/>
          <w:b/>
          <w:i w:val="0"/>
          <w:color w:val="599591"/>
          <w:sz w:val="24"/>
        </w:rPr>
        <w:t>5.8 OB pool</w:t>
      </w:r>
    </w:p>
    <w:p>
      <w:pPr>
        <w:spacing w:after="120"/>
      </w:pPr>
      <w:r>
        <w:rPr>
          <w:rFonts w:ascii="Arial" w:hAnsi="Arial"/>
          <w:b w:val="0"/>
          <w:i w:val="0"/>
          <w:color w:val="000000"/>
          <w:sz w:val="22"/>
        </w:rPr>
        <w:t>Restructured from a retainer + PEPM model to a per-event model reflecting actual OB activity. Rationale: more transparent, easier to audit, and more attractive to younger OBs who prefer predictable income tied to programme activity rather than enrolment counts.</w:t>
      </w:r>
    </w:p>
    <w:p/>
    <w:tbl>
      <w:tblPr>
        <w:tblStyle w:val="TableGrid"/>
        <w:tblW w:type="auto" w:w="0"/>
        <w:tblLook w:firstColumn="1" w:firstRow="1" w:lastColumn="0" w:lastRow="0" w:noHBand="0" w:noVBand="1" w:val="04A0"/>
      </w:tblPr>
      <w:tblGrid>
        <w:gridCol w:w="2196"/>
        <w:gridCol w:w="2196"/>
        <w:gridCol w:w="2196"/>
        <w:gridCol w:w="2196"/>
      </w:tblGrid>
      <w:tr>
        <w:tc>
          <w:tcPr>
            <w:tcW w:type="dxa" w:w="2196"/>
            <w:shd w:fill="D6EDEC"/>
          </w:tcPr>
          <w:p>
            <w:pPr>
              <w:spacing w:after="40"/>
            </w:pPr>
            <w:r>
              <w:rPr>
                <w:rFonts w:ascii="Arial" w:hAnsi="Arial"/>
                <w:b/>
                <w:i w:val="0"/>
                <w:color w:val="000000"/>
                <w:sz w:val="22"/>
              </w:rPr>
              <w:t>Component</w:t>
            </w:r>
          </w:p>
        </w:tc>
        <w:tc>
          <w:tcPr>
            <w:tcW w:type="dxa" w:w="2196"/>
            <w:shd w:fill="D6EDEC"/>
          </w:tcPr>
          <w:p>
            <w:pPr>
              <w:spacing w:after="40"/>
            </w:pPr>
            <w:r>
              <w:rPr>
                <w:rFonts w:ascii="Arial" w:hAnsi="Arial"/>
                <w:b/>
                <w:i w:val="0"/>
                <w:color w:val="000000"/>
                <w:sz w:val="22"/>
              </w:rPr>
              <w:t>Basis</w:t>
            </w:r>
          </w:p>
        </w:tc>
        <w:tc>
          <w:tcPr>
            <w:tcW w:type="dxa" w:w="2196"/>
            <w:shd w:fill="D6EDEC"/>
          </w:tcPr>
          <w:p>
            <w:pPr>
              <w:spacing w:after="40"/>
            </w:pPr>
            <w:r>
              <w:rPr>
                <w:rFonts w:ascii="Arial" w:hAnsi="Arial"/>
                <w:b/>
                <w:i w:val="0"/>
                <w:color w:val="000000"/>
                <w:sz w:val="22"/>
              </w:rPr>
              <w:t>Rate</w:t>
            </w:r>
          </w:p>
        </w:tc>
        <w:tc>
          <w:tcPr>
            <w:tcW w:type="dxa" w:w="2196"/>
            <w:shd w:fill="D6EDEC"/>
          </w:tcPr>
          <w:p>
            <w:pPr>
              <w:spacing w:after="40"/>
            </w:pPr>
            <w:r>
              <w:rPr>
                <w:rFonts w:ascii="Arial" w:hAnsi="Arial"/>
                <w:b/>
                <w:i w:val="0"/>
                <w:color w:val="000000"/>
                <w:sz w:val="22"/>
              </w:rPr>
              <w:t>Rationale</w:t>
            </w:r>
          </w:p>
        </w:tc>
      </w:tr>
      <w:tr>
        <w:tc>
          <w:tcPr>
            <w:tcW w:type="dxa" w:w="2196"/>
          </w:tcPr>
          <w:p>
            <w:pPr>
              <w:spacing w:after="40"/>
            </w:pPr>
            <w:r>
              <w:rPr>
                <w:rFonts w:ascii="Arial" w:hAnsi="Arial"/>
                <w:b w:val="0"/>
                <w:i w:val="0"/>
                <w:color w:val="000000"/>
                <w:sz w:val="22"/>
              </w:rPr>
              <w:t>Antenatal episode fee</w:t>
            </w:r>
          </w:p>
        </w:tc>
        <w:tc>
          <w:tcPr>
            <w:tcW w:type="dxa" w:w="2196"/>
          </w:tcPr>
          <w:p>
            <w:pPr>
              <w:spacing w:after="40"/>
            </w:pPr>
            <w:r>
              <w:rPr>
                <w:rFonts w:ascii="Arial" w:hAnsi="Arial"/>
                <w:b w:val="0"/>
                <w:i w:val="0"/>
                <w:color w:val="000000"/>
                <w:sz w:val="22"/>
              </w:rPr>
              <w:t>Per birth (all births)</w:t>
            </w:r>
          </w:p>
        </w:tc>
        <w:tc>
          <w:tcPr>
            <w:tcW w:type="dxa" w:w="2196"/>
          </w:tcPr>
          <w:p>
            <w:pPr>
              <w:spacing w:after="40"/>
            </w:pPr>
            <w:r>
              <w:rPr>
                <w:rFonts w:ascii="Arial" w:hAnsi="Arial"/>
                <w:b w:val="0"/>
                <w:i w:val="0"/>
                <w:color w:val="000000"/>
                <w:sz w:val="22"/>
              </w:rPr>
              <w:t>R 3,000</w:t>
            </w:r>
          </w:p>
        </w:tc>
        <w:tc>
          <w:tcPr>
            <w:tcW w:type="dxa" w:w="2196"/>
          </w:tcPr>
          <w:p>
            <w:pPr>
              <w:spacing w:after="40"/>
            </w:pPr>
            <w:r>
              <w:rPr>
                <w:rFonts w:ascii="Arial" w:hAnsi="Arial"/>
                <w:b w:val="0"/>
                <w:i w:val="0"/>
                <w:color w:val="000000"/>
                <w:sz w:val="22"/>
              </w:rPr>
              <w:t>2 OB visits × R1,500 per pregnancy</w:t>
            </w:r>
          </w:p>
        </w:tc>
      </w:tr>
      <w:tr>
        <w:tc>
          <w:tcPr>
            <w:tcW w:type="dxa" w:w="2196"/>
          </w:tcPr>
          <w:p>
            <w:pPr>
              <w:spacing w:after="40"/>
            </w:pPr>
            <w:r>
              <w:rPr>
                <w:rFonts w:ascii="Arial" w:hAnsi="Arial"/>
                <w:b w:val="0"/>
                <w:i w:val="0"/>
                <w:color w:val="000000"/>
                <w:sz w:val="22"/>
              </w:rPr>
              <w:t>CS delivery fee</w:t>
            </w:r>
          </w:p>
        </w:tc>
        <w:tc>
          <w:tcPr>
            <w:tcW w:type="dxa" w:w="2196"/>
          </w:tcPr>
          <w:p>
            <w:pPr>
              <w:spacing w:after="40"/>
            </w:pPr>
            <w:r>
              <w:rPr>
                <w:rFonts w:ascii="Arial" w:hAnsi="Arial"/>
                <w:b w:val="0"/>
                <w:i w:val="0"/>
                <w:color w:val="000000"/>
                <w:sz w:val="22"/>
              </w:rPr>
              <w:t>Per CS birth</w:t>
            </w:r>
          </w:p>
        </w:tc>
        <w:tc>
          <w:tcPr>
            <w:tcW w:type="dxa" w:w="2196"/>
          </w:tcPr>
          <w:p>
            <w:pPr>
              <w:spacing w:after="40"/>
            </w:pPr>
            <w:r>
              <w:rPr>
                <w:rFonts w:ascii="Arial" w:hAnsi="Arial"/>
                <w:b w:val="0"/>
                <w:i w:val="0"/>
                <w:color w:val="000000"/>
                <w:sz w:val="22"/>
              </w:rPr>
              <w:t>R 5,000</w:t>
            </w:r>
          </w:p>
        </w:tc>
        <w:tc>
          <w:tcPr>
            <w:tcW w:type="dxa" w:w="2196"/>
          </w:tcPr>
          <w:p>
            <w:pPr>
              <w:spacing w:after="40"/>
            </w:pPr>
            <w:r>
              <w:rPr>
                <w:rFonts w:ascii="Arial" w:hAnsi="Arial"/>
                <w:b w:val="0"/>
                <w:i w:val="0"/>
                <w:color w:val="000000"/>
                <w:sz w:val="22"/>
              </w:rPr>
              <w:t>OB is operating surgeon for CS</w:t>
            </w:r>
          </w:p>
        </w:tc>
      </w:tr>
      <w:tr>
        <w:tc>
          <w:tcPr>
            <w:tcW w:type="dxa" w:w="2196"/>
          </w:tcPr>
          <w:p>
            <w:pPr>
              <w:spacing w:after="40"/>
            </w:pPr>
            <w:r>
              <w:rPr>
                <w:rFonts w:ascii="Arial" w:hAnsi="Arial"/>
                <w:b w:val="0"/>
                <w:i w:val="0"/>
                <w:color w:val="000000"/>
                <w:sz w:val="22"/>
              </w:rPr>
              <w:t>Oversight fee</w:t>
            </w:r>
          </w:p>
        </w:tc>
        <w:tc>
          <w:tcPr>
            <w:tcW w:type="dxa" w:w="2196"/>
          </w:tcPr>
          <w:p>
            <w:pPr>
              <w:spacing w:after="40"/>
            </w:pPr>
            <w:r>
              <w:rPr>
                <w:rFonts w:ascii="Arial" w:hAnsi="Arial"/>
                <w:b w:val="0"/>
                <w:i w:val="0"/>
                <w:color w:val="000000"/>
                <w:sz w:val="22"/>
              </w:rPr>
              <w:t>Per total delivery per month</w:t>
            </w:r>
          </w:p>
        </w:tc>
        <w:tc>
          <w:tcPr>
            <w:tcW w:type="dxa" w:w="2196"/>
          </w:tcPr>
          <w:p>
            <w:pPr>
              <w:spacing w:after="40"/>
            </w:pPr>
            <w:r>
              <w:rPr>
                <w:rFonts w:ascii="Arial" w:hAnsi="Arial"/>
                <w:b w:val="0"/>
                <w:i w:val="0"/>
                <w:color w:val="000000"/>
                <w:sz w:val="22"/>
              </w:rPr>
              <w:t>R 750</w:t>
            </w:r>
          </w:p>
        </w:tc>
        <w:tc>
          <w:tcPr>
            <w:tcW w:type="dxa" w:w="2196"/>
          </w:tcPr>
          <w:p>
            <w:pPr>
              <w:spacing w:after="40"/>
            </w:pPr>
            <w:r>
              <w:rPr>
                <w:rFonts w:ascii="Arial" w:hAnsi="Arial"/>
                <w:b w:val="0"/>
                <w:i w:val="0"/>
                <w:color w:val="000000"/>
                <w:sz w:val="22"/>
              </w:rPr>
              <w:t>Case-mix agnostic; tracks actual workload</w:t>
            </w:r>
          </w:p>
        </w:tc>
      </w:tr>
    </w:tbl>
    <w:p/>
    <w:p>
      <w:pPr>
        <w:spacing w:before="320" w:after="80"/>
      </w:pPr>
      <w:r>
        <w:rPr>
          <w:rFonts w:ascii="Arial" w:hAnsi="Arial"/>
          <w:b/>
          <w:i w:val="0"/>
          <w:color w:val="599591"/>
          <w:sz w:val="28"/>
        </w:rPr>
        <w:t>6. Key decisions and rationale</w:t>
      </w:r>
    </w:p>
    <w:tbl>
      <w:tblPr>
        <w:tblStyle w:val="TableGrid"/>
        <w:tblW w:type="auto" w:w="0"/>
        <w:tblLook w:firstColumn="1" w:firstRow="1" w:lastColumn="0" w:lastRow="0" w:noHBand="0" w:noVBand="1" w:val="04A0"/>
      </w:tblPr>
      <w:tblGrid>
        <w:gridCol w:w="4392"/>
        <w:gridCol w:w="4392"/>
      </w:tblGrid>
      <w:tr>
        <w:tc>
          <w:tcPr>
            <w:tcW w:type="dxa" w:w="4392"/>
            <w:shd w:fill="D6EDEC"/>
          </w:tcPr>
          <w:p>
            <w:pPr>
              <w:spacing w:after="40"/>
            </w:pPr>
            <w:r>
              <w:rPr>
                <w:rFonts w:ascii="Arial" w:hAnsi="Arial"/>
                <w:b/>
                <w:i w:val="0"/>
                <w:color w:val="000000"/>
                <w:sz w:val="22"/>
              </w:rPr>
              <w:t>Decision</w:t>
            </w:r>
          </w:p>
        </w:tc>
        <w:tc>
          <w:tcPr>
            <w:tcW w:type="dxa" w:w="4392"/>
            <w:shd w:fill="D6EDEC"/>
          </w:tcPr>
          <w:p>
            <w:pPr>
              <w:spacing w:after="40"/>
            </w:pPr>
            <w:r>
              <w:rPr>
                <w:rFonts w:ascii="Arial" w:hAnsi="Arial"/>
                <w:b/>
                <w:i w:val="0"/>
                <w:color w:val="000000"/>
                <w:sz w:val="22"/>
              </w:rPr>
              <w:t>Rationale</w:t>
            </w:r>
          </w:p>
        </w:tc>
      </w:tr>
      <w:tr>
        <w:tc>
          <w:tcPr>
            <w:tcW w:type="dxa" w:w="4392"/>
          </w:tcPr>
          <w:p>
            <w:pPr>
              <w:spacing w:after="40"/>
            </w:pPr>
            <w:r>
              <w:rPr>
                <w:rFonts w:ascii="Arial" w:hAnsi="Arial"/>
                <w:b w:val="0"/>
                <w:i w:val="0"/>
                <w:color w:val="000000"/>
                <w:sz w:val="22"/>
              </w:rPr>
              <w:t>Pool model preferred over fee-for-service for OB</w:t>
            </w:r>
          </w:p>
        </w:tc>
        <w:tc>
          <w:tcPr>
            <w:tcW w:type="dxa" w:w="4392"/>
          </w:tcPr>
          <w:p>
            <w:pPr>
              <w:spacing w:after="40"/>
            </w:pPr>
            <w:r>
              <w:rPr>
                <w:rFonts w:ascii="Arial" w:hAnsi="Arial"/>
                <w:b w:val="0"/>
                <w:i w:val="0"/>
                <w:color w:val="000000"/>
                <w:sz w:val="22"/>
              </w:rPr>
              <w:t>FFS (antenatal visits + CS delivery fees alone) exceeds pool cost from Month 6 onwards. Pool is cheaper for the programme and offers income stability attractive to younger OBs. Pool also removes incentive to perform CS.</w:t>
            </w:r>
          </w:p>
        </w:tc>
      </w:tr>
      <w:tr>
        <w:tc>
          <w:tcPr>
            <w:tcW w:type="dxa" w:w="4392"/>
          </w:tcPr>
          <w:p>
            <w:pPr>
              <w:spacing w:after="40"/>
            </w:pPr>
            <w:r>
              <w:rPr>
                <w:rFonts w:ascii="Arial" w:hAnsi="Arial"/>
                <w:b w:val="0"/>
                <w:i w:val="0"/>
                <w:color w:val="000000"/>
                <w:sz w:val="22"/>
              </w:rPr>
              <w:t>Oversight fee tied to total deliveries, not enrolments</w:t>
            </w:r>
          </w:p>
        </w:tc>
        <w:tc>
          <w:tcPr>
            <w:tcW w:type="dxa" w:w="4392"/>
          </w:tcPr>
          <w:p>
            <w:pPr>
              <w:spacing w:after="40"/>
            </w:pPr>
            <w:r>
              <w:rPr>
                <w:rFonts w:ascii="Arial" w:hAnsi="Arial"/>
                <w:b w:val="0"/>
                <w:i w:val="0"/>
                <w:color w:val="000000"/>
                <w:sz w:val="22"/>
              </w:rPr>
              <w:t>Enrolment-based fees expose the programme to falloffs, miscarriages, and referrals. Delivery-based fee reflects actual workload and is case-mix agnostic.</w:t>
            </w:r>
          </w:p>
        </w:tc>
      </w:tr>
      <w:tr>
        <w:tc>
          <w:tcPr>
            <w:tcW w:type="dxa" w:w="4392"/>
          </w:tcPr>
          <w:p>
            <w:pPr>
              <w:spacing w:after="40"/>
            </w:pPr>
            <w:r>
              <w:rPr>
                <w:rFonts w:ascii="Arial" w:hAnsi="Arial"/>
                <w:b w:val="0"/>
                <w:i w:val="0"/>
                <w:color w:val="000000"/>
                <w:sz w:val="22"/>
              </w:rPr>
              <w:t>Intrapartum midwifery collapsed into per diem</w:t>
            </w:r>
          </w:p>
        </w:tc>
        <w:tc>
          <w:tcPr>
            <w:tcW w:type="dxa" w:w="4392"/>
          </w:tcPr>
          <w:p>
            <w:pPr>
              <w:spacing w:after="40"/>
            </w:pPr>
            <w:r>
              <w:rPr>
                <w:rFonts w:ascii="Arial" w:hAnsi="Arial"/>
                <w:b w:val="0"/>
                <w:i w:val="0"/>
                <w:color w:val="000000"/>
                <w:sz w:val="22"/>
              </w:rPr>
              <w:t>Midwives are on hospital payroll. Separating their cost creates administrative complexity without adding analytical value. The per diem uplift (R200 NVD, R300 CS) makes the cost transparent and easy to negotiate.</w:t>
            </w:r>
          </w:p>
        </w:tc>
      </w:tr>
      <w:tr>
        <w:tc>
          <w:tcPr>
            <w:tcW w:type="dxa" w:w="4392"/>
          </w:tcPr>
          <w:p>
            <w:pPr>
              <w:spacing w:after="40"/>
            </w:pPr>
            <w:r>
              <w:rPr>
                <w:rFonts w:ascii="Arial" w:hAnsi="Arial"/>
                <w:b w:val="0"/>
                <w:i w:val="0"/>
                <w:color w:val="000000"/>
                <w:sz w:val="22"/>
              </w:rPr>
              <w:t>CPI escalation applied to both prices</w:t>
            </w:r>
          </w:p>
        </w:tc>
        <w:tc>
          <w:tcPr>
            <w:tcW w:type="dxa" w:w="4392"/>
          </w:tcPr>
          <w:p>
            <w:pPr>
              <w:spacing w:after="40"/>
            </w:pPr>
            <w:r>
              <w:rPr>
                <w:rFonts w:ascii="Arial" w:hAnsi="Arial"/>
                <w:b w:val="0"/>
                <w:i w:val="0"/>
                <w:color w:val="000000"/>
                <w:sz w:val="22"/>
              </w:rPr>
              <w:t>MA price is contractually fixed and escalates at CPI. Cash price follows the same logic. The price_stress scenario uses the 4% CPI floor to model the downside.</w:t>
            </w:r>
          </w:p>
        </w:tc>
      </w:tr>
      <w:tr>
        <w:tc>
          <w:tcPr>
            <w:tcW w:type="dxa" w:w="4392"/>
          </w:tcPr>
          <w:p>
            <w:pPr>
              <w:spacing w:after="40"/>
            </w:pPr>
            <w:r>
              <w:rPr>
                <w:rFonts w:ascii="Arial" w:hAnsi="Arial"/>
                <w:b w:val="0"/>
                <w:i w:val="0"/>
                <w:color w:val="000000"/>
                <w:sz w:val="22"/>
              </w:rPr>
              <w:t>CS rate reduction as a core objective</w:t>
            </w:r>
          </w:p>
        </w:tc>
        <w:tc>
          <w:tcPr>
            <w:tcW w:type="dxa" w:w="4392"/>
          </w:tcPr>
          <w:p>
            <w:pPr>
              <w:spacing w:after="40"/>
            </w:pPr>
            <w:r>
              <w:rPr>
                <w:rFonts w:ascii="Arial" w:hAnsi="Arial"/>
                <w:b w:val="0"/>
                <w:i w:val="0"/>
                <w:color w:val="000000"/>
                <w:sz w:val="22"/>
              </w:rPr>
              <w:t>The high_cs_rate scenario shows a significantly worse cashflow outcome. A shared interest in CS reduction aligns clinical and financial objectives and strengthens the partnership case.</w:t>
            </w:r>
          </w:p>
        </w:tc>
      </w:tr>
    </w:tbl>
    <w:p/>
    <w:p>
      <w:pPr>
        <w:spacing w:before="320" w:after="80"/>
      </w:pPr>
      <w:r>
        <w:rPr>
          <w:rFonts w:ascii="Arial" w:hAnsi="Arial"/>
          <w:b/>
          <w:i w:val="0"/>
          <w:color w:val="599591"/>
          <w:sz w:val="28"/>
        </w:rPr>
        <w:t>7. How to update the model</w:t>
      </w:r>
    </w:p>
    <w:p>
      <w:pPr>
        <w:spacing w:before="240" w:after="80"/>
      </w:pPr>
      <w:r>
        <w:rPr>
          <w:rFonts w:ascii="Arial" w:hAnsi="Arial"/>
          <w:b/>
          <w:i w:val="0"/>
          <w:color w:val="599591"/>
          <w:sz w:val="24"/>
        </w:rPr>
        <w:t>7.1 Changing assumptions</w:t>
      </w:r>
    </w:p>
    <w:p>
      <w:pPr>
        <w:spacing w:after="120"/>
      </w:pPr>
      <w:r>
        <w:rPr>
          <w:rFonts w:ascii="Arial" w:hAnsi="Arial"/>
          <w:b w:val="0"/>
          <w:i w:val="0"/>
          <w:color w:val="000000"/>
          <w:sz w:val="22"/>
        </w:rPr>
        <w:t>All assumptions are defined in the BASE dictionary in src/scenario_model.py. To change an assumption:</w:t>
      </w:r>
    </w:p>
    <w:p>
      <w:pPr>
        <w:pStyle w:val="ListBullet"/>
        <w:spacing w:after="60"/>
      </w:pPr>
      <w:r>
        <w:rPr>
          <w:rFonts w:ascii="Arial" w:hAnsi="Arial"/>
          <w:b w:val="0"/>
          <w:i w:val="0"/>
          <w:color w:val="000000"/>
          <w:sz w:val="22"/>
        </w:rPr>
        <w:t>Open src/scenario_model.py</w:t>
      </w:r>
    </w:p>
    <w:p>
      <w:pPr>
        <w:pStyle w:val="ListBullet"/>
        <w:spacing w:after="60"/>
      </w:pPr>
      <w:r>
        <w:rPr>
          <w:rFonts w:ascii="Arial" w:hAnsi="Arial"/>
          <w:b w:val="0"/>
          <w:i w:val="0"/>
          <w:color w:val="000000"/>
          <w:sz w:val="22"/>
        </w:rPr>
        <w:t>Find the parameter in the BASE dictionary</w:t>
      </w:r>
    </w:p>
    <w:p>
      <w:pPr>
        <w:pStyle w:val="ListBullet"/>
        <w:spacing w:after="60"/>
      </w:pPr>
      <w:r>
        <w:rPr>
          <w:rFonts w:ascii="Arial" w:hAnsi="Arial"/>
          <w:b w:val="0"/>
          <w:i w:val="0"/>
          <w:color w:val="000000"/>
          <w:sz w:val="22"/>
        </w:rPr>
        <w:t>Update the value</w:t>
      </w:r>
    </w:p>
    <w:p>
      <w:pPr>
        <w:pStyle w:val="ListBullet"/>
        <w:spacing w:after="60"/>
      </w:pPr>
      <w:r>
        <w:rPr>
          <w:rFonts w:ascii="Arial" w:hAnsi="Arial"/>
          <w:b w:val="0"/>
          <w:i w:val="0"/>
          <w:color w:val="000000"/>
          <w:sz w:val="22"/>
        </w:rPr>
        <w:t>Run: python src/scenario_model.py</w:t>
      </w:r>
    </w:p>
    <w:p>
      <w:pPr>
        <w:pStyle w:val="ListBullet"/>
        <w:spacing w:after="60"/>
      </w:pPr>
      <w:r>
        <w:rPr>
          <w:rFonts w:ascii="Arial" w:hAnsi="Arial"/>
          <w:b w:val="0"/>
          <w:i w:val="0"/>
          <w:color w:val="000000"/>
          <w:sz w:val="22"/>
        </w:rPr>
        <w:t>New output CSVs are written to outputs/ with today's date</w:t>
      </w:r>
    </w:p>
    <w:p>
      <w:pPr>
        <w:pStyle w:val="ListBullet"/>
        <w:spacing w:after="60"/>
      </w:pPr>
      <w:r>
        <w:rPr>
          <w:rFonts w:ascii="Arial" w:hAnsi="Arial"/>
          <w:b w:val="0"/>
          <w:i w:val="0"/>
          <w:color w:val="000000"/>
          <w:sz w:val="22"/>
        </w:rPr>
        <w:t>The dashboard picks up the latest files automatically on next load</w:t>
      </w:r>
    </w:p>
    <w:p/>
    <w:p>
      <w:pPr>
        <w:spacing w:before="240" w:after="80"/>
      </w:pPr>
      <w:r>
        <w:rPr>
          <w:rFonts w:ascii="Arial" w:hAnsi="Arial"/>
          <w:b/>
          <w:i w:val="0"/>
          <w:color w:val="599591"/>
          <w:sz w:val="24"/>
        </w:rPr>
        <w:t>7.2 Adding a new scenario</w:t>
      </w:r>
    </w:p>
    <w:p>
      <w:pPr>
        <w:spacing w:after="120"/>
      </w:pPr>
      <w:r>
        <w:rPr>
          <w:rFonts w:ascii="Arial" w:hAnsi="Arial"/>
          <w:b w:val="0"/>
          <w:i w:val="0"/>
          <w:color w:val="000000"/>
          <w:sz w:val="22"/>
        </w:rPr>
        <w:t>Add an entry to the SCENARIOS dictionary in src/scenario_model.py using the BASE dictionary as a base and overriding only the parameters that differ. Then add the scenario name and colour to SCENARIO_COLORS and SCENARIO_LABELS in dashboards/app.py.</w:t>
      </w:r>
    </w:p>
    <w:p/>
    <w:p>
      <w:pPr>
        <w:spacing w:before="240" w:after="80"/>
      </w:pPr>
      <w:r>
        <w:rPr>
          <w:rFonts w:ascii="Arial" w:hAnsi="Arial"/>
          <w:b/>
          <w:i w:val="0"/>
          <w:color w:val="599591"/>
          <w:sz w:val="24"/>
        </w:rPr>
        <w:t>7.3 Deploying updates</w:t>
      </w:r>
    </w:p>
    <w:p>
      <w:pPr>
        <w:spacing w:after="120"/>
      </w:pPr>
      <w:r>
        <w:rPr>
          <w:rFonts w:ascii="Arial" w:hAnsi="Arial"/>
          <w:b w:val="0"/>
          <w:i w:val="0"/>
          <w:color w:val="000000"/>
          <w:sz w:val="22"/>
        </w:rPr>
        <w:t>After making changes:</w:t>
      </w:r>
    </w:p>
    <w:p>
      <w:pPr>
        <w:pStyle w:val="ListBullet"/>
        <w:spacing w:after="60"/>
      </w:pPr>
      <w:r>
        <w:rPr>
          <w:rFonts w:ascii="Arial" w:hAnsi="Arial"/>
          <w:b w:val="0"/>
          <w:i w:val="0"/>
          <w:color w:val="000000"/>
          <w:sz w:val="22"/>
        </w:rPr>
        <w:t>Run: python src/scenario_model.py  (regenerates CSVs)</w:t>
      </w:r>
    </w:p>
    <w:p>
      <w:pPr>
        <w:pStyle w:val="ListBullet"/>
        <w:spacing w:after="60"/>
      </w:pPr>
      <w:r>
        <w:rPr>
          <w:rFonts w:ascii="Arial" w:hAnsi="Arial"/>
          <w:b w:val="0"/>
          <w:i w:val="0"/>
          <w:color w:val="000000"/>
          <w:sz w:val="22"/>
        </w:rPr>
        <w:t>Commit: git add . &amp;&amp; git commit -m 'description of change'</w:t>
      </w:r>
    </w:p>
    <w:p>
      <w:pPr>
        <w:pStyle w:val="ListBullet"/>
        <w:spacing w:after="60"/>
      </w:pPr>
      <w:r>
        <w:rPr>
          <w:rFonts w:ascii="Arial" w:hAnsi="Arial"/>
          <w:b w:val="0"/>
          <w:i w:val="0"/>
          <w:color w:val="000000"/>
          <w:sz w:val="22"/>
        </w:rPr>
        <w:t>Push: ~/Desktop/push.sh  (paste PAT when prompted)</w:t>
      </w:r>
    </w:p>
    <w:p>
      <w:pPr>
        <w:pStyle w:val="ListBullet"/>
        <w:spacing w:after="60"/>
      </w:pPr>
      <w:r>
        <w:rPr>
          <w:rFonts w:ascii="Arial" w:hAnsi="Arial"/>
          <w:b w:val="0"/>
          <w:i w:val="0"/>
          <w:color w:val="000000"/>
          <w:sz w:val="22"/>
        </w:rPr>
        <w:t>Streamlit redeploys automatically within 1–2 minutes</w:t>
      </w:r>
    </w:p>
    <w:p/>
    <w:p>
      <w:pPr>
        <w:spacing w:before="240" w:after="80"/>
      </w:pPr>
      <w:r>
        <w:rPr>
          <w:rFonts w:ascii="Arial" w:hAnsi="Arial"/>
          <w:b/>
          <w:i w:val="0"/>
          <w:color w:val="599591"/>
          <w:sz w:val="24"/>
        </w:rPr>
        <w:t>7.4 File structure</w:t>
      </w:r>
    </w:p>
    <w:tbl>
      <w:tblPr>
        <w:tblStyle w:val="TableGrid"/>
        <w:tblW w:type="auto" w:w="0"/>
        <w:tblLook w:firstColumn="1" w:firstRow="1" w:lastColumn="0" w:lastRow="0" w:noHBand="0" w:noVBand="1" w:val="04A0"/>
      </w:tblPr>
      <w:tblGrid>
        <w:gridCol w:w="4392"/>
        <w:gridCol w:w="4392"/>
      </w:tblGrid>
      <w:tr>
        <w:tc>
          <w:tcPr>
            <w:tcW w:type="dxa" w:w="4392"/>
            <w:shd w:fill="D6EDEC"/>
          </w:tcPr>
          <w:p>
            <w:pPr>
              <w:spacing w:after="40"/>
            </w:pPr>
            <w:r>
              <w:rPr>
                <w:rFonts w:ascii="Arial" w:hAnsi="Arial"/>
                <w:b/>
                <w:i w:val="0"/>
                <w:color w:val="000000"/>
                <w:sz w:val="22"/>
              </w:rPr>
              <w:t>File / folder</w:t>
            </w:r>
          </w:p>
        </w:tc>
        <w:tc>
          <w:tcPr>
            <w:tcW w:type="dxa" w:w="4392"/>
            <w:shd w:fill="D6EDEC"/>
          </w:tcPr>
          <w:p>
            <w:pPr>
              <w:spacing w:after="40"/>
            </w:pPr>
            <w:r>
              <w:rPr>
                <w:rFonts w:ascii="Arial" w:hAnsi="Arial"/>
                <w:b/>
                <w:i w:val="0"/>
                <w:color w:val="000000"/>
                <w:sz w:val="22"/>
              </w:rPr>
              <w:t>Purpose</w:t>
            </w:r>
          </w:p>
        </w:tc>
      </w:tr>
      <w:tr>
        <w:tc>
          <w:tcPr>
            <w:tcW w:type="dxa" w:w="4392"/>
          </w:tcPr>
          <w:p>
            <w:pPr>
              <w:spacing w:after="40"/>
            </w:pPr>
            <w:r>
              <w:rPr>
                <w:rFonts w:ascii="Arial" w:hAnsi="Arial"/>
                <w:b w:val="0"/>
                <w:i w:val="0"/>
                <w:color w:val="000000"/>
                <w:sz w:val="22"/>
              </w:rPr>
              <w:t>src/scenario_model.py</w:t>
            </w:r>
          </w:p>
        </w:tc>
        <w:tc>
          <w:tcPr>
            <w:tcW w:type="dxa" w:w="4392"/>
          </w:tcPr>
          <w:p>
            <w:pPr>
              <w:spacing w:after="40"/>
            </w:pPr>
            <w:r>
              <w:rPr>
                <w:rFonts w:ascii="Arial" w:hAnsi="Arial"/>
                <w:b w:val="0"/>
                <w:i w:val="0"/>
                <w:color w:val="000000"/>
                <w:sz w:val="22"/>
              </w:rPr>
              <w:t>All model logic and scenario definitions</w:t>
            </w:r>
          </w:p>
        </w:tc>
      </w:tr>
      <w:tr>
        <w:tc>
          <w:tcPr>
            <w:tcW w:type="dxa" w:w="4392"/>
          </w:tcPr>
          <w:p>
            <w:pPr>
              <w:spacing w:after="40"/>
            </w:pPr>
            <w:r>
              <w:rPr>
                <w:rFonts w:ascii="Arial" w:hAnsi="Arial"/>
                <w:b w:val="0"/>
                <w:i w:val="0"/>
                <w:color w:val="000000"/>
                <w:sz w:val="22"/>
              </w:rPr>
              <w:t>dashboards/app.py</w:t>
            </w:r>
          </w:p>
        </w:tc>
        <w:tc>
          <w:tcPr>
            <w:tcW w:type="dxa" w:w="4392"/>
          </w:tcPr>
          <w:p>
            <w:pPr>
              <w:spacing w:after="40"/>
            </w:pPr>
            <w:r>
              <w:rPr>
                <w:rFonts w:ascii="Arial" w:hAnsi="Arial"/>
                <w:b w:val="0"/>
                <w:i w:val="0"/>
                <w:color w:val="000000"/>
                <w:sz w:val="22"/>
              </w:rPr>
              <w:t>Streamlit dashboard</w:t>
            </w:r>
          </w:p>
        </w:tc>
      </w:tr>
      <w:tr>
        <w:tc>
          <w:tcPr>
            <w:tcW w:type="dxa" w:w="4392"/>
          </w:tcPr>
          <w:p>
            <w:pPr>
              <w:spacing w:after="40"/>
            </w:pPr>
            <w:r>
              <w:rPr>
                <w:rFonts w:ascii="Arial" w:hAnsi="Arial"/>
                <w:b w:val="0"/>
                <w:i w:val="0"/>
                <w:color w:val="000000"/>
                <w:sz w:val="22"/>
              </w:rPr>
              <w:t>outputs/YYYY-MM-DD_scenario_all.csv</w:t>
            </w:r>
          </w:p>
        </w:tc>
        <w:tc>
          <w:tcPr>
            <w:tcW w:type="dxa" w:w="4392"/>
          </w:tcPr>
          <w:p>
            <w:pPr>
              <w:spacing w:after="40"/>
            </w:pPr>
            <w:r>
              <w:rPr>
                <w:rFonts w:ascii="Arial" w:hAnsi="Arial"/>
                <w:b w:val="0"/>
                <w:i w:val="0"/>
                <w:color w:val="000000"/>
                <w:sz w:val="22"/>
              </w:rPr>
              <w:t>Combined scenario data (all scenarios, all months)</w:t>
            </w:r>
          </w:p>
        </w:tc>
      </w:tr>
      <w:tr>
        <w:tc>
          <w:tcPr>
            <w:tcW w:type="dxa" w:w="4392"/>
          </w:tcPr>
          <w:p>
            <w:pPr>
              <w:spacing w:after="40"/>
            </w:pPr>
            <w:r>
              <w:rPr>
                <w:rFonts w:ascii="Arial" w:hAnsi="Arial"/>
                <w:b w:val="0"/>
                <w:i w:val="0"/>
                <w:color w:val="000000"/>
                <w:sz w:val="22"/>
              </w:rPr>
              <w:t>outputs/YYYY-MM-DD_scenario_summary.csv</w:t>
            </w:r>
          </w:p>
        </w:tc>
        <w:tc>
          <w:tcPr>
            <w:tcW w:type="dxa" w:w="4392"/>
          </w:tcPr>
          <w:p>
            <w:pPr>
              <w:spacing w:after="40"/>
            </w:pPr>
            <w:r>
              <w:rPr>
                <w:rFonts w:ascii="Arial" w:hAnsi="Arial"/>
                <w:b w:val="0"/>
                <w:i w:val="0"/>
                <w:color w:val="000000"/>
                <w:sz w:val="22"/>
              </w:rPr>
              <w:t>Month 12 and Month 24 summary per scenario</w:t>
            </w:r>
          </w:p>
        </w:tc>
      </w:tr>
      <w:tr>
        <w:tc>
          <w:tcPr>
            <w:tcW w:type="dxa" w:w="4392"/>
          </w:tcPr>
          <w:p>
            <w:pPr>
              <w:spacing w:after="40"/>
            </w:pPr>
            <w:r>
              <w:rPr>
                <w:rFonts w:ascii="Arial" w:hAnsi="Arial"/>
                <w:b w:val="0"/>
                <w:i w:val="0"/>
                <w:color w:val="000000"/>
                <w:sz w:val="22"/>
              </w:rPr>
              <w:t>outputs/YYYY-MM-DD_scenario_&lt;name&gt;.csv</w:t>
            </w:r>
          </w:p>
        </w:tc>
        <w:tc>
          <w:tcPr>
            <w:tcW w:type="dxa" w:w="4392"/>
          </w:tcPr>
          <w:p>
            <w:pPr>
              <w:spacing w:after="40"/>
            </w:pPr>
            <w:r>
              <w:rPr>
                <w:rFonts w:ascii="Arial" w:hAnsi="Arial"/>
                <w:b w:val="0"/>
                <w:i w:val="0"/>
                <w:color w:val="000000"/>
                <w:sz w:val="22"/>
              </w:rPr>
              <w:t>Individual scenario files</w:t>
            </w:r>
          </w:p>
        </w:tc>
      </w:tr>
      <w:tr>
        <w:tc>
          <w:tcPr>
            <w:tcW w:type="dxa" w:w="4392"/>
          </w:tcPr>
          <w:p>
            <w:pPr>
              <w:spacing w:after="40"/>
            </w:pPr>
            <w:r>
              <w:rPr>
                <w:rFonts w:ascii="Arial" w:hAnsi="Arial"/>
                <w:b w:val="0"/>
                <w:i w:val="0"/>
                <w:color w:val="000000"/>
                <w:sz w:val="22"/>
              </w:rPr>
              <w:t>docs/</w:t>
            </w:r>
          </w:p>
        </w:tc>
        <w:tc>
          <w:tcPr>
            <w:tcW w:type="dxa" w:w="4392"/>
          </w:tcPr>
          <w:p>
            <w:pPr>
              <w:spacing w:after="40"/>
            </w:pPr>
            <w:r>
              <w:rPr>
                <w:rFonts w:ascii="Arial" w:hAnsi="Arial"/>
                <w:b w:val="0"/>
                <w:i w:val="0"/>
                <w:color w:val="000000"/>
                <w:sz w:val="22"/>
              </w:rPr>
              <w:t>Project documentation and scripts</w:t>
            </w:r>
          </w:p>
        </w:tc>
      </w:tr>
      <w:tr>
        <w:tc>
          <w:tcPr>
            <w:tcW w:type="dxa" w:w="4392"/>
          </w:tcPr>
          <w:p>
            <w:pPr>
              <w:spacing w:after="40"/>
            </w:pPr>
            <w:r>
              <w:rPr>
                <w:rFonts w:ascii="Arial" w:hAnsi="Arial"/>
                <w:b w:val="0"/>
                <w:i w:val="0"/>
                <w:color w:val="000000"/>
                <w:sz w:val="22"/>
              </w:rPr>
              <w:t>requirements.txt</w:t>
            </w:r>
          </w:p>
        </w:tc>
        <w:tc>
          <w:tcPr>
            <w:tcW w:type="dxa" w:w="4392"/>
          </w:tcPr>
          <w:p>
            <w:pPr>
              <w:spacing w:after="40"/>
            </w:pPr>
            <w:r>
              <w:rPr>
                <w:rFonts w:ascii="Arial" w:hAnsi="Arial"/>
                <w:b w:val="0"/>
                <w:i w:val="0"/>
                <w:color w:val="000000"/>
                <w:sz w:val="22"/>
              </w:rPr>
              <w:t>Python dependencies for deployment</w:t>
            </w:r>
          </w:p>
        </w:tc>
      </w:tr>
    </w:tbl>
    <w:p/>
    <w:p>
      <w:pPr>
        <w:spacing w:before="320" w:after="80"/>
      </w:pPr>
      <w:r>
        <w:rPr>
          <w:rFonts w:ascii="Arial" w:hAnsi="Arial"/>
          <w:b/>
          <w:i w:val="0"/>
          <w:color w:val="599591"/>
          <w:sz w:val="28"/>
        </w:rPr>
        <w:t>8. Suggested next steps</w:t>
      </w:r>
    </w:p>
    <w:tbl>
      <w:tblPr>
        <w:tblStyle w:val="TableGrid"/>
        <w:tblW w:type="auto" w:w="0"/>
        <w:tblLook w:firstColumn="1" w:firstRow="1" w:lastColumn="0" w:lastRow="0" w:noHBand="0" w:noVBand="1" w:val="04A0"/>
      </w:tblPr>
      <w:tblGrid>
        <w:gridCol w:w="4392"/>
        <w:gridCol w:w="4392"/>
      </w:tblGrid>
      <w:tr>
        <w:tc>
          <w:tcPr>
            <w:tcW w:type="dxa" w:w="4392"/>
            <w:shd w:fill="D6EDEC"/>
          </w:tcPr>
          <w:p>
            <w:pPr>
              <w:spacing w:after="40"/>
            </w:pPr>
            <w:r>
              <w:rPr>
                <w:rFonts w:ascii="Arial" w:hAnsi="Arial"/>
                <w:b/>
                <w:i w:val="0"/>
                <w:color w:val="000000"/>
                <w:sz w:val="22"/>
              </w:rPr>
              <w:t>Priority</w:t>
            </w:r>
          </w:p>
        </w:tc>
        <w:tc>
          <w:tcPr>
            <w:tcW w:type="dxa" w:w="4392"/>
            <w:shd w:fill="D6EDEC"/>
          </w:tcPr>
          <w:p>
            <w:pPr>
              <w:spacing w:after="40"/>
            </w:pPr>
            <w:r>
              <w:rPr>
                <w:rFonts w:ascii="Arial" w:hAnsi="Arial"/>
                <w:b/>
                <w:i w:val="0"/>
                <w:color w:val="000000"/>
                <w:sz w:val="22"/>
              </w:rPr>
              <w:t>Action</w:t>
            </w:r>
          </w:p>
        </w:tc>
      </w:tr>
      <w:tr>
        <w:tc>
          <w:tcPr>
            <w:tcW w:type="dxa" w:w="4392"/>
          </w:tcPr>
          <w:p>
            <w:pPr>
              <w:spacing w:after="40"/>
            </w:pPr>
            <w:r>
              <w:rPr>
                <w:rFonts w:ascii="Arial" w:hAnsi="Arial"/>
                <w:b w:val="0"/>
                <w:i w:val="0"/>
                <w:color w:val="000000"/>
                <w:sz w:val="22"/>
              </w:rPr>
              <w:t>High</w:t>
            </w:r>
          </w:p>
        </w:tc>
        <w:tc>
          <w:tcPr>
            <w:tcW w:type="dxa" w:w="4392"/>
          </w:tcPr>
          <w:p>
            <w:pPr>
              <w:spacing w:after="40"/>
            </w:pPr>
            <w:r>
              <w:rPr>
                <w:rFonts w:ascii="Arial" w:hAnsi="Arial"/>
                <w:b w:val="0"/>
                <w:i w:val="0"/>
                <w:color w:val="000000"/>
                <w:sz w:val="22"/>
              </w:rPr>
              <w:t>Review all assumptions with hospital group at first negotiation meeting</w:t>
            </w:r>
          </w:p>
        </w:tc>
      </w:tr>
      <w:tr>
        <w:tc>
          <w:tcPr>
            <w:tcW w:type="dxa" w:w="4392"/>
          </w:tcPr>
          <w:p>
            <w:pPr>
              <w:spacing w:after="40"/>
            </w:pPr>
            <w:r>
              <w:rPr>
                <w:rFonts w:ascii="Arial" w:hAnsi="Arial"/>
                <w:b w:val="0"/>
                <w:i w:val="0"/>
                <w:color w:val="000000"/>
                <w:sz w:val="22"/>
              </w:rPr>
              <w:t>High</w:t>
            </w:r>
          </w:p>
        </w:tc>
        <w:tc>
          <w:tcPr>
            <w:tcW w:type="dxa" w:w="4392"/>
          </w:tcPr>
          <w:p>
            <w:pPr>
              <w:spacing w:after="40"/>
            </w:pPr>
            <w:r>
              <w:rPr>
                <w:rFonts w:ascii="Arial" w:hAnsi="Arial"/>
                <w:b w:val="0"/>
                <w:i w:val="0"/>
                <w:color w:val="000000"/>
                <w:sz w:val="22"/>
              </w:rPr>
              <w:t>Update model with agreed terms after negotiation and rerun scenarios</w:t>
            </w:r>
          </w:p>
        </w:tc>
      </w:tr>
      <w:tr>
        <w:tc>
          <w:tcPr>
            <w:tcW w:type="dxa" w:w="4392"/>
          </w:tcPr>
          <w:p>
            <w:pPr>
              <w:spacing w:after="40"/>
            </w:pPr>
            <w:r>
              <w:rPr>
                <w:rFonts w:ascii="Arial" w:hAnsi="Arial"/>
                <w:b w:val="0"/>
                <w:i w:val="0"/>
                <w:color w:val="000000"/>
                <w:sz w:val="22"/>
              </w:rPr>
              <w:t>Medium</w:t>
            </w:r>
          </w:p>
        </w:tc>
        <w:tc>
          <w:tcPr>
            <w:tcW w:type="dxa" w:w="4392"/>
          </w:tcPr>
          <w:p>
            <w:pPr>
              <w:spacing w:after="40"/>
            </w:pPr>
            <w:r>
              <w:rPr>
                <w:rFonts w:ascii="Arial" w:hAnsi="Arial"/>
                <w:b w:val="0"/>
                <w:i w:val="0"/>
                <w:color w:val="000000"/>
                <w:sz w:val="22"/>
              </w:rPr>
              <w:t>Add break-even callout prominently to dashboard</w:t>
            </w:r>
          </w:p>
        </w:tc>
      </w:tr>
      <w:tr>
        <w:tc>
          <w:tcPr>
            <w:tcW w:type="dxa" w:w="4392"/>
          </w:tcPr>
          <w:p>
            <w:pPr>
              <w:spacing w:after="40"/>
            </w:pPr>
            <w:r>
              <w:rPr>
                <w:rFonts w:ascii="Arial" w:hAnsi="Arial"/>
                <w:b w:val="0"/>
                <w:i w:val="0"/>
                <w:color w:val="000000"/>
                <w:sz w:val="22"/>
              </w:rPr>
              <w:t>Medium</w:t>
            </w:r>
          </w:p>
        </w:tc>
        <w:tc>
          <w:tcPr>
            <w:tcW w:type="dxa" w:w="4392"/>
          </w:tcPr>
          <w:p>
            <w:pPr>
              <w:spacing w:after="40"/>
            </w:pPr>
            <w:r>
              <w:rPr>
                <w:rFonts w:ascii="Arial" w:hAnsi="Arial"/>
                <w:b w:val="0"/>
                <w:i w:val="0"/>
                <w:color w:val="000000"/>
                <w:sz w:val="22"/>
              </w:rPr>
              <w:t>Add revenue waterfall chart (gross receipts to net cashflow)</w:t>
            </w:r>
          </w:p>
        </w:tc>
      </w:tr>
      <w:tr>
        <w:tc>
          <w:tcPr>
            <w:tcW w:type="dxa" w:w="4392"/>
          </w:tcPr>
          <w:p>
            <w:pPr>
              <w:spacing w:after="40"/>
            </w:pPr>
            <w:r>
              <w:rPr>
                <w:rFonts w:ascii="Arial" w:hAnsi="Arial"/>
                <w:b w:val="0"/>
                <w:i w:val="0"/>
                <w:color w:val="000000"/>
                <w:sz w:val="22"/>
              </w:rPr>
              <w:t>Medium</w:t>
            </w:r>
          </w:p>
        </w:tc>
        <w:tc>
          <w:tcPr>
            <w:tcW w:type="dxa" w:w="4392"/>
          </w:tcPr>
          <w:p>
            <w:pPr>
              <w:spacing w:after="40"/>
            </w:pPr>
            <w:r>
              <w:rPr>
                <w:rFonts w:ascii="Arial" w:hAnsi="Arial"/>
                <w:b w:val="0"/>
                <w:i w:val="0"/>
                <w:color w:val="000000"/>
                <w:sz w:val="22"/>
              </w:rPr>
              <w:t>Model government and mine contract scenarios as volumes are confirmed</w:t>
            </w:r>
          </w:p>
        </w:tc>
      </w:tr>
      <w:tr>
        <w:tc>
          <w:tcPr>
            <w:tcW w:type="dxa" w:w="4392"/>
          </w:tcPr>
          <w:p>
            <w:pPr>
              <w:spacing w:after="40"/>
            </w:pPr>
            <w:r>
              <w:rPr>
                <w:rFonts w:ascii="Arial" w:hAnsi="Arial"/>
                <w:b w:val="0"/>
                <w:i w:val="0"/>
                <w:color w:val="000000"/>
                <w:sz w:val="22"/>
              </w:rPr>
              <w:t>Low</w:t>
            </w:r>
          </w:p>
        </w:tc>
        <w:tc>
          <w:tcPr>
            <w:tcW w:type="dxa" w:w="4392"/>
          </w:tcPr>
          <w:p>
            <w:pPr>
              <w:spacing w:after="40"/>
            </w:pPr>
            <w:r>
              <w:rPr>
                <w:rFonts w:ascii="Arial" w:hAnsi="Arial"/>
                <w:b w:val="0"/>
                <w:i w:val="0"/>
                <w:color w:val="000000"/>
                <w:sz w:val="22"/>
              </w:rPr>
              <w:t>Add cost per birth metric to dashboard for unit economics discussion</w:t>
            </w:r>
          </w:p>
        </w:tc>
      </w:tr>
      <w:tr>
        <w:tc>
          <w:tcPr>
            <w:tcW w:type="dxa" w:w="4392"/>
          </w:tcPr>
          <w:p>
            <w:pPr>
              <w:spacing w:after="40"/>
            </w:pPr>
            <w:r>
              <w:rPr>
                <w:rFonts w:ascii="Arial" w:hAnsi="Arial"/>
                <w:b w:val="0"/>
                <w:i w:val="0"/>
                <w:color w:val="000000"/>
                <w:sz w:val="22"/>
              </w:rPr>
              <w:t>Low</w:t>
            </w:r>
          </w:p>
        </w:tc>
        <w:tc>
          <w:tcPr>
            <w:tcW w:type="dxa" w:w="4392"/>
          </w:tcPr>
          <w:p>
            <w:pPr>
              <w:spacing w:after="40"/>
            </w:pPr>
            <w:r>
              <w:rPr>
                <w:rFonts w:ascii="Arial" w:hAnsi="Arial"/>
                <w:b w:val="0"/>
                <w:i w:val="0"/>
                <w:color w:val="000000"/>
                <w:sz w:val="22"/>
              </w:rPr>
              <w:t>Add download button for scenario data export</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