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BC9" w:rsidRPr="00693BC9" w:rsidRDefault="00693BC9">
      <w:pPr>
        <w:rPr>
          <w:color w:val="FF0000"/>
          <w:sz w:val="24"/>
        </w:rPr>
      </w:pPr>
      <w:bookmarkStart w:id="0" w:name="_GoBack"/>
      <w:bookmarkEnd w:id="0"/>
      <w:r w:rsidRPr="00693BC9">
        <w:rPr>
          <w:rFonts w:hint="eastAsia"/>
          <w:color w:val="FF0000"/>
          <w:sz w:val="24"/>
        </w:rPr>
        <w:t>专家1:</w:t>
      </w:r>
    </w:p>
    <w:tbl>
      <w:tblPr>
        <w:tblStyle w:val="a4"/>
        <w:tblW w:w="8296" w:type="dxa"/>
        <w:tblLook w:val="04A0" w:firstRow="1" w:lastRow="0" w:firstColumn="1" w:lastColumn="0" w:noHBand="0" w:noVBand="1"/>
      </w:tblPr>
      <w:tblGrid>
        <w:gridCol w:w="4148"/>
        <w:gridCol w:w="4148"/>
      </w:tblGrid>
      <w:tr w:rsidR="003134E3" w:rsidTr="003134E3">
        <w:tc>
          <w:tcPr>
            <w:tcW w:w="4148" w:type="dxa"/>
          </w:tcPr>
          <w:p w:rsidR="003134E3" w:rsidRDefault="003134E3" w:rsidP="003134E3">
            <w:r w:rsidRPr="00693BC9">
              <w:rPr>
                <w:rFonts w:ascii="宋体" w:eastAsia="宋体" w:hAnsi="宋体" w:cs="宋体" w:hint="eastAsia"/>
                <w:kern w:val="0"/>
                <w:szCs w:val="21"/>
              </w:rPr>
              <w:t>论文选题</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Default="003134E3" w:rsidP="003134E3">
            <w:r w:rsidRPr="00693BC9">
              <w:rPr>
                <w:rFonts w:ascii="宋体" w:eastAsia="宋体" w:hAnsi="宋体" w:cs="宋体" w:hint="eastAsia"/>
                <w:kern w:val="0"/>
                <w:szCs w:val="21"/>
              </w:rPr>
              <w:t>文献综述</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理论基础和专业知识</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创新性水平</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论文工作期间的科研成果</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作者独立从事科研的能力</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中英文表达水平</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评价人对论文水平的总体评分（百分制）</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90</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论文可否进行答辩：</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同意答辩</w:t>
            </w:r>
          </w:p>
        </w:tc>
      </w:tr>
    </w:tbl>
    <w:p w:rsidR="003134E3" w:rsidRDefault="00693BC9" w:rsidP="00693BC9">
      <w:r>
        <w:tab/>
      </w:r>
    </w:p>
    <w:p w:rsidR="00693BC9" w:rsidRDefault="00693BC9" w:rsidP="00693BC9">
      <w:r>
        <w:rPr>
          <w:rFonts w:hint="eastAsia"/>
        </w:rPr>
        <w:t>论文针对高海拔空气簇射观测站项目中水契伦科夫探测器电子学系统对时钟信号的具体要求，开展了高精度时钟分发和同步技术的研究，论文选题明确，具有实际应用意义。</w:t>
      </w:r>
    </w:p>
    <w:p w:rsidR="00693BC9" w:rsidRDefault="00693BC9" w:rsidP="00693BC9">
      <w:r>
        <w:rPr>
          <w:rFonts w:hint="eastAsia"/>
        </w:rPr>
        <w:t>通过对光纤和电子学收发器件的温度特性研究，理清了系统中受温度影响的各项因素，提出了基于延时增量的分配方法，设计了基于</w:t>
      </w:r>
      <w:r>
        <w:t>FPGA的高精度相位调节方法，经过实际测试，同步精度好于100ps，达到系统设计要求。在此基础上，作者完成了原理样机的设计、调试和性能测试。</w:t>
      </w:r>
    </w:p>
    <w:p w:rsidR="00693BC9" w:rsidRDefault="00693BC9" w:rsidP="00693BC9">
      <w:r>
        <w:rPr>
          <w:rFonts w:hint="eastAsia"/>
        </w:rPr>
        <w:t>论文结构清晰、叙述清楚、实验数据真实可信，表明了作者具有扎实的电子学学科理论基础和较强的科研动手能力。同意论文答辩。</w:t>
      </w:r>
    </w:p>
    <w:p w:rsidR="00693BC9" w:rsidRDefault="00693BC9" w:rsidP="00693BC9"/>
    <w:p w:rsidR="00693BC9" w:rsidRPr="00693BC9" w:rsidRDefault="00693BC9" w:rsidP="00693BC9">
      <w:pPr>
        <w:rPr>
          <w:color w:val="FF0000"/>
          <w:sz w:val="24"/>
        </w:rPr>
      </w:pPr>
      <w:r w:rsidRPr="00693BC9">
        <w:rPr>
          <w:rFonts w:hint="eastAsia"/>
          <w:color w:val="FF0000"/>
          <w:sz w:val="24"/>
        </w:rPr>
        <w:t>专家2：</w:t>
      </w:r>
    </w:p>
    <w:tbl>
      <w:tblPr>
        <w:tblStyle w:val="a4"/>
        <w:tblW w:w="8296" w:type="dxa"/>
        <w:tblLook w:val="04A0" w:firstRow="1" w:lastRow="0" w:firstColumn="1" w:lastColumn="0" w:noHBand="0" w:noVBand="1"/>
      </w:tblPr>
      <w:tblGrid>
        <w:gridCol w:w="4148"/>
        <w:gridCol w:w="4148"/>
      </w:tblGrid>
      <w:tr w:rsidR="003134E3" w:rsidTr="003134E3">
        <w:tc>
          <w:tcPr>
            <w:tcW w:w="4148" w:type="dxa"/>
          </w:tcPr>
          <w:p w:rsidR="003134E3" w:rsidRDefault="003134E3" w:rsidP="003134E3">
            <w:r w:rsidRPr="00693BC9">
              <w:rPr>
                <w:rFonts w:ascii="宋体" w:eastAsia="宋体" w:hAnsi="宋体" w:cs="宋体" w:hint="eastAsia"/>
                <w:kern w:val="0"/>
                <w:szCs w:val="21"/>
              </w:rPr>
              <w:t>论文选题</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Default="003134E3" w:rsidP="003134E3">
            <w:r w:rsidRPr="00693BC9">
              <w:rPr>
                <w:rFonts w:ascii="宋体" w:eastAsia="宋体" w:hAnsi="宋体" w:cs="宋体" w:hint="eastAsia"/>
                <w:kern w:val="0"/>
                <w:szCs w:val="21"/>
              </w:rPr>
              <w:t>文献综述</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理论基础和专业知识</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创新性水平</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论文工作期间的科研成果</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作者独立从事科研的能力</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中英文表达水平</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评价人对论文水平的总体评分（百分制）</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88</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论文可否进行答辩：</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同意答辩</w:t>
            </w:r>
          </w:p>
        </w:tc>
      </w:tr>
    </w:tbl>
    <w:p w:rsidR="003134E3" w:rsidRDefault="003134E3" w:rsidP="00693BC9"/>
    <w:p w:rsidR="00693BC9" w:rsidRDefault="00693BC9" w:rsidP="00693BC9">
      <w:r>
        <w:rPr>
          <w:rFonts w:hint="eastAsia"/>
        </w:rPr>
        <w:t>研究宇宙线起源之谜的</w:t>
      </w:r>
      <w:r>
        <w:t>LHAASO大科学装置，其特点是海拔高，昼夜温差大，分布面积广，建造困难。论文课题以LHAASO的核心探测器之一的WCDA的读出电子学时钟同步与数据传输为研究课题，选题有重要的实用意义。</w:t>
      </w:r>
    </w:p>
    <w:p w:rsidR="00693BC9" w:rsidRDefault="00693BC9" w:rsidP="00693BC9"/>
    <w:p w:rsidR="00693BC9" w:rsidRDefault="00693BC9" w:rsidP="00693BC9">
      <w:r>
        <w:t xml:space="preserve">       论文对WCDA读出电子学的关键技术从以下三个方面进行了研究：</w:t>
      </w:r>
    </w:p>
    <w:p w:rsidR="00693BC9" w:rsidRDefault="00693BC9" w:rsidP="00693BC9">
      <w:r>
        <w:t xml:space="preserve">       1.在PTP协议和White Rabbit协议的基础上，提出了基于延时增量分配的新型的时钟相位同步技术，使得在-10 ℃ ~ 60 ℃的温度范围内同步精度好于</w:t>
      </w:r>
      <w:r>
        <w:t xml:space="preserve">100 </w:t>
      </w:r>
      <w:proofErr w:type="spellStart"/>
      <w:r>
        <w:t>ps</w:t>
      </w:r>
      <w:proofErr w:type="spellEnd"/>
      <w:r>
        <w:t>（peak to peak）的时钟相位同步。然后利用FPGA GTP进行相位调节，在保持对称调相结构的同时，减小调</w:t>
      </w:r>
      <w:r>
        <w:lastRenderedPageBreak/>
        <w:t>相步长进一步提升时钟同步精度，获得了时钟相位同步精度好于</w:t>
      </w:r>
      <w:r>
        <w:t xml:space="preserve">70 </w:t>
      </w:r>
      <w:proofErr w:type="spellStart"/>
      <w:r>
        <w:t>ps</w:t>
      </w:r>
      <w:proofErr w:type="spellEnd"/>
      <w:r>
        <w:t>的结果。</w:t>
      </w:r>
    </w:p>
    <w:p w:rsidR="00693BC9" w:rsidRDefault="00693BC9" w:rsidP="00693BC9">
      <w:r>
        <w:t xml:space="preserve">      2.在FEE上基于</w:t>
      </w:r>
      <w:proofErr w:type="spellStart"/>
      <w:r>
        <w:t>SiTCP</w:t>
      </w:r>
      <w:proofErr w:type="spellEnd"/>
      <w:r>
        <w:t>实现了高速的TCP/IP数据传输，单个FEE的数据率可达约400 Mbps，多个FEE同时传输的数据率也能达到约180 Mbps，可以满足WCDA读出电子学的要求。同时为了进一步探索TCP/IP数据传输技术，基于高层次综合工具HLS设计了TCP模块。TCP模块可在FEE上完成TCP/IP数据打包，其传输速度可达约190 Mbps。</w:t>
      </w:r>
    </w:p>
    <w:p w:rsidR="00693BC9" w:rsidRDefault="00693BC9" w:rsidP="00693BC9">
      <w:r>
        <w:t xml:space="preserve">     3.将高精度的时钟相位同步，TCP/IP数据传输与WR标准相兼容，在一根光纤上实现时钟，数据和命令的融合传输。</w:t>
      </w:r>
    </w:p>
    <w:p w:rsidR="00693BC9" w:rsidRDefault="00693BC9" w:rsidP="00693BC9"/>
    <w:p w:rsidR="00693BC9" w:rsidRDefault="00693BC9" w:rsidP="00693BC9">
      <w:r>
        <w:t xml:space="preserve">     对于实用数据读出系统，系统的状态需要进行实时监测与报警。文中相关介绍不足。</w:t>
      </w:r>
    </w:p>
    <w:p w:rsidR="00693BC9" w:rsidRDefault="00693BC9" w:rsidP="00693BC9"/>
    <w:p w:rsidR="00693BC9" w:rsidRDefault="00693BC9" w:rsidP="00693BC9">
      <w:pPr>
        <w:ind w:firstLine="420"/>
      </w:pPr>
      <w:r>
        <w:t>论文结构合理，论述清晰，达到了博士论文的要求，同意其进行博士答辩。</w:t>
      </w:r>
    </w:p>
    <w:p w:rsidR="00693BC9" w:rsidRDefault="00693BC9" w:rsidP="00693BC9">
      <w:pPr>
        <w:ind w:firstLine="420"/>
      </w:pPr>
    </w:p>
    <w:p w:rsidR="00693BC9" w:rsidRPr="00693BC9" w:rsidRDefault="00693BC9" w:rsidP="00693BC9">
      <w:pPr>
        <w:ind w:firstLine="420"/>
        <w:rPr>
          <w:color w:val="FF0000"/>
          <w:sz w:val="24"/>
        </w:rPr>
      </w:pPr>
      <w:r w:rsidRPr="00693BC9">
        <w:rPr>
          <w:rFonts w:hint="eastAsia"/>
          <w:color w:val="FF0000"/>
          <w:sz w:val="24"/>
        </w:rPr>
        <w:t>专家3：</w:t>
      </w:r>
    </w:p>
    <w:tbl>
      <w:tblPr>
        <w:tblStyle w:val="a4"/>
        <w:tblW w:w="8296" w:type="dxa"/>
        <w:tblLook w:val="04A0" w:firstRow="1" w:lastRow="0" w:firstColumn="1" w:lastColumn="0" w:noHBand="0" w:noVBand="1"/>
      </w:tblPr>
      <w:tblGrid>
        <w:gridCol w:w="4148"/>
        <w:gridCol w:w="4148"/>
      </w:tblGrid>
      <w:tr w:rsidR="003134E3" w:rsidTr="003134E3">
        <w:tc>
          <w:tcPr>
            <w:tcW w:w="4148" w:type="dxa"/>
          </w:tcPr>
          <w:p w:rsidR="003134E3" w:rsidRDefault="003134E3" w:rsidP="003134E3">
            <w:r w:rsidRPr="00693BC9">
              <w:rPr>
                <w:rFonts w:ascii="宋体" w:eastAsia="宋体" w:hAnsi="宋体" w:cs="宋体" w:hint="eastAsia"/>
                <w:kern w:val="0"/>
                <w:szCs w:val="21"/>
              </w:rPr>
              <w:t>论文选题</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Default="003134E3" w:rsidP="003134E3">
            <w:r w:rsidRPr="00693BC9">
              <w:rPr>
                <w:rFonts w:ascii="宋体" w:eastAsia="宋体" w:hAnsi="宋体" w:cs="宋体" w:hint="eastAsia"/>
                <w:kern w:val="0"/>
                <w:szCs w:val="21"/>
              </w:rPr>
              <w:t>文献综述</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理论基础和专业知识</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创新性水平</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论文工作期间的科研成果</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作者独立从事科研的能力</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中英文表达水平</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评价人对论文水平的总体评分（百分制）</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90</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论文可否进行答辩：</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同意答辩</w:t>
            </w:r>
          </w:p>
        </w:tc>
      </w:tr>
    </w:tbl>
    <w:p w:rsidR="003134E3" w:rsidRDefault="003134E3" w:rsidP="00693BC9">
      <w:pPr>
        <w:ind w:firstLine="420"/>
      </w:pPr>
    </w:p>
    <w:p w:rsidR="00693BC9" w:rsidRPr="00693BC9" w:rsidRDefault="00693BC9" w:rsidP="00693BC9">
      <w:pPr>
        <w:ind w:firstLine="420"/>
      </w:pPr>
      <w:r w:rsidRPr="00693BC9">
        <w:rPr>
          <w:rFonts w:hint="eastAsia"/>
        </w:rPr>
        <w:t>论文“</w:t>
      </w:r>
      <w:r w:rsidRPr="00693BC9">
        <w:t>LHAASO WCDA读出电子学时钟同步与数据传输研究” 针对LHAASO大区域数据传输对时钟的要求，开展大范围时钟分发关键技术的研究，选题具有重要的理论意义和实际应用价值。</w:t>
      </w:r>
    </w:p>
    <w:p w:rsidR="00693BC9" w:rsidRPr="00693BC9" w:rsidRDefault="00693BC9" w:rsidP="00693BC9">
      <w:pPr>
        <w:ind w:firstLine="420"/>
      </w:pPr>
      <w:r w:rsidRPr="00693BC9">
        <w:rPr>
          <w:rFonts w:hint="eastAsia"/>
        </w:rPr>
        <w:t>论文的主要研究工作和创新点如下：</w:t>
      </w:r>
    </w:p>
    <w:p w:rsidR="00693BC9" w:rsidRPr="00693BC9" w:rsidRDefault="00693BC9" w:rsidP="00693BC9">
      <w:pPr>
        <w:ind w:firstLine="420"/>
      </w:pPr>
      <w:r w:rsidRPr="00693BC9">
        <w:t>1.</w:t>
      </w:r>
      <w:r w:rsidRPr="00693BC9">
        <w:tab/>
        <w:t xml:space="preserve">在PTP协议和White Rabbit协议的基础上，提出了基于延时增量的分配方法，保持对称的调相结构，降低了调相模块的复杂度。在-10°C ~60°C的温度范围内可同步精度好于100 </w:t>
      </w:r>
      <w:proofErr w:type="spellStart"/>
      <w:r w:rsidRPr="00693BC9">
        <w:t>ps</w:t>
      </w:r>
      <w:proofErr w:type="spellEnd"/>
      <w:r w:rsidRPr="00693BC9">
        <w:t>。</w:t>
      </w:r>
    </w:p>
    <w:p w:rsidR="00693BC9" w:rsidRPr="00693BC9" w:rsidRDefault="00693BC9" w:rsidP="00693BC9">
      <w:pPr>
        <w:ind w:firstLine="420"/>
      </w:pPr>
      <w:r w:rsidRPr="00693BC9">
        <w:t>2.</w:t>
      </w:r>
      <w:r w:rsidRPr="00693BC9">
        <w:tab/>
        <w:t>在FEE上基于</w:t>
      </w:r>
      <w:proofErr w:type="spellStart"/>
      <w:r w:rsidRPr="00693BC9">
        <w:t>SiTCP</w:t>
      </w:r>
      <w:proofErr w:type="spellEnd"/>
      <w:r w:rsidRPr="00693BC9">
        <w:t>实现了高速的TCP/IP数据传输，单个FEE的数据率可达约400 Mbps，多个FEE同时传输的数据率达到约180 Mbps，可以满足WCDA读出电子学的要求。</w:t>
      </w:r>
    </w:p>
    <w:p w:rsidR="00693BC9" w:rsidRPr="00693BC9" w:rsidRDefault="00693BC9" w:rsidP="00693BC9">
      <w:pPr>
        <w:ind w:firstLine="420"/>
      </w:pPr>
      <w:r w:rsidRPr="00693BC9">
        <w:t>3.</w:t>
      </w:r>
      <w:r w:rsidRPr="00693BC9">
        <w:tab/>
        <w:t>将高精度的时钟相位同步，TCP/IP数据传输与WR标准相兼容，在一根光纤上实现时钟，数据和命令的融合传输。</w:t>
      </w:r>
    </w:p>
    <w:p w:rsidR="00693BC9" w:rsidRPr="00693BC9" w:rsidRDefault="00693BC9" w:rsidP="00693BC9">
      <w:pPr>
        <w:ind w:firstLine="420"/>
      </w:pPr>
      <w:r w:rsidRPr="00693BC9">
        <w:rPr>
          <w:rFonts w:hint="eastAsia"/>
        </w:rPr>
        <w:t>文条理清楚，层次分明，重点突出，文笔流畅，学风严谨，书写格式及图表基本规范，英文摘要语句流畅。</w:t>
      </w:r>
    </w:p>
    <w:p w:rsidR="00693BC9" w:rsidRPr="00693BC9" w:rsidRDefault="00693BC9" w:rsidP="00693BC9">
      <w:pPr>
        <w:ind w:firstLine="420"/>
      </w:pPr>
      <w:r w:rsidRPr="00693BC9">
        <w:rPr>
          <w:rFonts w:hint="eastAsia"/>
        </w:rPr>
        <w:t>本项论文工作反映出作者很好地掌握了本学科坚实宽广的基础理论和系统深入专门知识，有较强的分析和解决问题的能力。</w:t>
      </w:r>
      <w:r w:rsidRPr="00693BC9">
        <w:tab/>
      </w:r>
    </w:p>
    <w:p w:rsidR="00693BC9" w:rsidRDefault="00693BC9" w:rsidP="00693BC9">
      <w:pPr>
        <w:ind w:firstLine="420"/>
      </w:pPr>
      <w:r w:rsidRPr="00693BC9">
        <w:rPr>
          <w:rFonts w:hint="eastAsia"/>
        </w:rPr>
        <w:t>论文工作达到了博士论文的要求，建议进行博士答辩。</w:t>
      </w:r>
    </w:p>
    <w:p w:rsidR="00693BC9" w:rsidRDefault="00693BC9" w:rsidP="00693BC9">
      <w:pPr>
        <w:ind w:firstLine="420"/>
      </w:pPr>
    </w:p>
    <w:p w:rsidR="00693BC9" w:rsidRPr="00693BC9" w:rsidRDefault="00693BC9" w:rsidP="00693BC9">
      <w:pPr>
        <w:ind w:firstLine="420"/>
      </w:pPr>
    </w:p>
    <w:p w:rsidR="00693BC9" w:rsidRPr="00693BC9" w:rsidRDefault="00693BC9" w:rsidP="00693BC9">
      <w:pPr>
        <w:ind w:firstLine="420"/>
        <w:rPr>
          <w:color w:val="FF0000"/>
        </w:rPr>
      </w:pPr>
      <w:r w:rsidRPr="00693BC9">
        <w:rPr>
          <w:rFonts w:hint="eastAsia"/>
          <w:color w:val="FF0000"/>
        </w:rPr>
        <w:t>专家4：</w:t>
      </w:r>
    </w:p>
    <w:tbl>
      <w:tblPr>
        <w:tblStyle w:val="a4"/>
        <w:tblW w:w="8296" w:type="dxa"/>
        <w:tblLook w:val="04A0" w:firstRow="1" w:lastRow="0" w:firstColumn="1" w:lastColumn="0" w:noHBand="0" w:noVBand="1"/>
      </w:tblPr>
      <w:tblGrid>
        <w:gridCol w:w="4148"/>
        <w:gridCol w:w="4148"/>
      </w:tblGrid>
      <w:tr w:rsidR="003134E3" w:rsidTr="003134E3">
        <w:tc>
          <w:tcPr>
            <w:tcW w:w="4148" w:type="dxa"/>
          </w:tcPr>
          <w:p w:rsidR="003134E3" w:rsidRDefault="003134E3" w:rsidP="003134E3">
            <w:r w:rsidRPr="00693BC9">
              <w:rPr>
                <w:rFonts w:ascii="宋体" w:eastAsia="宋体" w:hAnsi="宋体" w:cs="宋体" w:hint="eastAsia"/>
                <w:kern w:val="0"/>
                <w:szCs w:val="21"/>
              </w:rPr>
              <w:lastRenderedPageBreak/>
              <w:t>论文选题</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Default="003134E3" w:rsidP="003134E3">
            <w:r w:rsidRPr="00693BC9">
              <w:rPr>
                <w:rFonts w:ascii="宋体" w:eastAsia="宋体" w:hAnsi="宋体" w:cs="宋体" w:hint="eastAsia"/>
                <w:kern w:val="0"/>
                <w:szCs w:val="21"/>
              </w:rPr>
              <w:t>文献综述</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理论基础和专业知识</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创新性水平</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论文工作期间的科研成果</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作者独立从事科研的能力</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中英文表达水平</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评价人对论文水平的总体评分（百分制）</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95</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论文可否进行答辩：</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同意答辩</w:t>
            </w:r>
          </w:p>
        </w:tc>
      </w:tr>
    </w:tbl>
    <w:p w:rsidR="003134E3" w:rsidRDefault="003134E3" w:rsidP="00693BC9">
      <w:pPr>
        <w:ind w:firstLine="420"/>
      </w:pPr>
    </w:p>
    <w:p w:rsidR="00693BC9" w:rsidRPr="00693BC9" w:rsidRDefault="00693BC9" w:rsidP="00693BC9">
      <w:pPr>
        <w:ind w:firstLine="420"/>
      </w:pPr>
      <w:r w:rsidRPr="00693BC9">
        <w:t>LHAASO是我国科学家提出并正在建设的大型高海拔科学实验观察站，实验场地范围大，前端分布式数据获取系统处于高海拔自然环境条件下，对读出电子学系统的时钟同步和数据传输都有着特殊的要求，论文针对这一特殊要求，开展</w:t>
      </w:r>
      <w:proofErr w:type="spellStart"/>
      <w:r w:rsidRPr="00693BC9">
        <w:t>LHAASO</w:t>
      </w:r>
      <w:proofErr w:type="spellEnd"/>
      <w:r w:rsidRPr="00693BC9">
        <w:t xml:space="preserve"> WCDA读出电子学时钟同步与数据传输技术研究，论文选题具有重要的科学研究意义。</w:t>
      </w:r>
    </w:p>
    <w:p w:rsidR="00693BC9" w:rsidRPr="00693BC9" w:rsidRDefault="00693BC9" w:rsidP="00693BC9">
      <w:pPr>
        <w:ind w:firstLine="420"/>
      </w:pPr>
      <w:r w:rsidRPr="00693BC9">
        <w:rPr>
          <w:rFonts w:hint="eastAsia"/>
        </w:rPr>
        <w:t>论文在调研分析目前国际上主要大型科学实验装置所采用的时钟同步技术的基础上，结合</w:t>
      </w:r>
      <w:r w:rsidRPr="00693BC9">
        <w:t>LHAASO实验条件及其对时钟同步和数据传输特殊性的要求，提出基于PTP和white Rabbit时钟同步协议的框架，实现高精度时钟同步和高可靠性数据传输的设计方案，完成了电子学设计，并开展了性能测试和方案验证，证明了所提方案的高性能和实用性。论文创新性地提出一种基于延时增量分配的时钟相位同步技术和基于FPGA PLL的高精度调相方法，能够实现在LHAASO实验环境比拟的条件下，好于+-100ps的时钟同步精度；此外，论文所研究的</w:t>
      </w:r>
      <w:r w:rsidRPr="00693BC9">
        <w:rPr>
          <w:rFonts w:hint="eastAsia"/>
        </w:rPr>
        <w:t>基于高速</w:t>
      </w:r>
      <w:r w:rsidRPr="00693BC9">
        <w:t>TCP/IP数据传输技术，能够满足LHAASO分布式数据获取系统的长距离多节点数据传输的需求。</w:t>
      </w:r>
    </w:p>
    <w:p w:rsidR="00693BC9" w:rsidRPr="00693BC9" w:rsidRDefault="00693BC9" w:rsidP="00693BC9">
      <w:pPr>
        <w:ind w:firstLine="420"/>
      </w:pPr>
      <w:r w:rsidRPr="00693BC9">
        <w:rPr>
          <w:rFonts w:hint="eastAsia"/>
        </w:rPr>
        <w:t>论文工作的完成表明作者已经具有物理电子学及其它相关领域扎实的理论知识和独立的科研工作能力。</w:t>
      </w:r>
    </w:p>
    <w:p w:rsidR="00693BC9" w:rsidRPr="00693BC9" w:rsidRDefault="00693BC9" w:rsidP="00693BC9">
      <w:pPr>
        <w:ind w:firstLine="420"/>
      </w:pPr>
      <w:r w:rsidRPr="00693BC9">
        <w:rPr>
          <w:rFonts w:hint="eastAsia"/>
        </w:rPr>
        <w:t>论文书写规范，表述清楚</w:t>
      </w:r>
    </w:p>
    <w:p w:rsidR="00693BC9" w:rsidRDefault="00693BC9" w:rsidP="00693BC9">
      <w:pPr>
        <w:ind w:firstLine="420"/>
      </w:pPr>
      <w:r w:rsidRPr="00693BC9">
        <w:rPr>
          <w:rFonts w:hint="eastAsia"/>
        </w:rPr>
        <w:t>同意论文答辩</w:t>
      </w:r>
    </w:p>
    <w:p w:rsidR="003134E3" w:rsidRDefault="003134E3" w:rsidP="00693BC9">
      <w:pPr>
        <w:ind w:firstLine="420"/>
      </w:pPr>
    </w:p>
    <w:p w:rsidR="003134E3" w:rsidRPr="00693BC9" w:rsidRDefault="003134E3" w:rsidP="00693BC9">
      <w:pPr>
        <w:ind w:firstLine="420"/>
        <w:rPr>
          <w:rFonts w:hint="eastAsia"/>
        </w:rPr>
      </w:pPr>
    </w:p>
    <w:p w:rsidR="00693BC9" w:rsidRPr="00693BC9" w:rsidRDefault="00693BC9" w:rsidP="00693BC9">
      <w:pPr>
        <w:ind w:firstLine="420"/>
        <w:rPr>
          <w:color w:val="FF0000"/>
        </w:rPr>
      </w:pPr>
      <w:r w:rsidRPr="00693BC9">
        <w:rPr>
          <w:rFonts w:hint="eastAsia"/>
          <w:color w:val="FF0000"/>
        </w:rPr>
        <w:t>专家5：</w:t>
      </w:r>
    </w:p>
    <w:tbl>
      <w:tblPr>
        <w:tblStyle w:val="a4"/>
        <w:tblW w:w="8296" w:type="dxa"/>
        <w:tblLook w:val="04A0" w:firstRow="1" w:lastRow="0" w:firstColumn="1" w:lastColumn="0" w:noHBand="0" w:noVBand="1"/>
      </w:tblPr>
      <w:tblGrid>
        <w:gridCol w:w="4148"/>
        <w:gridCol w:w="4148"/>
      </w:tblGrid>
      <w:tr w:rsidR="003134E3" w:rsidTr="003134E3">
        <w:tc>
          <w:tcPr>
            <w:tcW w:w="4148" w:type="dxa"/>
          </w:tcPr>
          <w:p w:rsidR="003134E3" w:rsidRDefault="003134E3" w:rsidP="003134E3">
            <w:r w:rsidRPr="00693BC9">
              <w:rPr>
                <w:rFonts w:ascii="宋体" w:eastAsia="宋体" w:hAnsi="宋体" w:cs="宋体" w:hint="eastAsia"/>
                <w:kern w:val="0"/>
                <w:szCs w:val="21"/>
              </w:rPr>
              <w:t>论文选题</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Default="003134E3" w:rsidP="003134E3">
            <w:r w:rsidRPr="00693BC9">
              <w:rPr>
                <w:rFonts w:ascii="宋体" w:eastAsia="宋体" w:hAnsi="宋体" w:cs="宋体" w:hint="eastAsia"/>
                <w:kern w:val="0"/>
                <w:szCs w:val="21"/>
              </w:rPr>
              <w:t>文献综述</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理论基础和专业知识</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创新性水平</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论文工作期间的科研成果</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作者独立从事科研的能力</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优</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中英文表达水平</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良</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评价人对论文水平的总体评分（百分制）</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80</w:t>
            </w:r>
          </w:p>
        </w:tc>
      </w:tr>
      <w:tr w:rsidR="003134E3" w:rsidTr="003134E3">
        <w:tc>
          <w:tcPr>
            <w:tcW w:w="4148" w:type="dxa"/>
          </w:tcPr>
          <w:p w:rsidR="003134E3" w:rsidRPr="00693BC9" w:rsidRDefault="003134E3" w:rsidP="003134E3">
            <w:pPr>
              <w:widowControl/>
              <w:spacing w:line="357" w:lineRule="atLeast"/>
              <w:jc w:val="left"/>
              <w:rPr>
                <w:rFonts w:ascii="宋体" w:eastAsia="宋体" w:hAnsi="宋体" w:cs="宋体"/>
                <w:kern w:val="0"/>
                <w:szCs w:val="21"/>
              </w:rPr>
            </w:pPr>
            <w:r w:rsidRPr="00693BC9">
              <w:rPr>
                <w:rFonts w:ascii="宋体" w:eastAsia="宋体" w:hAnsi="宋体" w:cs="宋体" w:hint="eastAsia"/>
                <w:kern w:val="0"/>
                <w:szCs w:val="21"/>
              </w:rPr>
              <w:t>论文可否进行答辩：</w:t>
            </w:r>
          </w:p>
        </w:tc>
        <w:tc>
          <w:tcPr>
            <w:tcW w:w="4148" w:type="dxa"/>
          </w:tcPr>
          <w:p w:rsidR="003134E3" w:rsidRPr="00693BC9" w:rsidRDefault="003134E3" w:rsidP="003134E3">
            <w:pPr>
              <w:widowControl/>
              <w:spacing w:line="357" w:lineRule="atLeast"/>
              <w:jc w:val="center"/>
              <w:rPr>
                <w:rFonts w:ascii="宋体" w:eastAsia="宋体" w:hAnsi="宋体" w:cs="宋体"/>
                <w:kern w:val="0"/>
                <w:szCs w:val="21"/>
              </w:rPr>
            </w:pPr>
            <w:r w:rsidRPr="00693BC9">
              <w:rPr>
                <w:rFonts w:ascii="宋体" w:eastAsia="宋体" w:hAnsi="宋体" w:cs="宋体" w:hint="eastAsia"/>
                <w:kern w:val="0"/>
                <w:szCs w:val="21"/>
              </w:rPr>
              <w:t>同意答辩</w:t>
            </w:r>
          </w:p>
        </w:tc>
      </w:tr>
    </w:tbl>
    <w:p w:rsidR="003134E3" w:rsidRDefault="003134E3" w:rsidP="00693BC9">
      <w:pPr>
        <w:ind w:firstLine="420"/>
      </w:pPr>
    </w:p>
    <w:p w:rsidR="00693BC9" w:rsidRDefault="00693BC9" w:rsidP="00693BC9">
      <w:pPr>
        <w:ind w:firstLine="420"/>
      </w:pPr>
      <w:r>
        <w:rPr>
          <w:rFonts w:hint="eastAsia"/>
        </w:rPr>
        <w:t>论文以</w:t>
      </w:r>
      <w:r>
        <w:t>LHAASO实验为背景，研究了WCDA读出电子学时钟同步与数据传输。论文对WCDA读出电子学的关键技术进行了研究，在PTP协议和</w:t>
      </w:r>
      <w:proofErr w:type="spellStart"/>
      <w:r>
        <w:t>WhiteRabbit</w:t>
      </w:r>
      <w:proofErr w:type="spellEnd"/>
      <w:r>
        <w:t>协议的基础上，提出</w:t>
      </w:r>
      <w:r>
        <w:lastRenderedPageBreak/>
        <w:t xml:space="preserve">了新型的时钟相位同步技术。本论文首先对光纤和电子学的温度特性展开了研究，提出了基于延时增量的分配方法，其次对基于FPGAPLL的高精度调相方法进行了研究，保持对称的调相结构，降低了调相模块的复杂度。基于以上时钟相位同步方法，在-10°C~60°C的温度范围内可以实现高精度的时钟相位同步，同步精度好于100 </w:t>
      </w:r>
      <w:proofErr w:type="spellStart"/>
      <w:r>
        <w:t>ps</w:t>
      </w:r>
      <w:proofErr w:type="spellEnd"/>
      <w:r>
        <w:t>（peak to peak</w:t>
      </w:r>
      <w:r>
        <w:rPr>
          <w:rFonts w:hint="eastAsia"/>
        </w:rPr>
        <w:t>）。</w:t>
      </w:r>
    </w:p>
    <w:p w:rsidR="00693BC9" w:rsidRDefault="00693BC9" w:rsidP="00693BC9">
      <w:pPr>
        <w:ind w:firstLine="420"/>
      </w:pPr>
    </w:p>
    <w:p w:rsidR="00693BC9" w:rsidRDefault="00693BC9" w:rsidP="00693BC9">
      <w:pPr>
        <w:ind w:firstLine="420"/>
      </w:pPr>
      <w:r>
        <w:rPr>
          <w:rFonts w:hint="eastAsia"/>
        </w:rPr>
        <w:t>论文还对相位调节模块展开了进一步研究，采用</w:t>
      </w:r>
      <w:r>
        <w:t>FPGAGTP进行相位调节，在保持对称调相结构的同时，减小了调相步长，进一步提升了时钟同步精度，在同样的温度范围内，时钟相位同步精度好于70ps。在FEE上基于</w:t>
      </w:r>
      <w:proofErr w:type="spellStart"/>
      <w:r>
        <w:t>SiTCP</w:t>
      </w:r>
      <w:proofErr w:type="spellEnd"/>
      <w:r>
        <w:t>实现了高速的TCP/IP数据传输，单个FEE的数据率可达约400Mbps，多个FEE同时传输的数据率也能达到约180Mbps，可以满足WCDA读出电子学的要求。同时为了进一步探索TCP/IP数据传输技术，基于高层次综合工具HLS设计了TCP模块。TCP模块可在FEE上完成TCP/IP数据打包，其传输</w:t>
      </w:r>
      <w:r>
        <w:rPr>
          <w:rFonts w:hint="eastAsia"/>
        </w:rPr>
        <w:t>速度可达约</w:t>
      </w:r>
      <w:r>
        <w:t>190Mbps。将高精度的时钟相位同步，TCP/IP数据传输与WR标准相兼容，在一根光纤上实现时钟，数据和命令的融合传输。</w:t>
      </w:r>
    </w:p>
    <w:p w:rsidR="00693BC9" w:rsidRDefault="00693BC9" w:rsidP="00693BC9">
      <w:pPr>
        <w:ind w:firstLine="420"/>
      </w:pPr>
    </w:p>
    <w:p w:rsidR="00693BC9" w:rsidRPr="00693BC9" w:rsidRDefault="00693BC9" w:rsidP="00693BC9">
      <w:pPr>
        <w:ind w:firstLine="420"/>
      </w:pPr>
      <w:r>
        <w:rPr>
          <w:rFonts w:hint="eastAsia"/>
        </w:rPr>
        <w:t>从总体上看，这是一篇高水平的博士论文。</w:t>
      </w:r>
    </w:p>
    <w:sectPr w:rsidR="00693BC9" w:rsidRPr="00693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30"/>
    <w:rsid w:val="003134E3"/>
    <w:rsid w:val="0048011E"/>
    <w:rsid w:val="005175A0"/>
    <w:rsid w:val="00556509"/>
    <w:rsid w:val="00573A30"/>
    <w:rsid w:val="00693BC9"/>
    <w:rsid w:val="00717002"/>
    <w:rsid w:val="00B62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4158"/>
  <w15:chartTrackingRefBased/>
  <w15:docId w15:val="{4F2B8658-B951-4BC1-B43D-FAC8B7FA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3BC9"/>
    <w:rPr>
      <w:color w:val="0000FF"/>
      <w:u w:val="single"/>
    </w:rPr>
  </w:style>
  <w:style w:type="table" w:styleId="a4">
    <w:name w:val="Table Grid"/>
    <w:basedOn w:val="a1"/>
    <w:uiPriority w:val="39"/>
    <w:rsid w:val="00693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00993">
      <w:bodyDiv w:val="1"/>
      <w:marLeft w:val="0"/>
      <w:marRight w:val="0"/>
      <w:marTop w:val="0"/>
      <w:marBottom w:val="0"/>
      <w:divBdr>
        <w:top w:val="none" w:sz="0" w:space="0" w:color="auto"/>
        <w:left w:val="none" w:sz="0" w:space="0" w:color="auto"/>
        <w:bottom w:val="none" w:sz="0" w:space="0" w:color="auto"/>
        <w:right w:val="none" w:sz="0" w:space="0" w:color="auto"/>
      </w:divBdr>
      <w:divsChild>
        <w:div w:id="41560587">
          <w:marLeft w:val="0"/>
          <w:marRight w:val="0"/>
          <w:marTop w:val="0"/>
          <w:marBottom w:val="0"/>
          <w:divBdr>
            <w:top w:val="none" w:sz="0" w:space="0" w:color="auto"/>
            <w:left w:val="none" w:sz="0" w:space="0" w:color="auto"/>
            <w:bottom w:val="none" w:sz="0" w:space="0" w:color="auto"/>
            <w:right w:val="none" w:sz="0" w:space="0" w:color="auto"/>
          </w:divBdr>
        </w:div>
      </w:divsChild>
    </w:div>
    <w:div w:id="534468482">
      <w:bodyDiv w:val="1"/>
      <w:marLeft w:val="0"/>
      <w:marRight w:val="0"/>
      <w:marTop w:val="0"/>
      <w:marBottom w:val="0"/>
      <w:divBdr>
        <w:top w:val="none" w:sz="0" w:space="0" w:color="auto"/>
        <w:left w:val="none" w:sz="0" w:space="0" w:color="auto"/>
        <w:bottom w:val="none" w:sz="0" w:space="0" w:color="auto"/>
        <w:right w:val="none" w:sz="0" w:space="0" w:color="auto"/>
      </w:divBdr>
      <w:divsChild>
        <w:div w:id="1215237325">
          <w:marLeft w:val="0"/>
          <w:marRight w:val="0"/>
          <w:marTop w:val="0"/>
          <w:marBottom w:val="0"/>
          <w:divBdr>
            <w:top w:val="none" w:sz="0" w:space="0" w:color="auto"/>
            <w:left w:val="none" w:sz="0" w:space="0" w:color="auto"/>
            <w:bottom w:val="none" w:sz="0" w:space="0" w:color="auto"/>
            <w:right w:val="none" w:sz="0" w:space="0" w:color="auto"/>
          </w:divBdr>
        </w:div>
      </w:divsChild>
    </w:div>
    <w:div w:id="1130057571">
      <w:bodyDiv w:val="1"/>
      <w:marLeft w:val="0"/>
      <w:marRight w:val="0"/>
      <w:marTop w:val="0"/>
      <w:marBottom w:val="0"/>
      <w:divBdr>
        <w:top w:val="none" w:sz="0" w:space="0" w:color="auto"/>
        <w:left w:val="none" w:sz="0" w:space="0" w:color="auto"/>
        <w:bottom w:val="none" w:sz="0" w:space="0" w:color="auto"/>
        <w:right w:val="none" w:sz="0" w:space="0" w:color="auto"/>
      </w:divBdr>
    </w:div>
    <w:div w:id="1316254476">
      <w:bodyDiv w:val="1"/>
      <w:marLeft w:val="0"/>
      <w:marRight w:val="0"/>
      <w:marTop w:val="0"/>
      <w:marBottom w:val="0"/>
      <w:divBdr>
        <w:top w:val="none" w:sz="0" w:space="0" w:color="auto"/>
        <w:left w:val="none" w:sz="0" w:space="0" w:color="auto"/>
        <w:bottom w:val="none" w:sz="0" w:space="0" w:color="auto"/>
        <w:right w:val="none" w:sz="0" w:space="0" w:color="auto"/>
      </w:divBdr>
      <w:divsChild>
        <w:div w:id="1531339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472</Words>
  <Characters>2697</Characters>
  <Application>Microsoft Office Word</Application>
  <DocSecurity>0</DocSecurity>
  <Lines>22</Lines>
  <Paragraphs>6</Paragraphs>
  <ScaleCrop>false</ScaleCrop>
  <Company>Microsoft</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2017-05-31T07:56:00Z</dcterms:created>
  <dcterms:modified xsi:type="dcterms:W3CDTF">2017-05-31T08:10:00Z</dcterms:modified>
</cp:coreProperties>
</file>