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F0" w:rsidRPr="00896DD6" w:rsidRDefault="005A3EF0" w:rsidP="005A3EF0">
      <w:pPr>
        <w:pStyle w:val="a5"/>
        <w:numPr>
          <w:ilvl w:val="0"/>
          <w:numId w:val="1"/>
        </w:numPr>
        <w:spacing w:line="400" w:lineRule="exact"/>
        <w:ind w:left="0" w:firstLineChars="0" w:firstLine="0"/>
        <w:rPr>
          <w:rFonts w:ascii="Times New Roman" w:eastAsiaTheme="majorEastAsia" w:hAnsi="Times New Roman"/>
        </w:rPr>
      </w:pPr>
      <w:r w:rsidRPr="00896DD6">
        <w:rPr>
          <w:rFonts w:ascii="Times New Roman" w:eastAsiaTheme="majorEastAsia" w:hAnsi="Times New Roman"/>
        </w:rPr>
        <w:t>强子量能器：强子在介质中会发生强子簇射，如</w:t>
      </w:r>
      <w:r w:rsidRPr="00896DD6">
        <w:rPr>
          <w:rFonts w:ascii="Times New Roman" w:eastAsiaTheme="majorEastAsia" w:hAnsi="Times New Roman"/>
        </w:rPr>
        <w:fldChar w:fldCharType="begin"/>
      </w:r>
      <w:r w:rsidRPr="00896DD6">
        <w:rPr>
          <w:rFonts w:ascii="Times New Roman" w:eastAsiaTheme="majorEastAsia" w:hAnsi="Times New Roman"/>
        </w:rPr>
        <w:instrText xml:space="preserve"> REF _Ref513124508 \h </w:instrText>
      </w:r>
      <w:r w:rsidRPr="00896DD6">
        <w:rPr>
          <w:rFonts w:ascii="Times New Roman" w:eastAsiaTheme="majorEastAsia" w:hAnsi="Times New Roman"/>
        </w:rPr>
      </w:r>
      <w:r w:rsidRPr="00896DD6">
        <w:rPr>
          <w:rFonts w:ascii="Times New Roman" w:eastAsiaTheme="majorEastAsia" w:hAnsi="Times New Roman"/>
        </w:rPr>
        <w:instrText xml:space="preserve"> \* MERGEFORMAT </w:instrText>
      </w:r>
      <w:r w:rsidRPr="00896DD6">
        <w:rPr>
          <w:rFonts w:ascii="Times New Roman" w:eastAsiaTheme="majorEastAsia" w:hAnsi="Times New Roman"/>
        </w:rPr>
        <w:fldChar w:fldCharType="separate"/>
      </w:r>
      <w:r w:rsidRPr="00896DD6">
        <w:rPr>
          <w:rFonts w:ascii="Times New Roman" w:eastAsiaTheme="majorEastAsia" w:hAnsi="Times New Roman"/>
        </w:rPr>
        <w:t>图</w:t>
      </w:r>
      <w:r w:rsidRPr="00896DD6">
        <w:rPr>
          <w:rFonts w:ascii="Times New Roman" w:eastAsiaTheme="majorEastAsia" w:hAnsi="Times New Roman"/>
        </w:rPr>
        <w:t xml:space="preserve"> 2- </w:t>
      </w:r>
      <w:r w:rsidRPr="00896DD6">
        <w:rPr>
          <w:rFonts w:ascii="Times New Roman" w:eastAsiaTheme="majorEastAsia" w:hAnsi="Times New Roman"/>
          <w:noProof/>
        </w:rPr>
        <w:t>4</w:t>
      </w:r>
      <w:r w:rsidRPr="00896DD6">
        <w:rPr>
          <w:rFonts w:ascii="Times New Roman" w:eastAsiaTheme="majorEastAsia" w:hAnsi="Times New Roman"/>
        </w:rPr>
        <w:fldChar w:fldCharType="end"/>
      </w:r>
      <w:r w:rsidRPr="00896DD6">
        <w:rPr>
          <w:rFonts w:ascii="Times New Roman" w:eastAsiaTheme="majorEastAsia" w:hAnsi="Times New Roman"/>
        </w:rPr>
        <w:t>所示，强子量能器主要功能是测量入射强子的能量。强子簇射是指高能强子与介质中原子核发生非弹性散射，产生次级强子，而高能次级强子又会引发更多非弹性散射，最终产生大量次级粒子。不同于电磁簇射，强子簇射产物要复杂得多，其簇射深度通常用平均核作用长度来描述，指的是强子发生一次与介质原子核作用的平均路径长度。由于强子簇射完全吸收的深度远大于电磁簇射，因此强子量能器体积也远大于电磁量能器，并且通常采用取样型结构，吸收体一般用铁、铜和铅板等，灵敏层一般用闪烁计数器、漂移室和阻性板室等。由于强子簇射作用复杂，一般还包含电磁簇射过程，因此强子量能器的分辨率普遍低于电磁量能器。</w:t>
      </w:r>
    </w:p>
    <w:p w:rsidR="00DB5CC5" w:rsidRDefault="00DB5CC5"/>
    <w:p w:rsidR="005A3EF0" w:rsidRPr="005A3EF0" w:rsidRDefault="005A3EF0" w:rsidP="005A3EF0">
      <w:pPr>
        <w:spacing w:line="400" w:lineRule="exact"/>
        <w:ind w:firstLine="420"/>
        <w:rPr>
          <w:rFonts w:ascii="Times New Roman" w:eastAsiaTheme="majorEastAsia" w:hAnsi="Times New Roman" w:cs="Times New Roman"/>
          <w:sz w:val="24"/>
          <w:szCs w:val="24"/>
        </w:rPr>
      </w:pPr>
      <w:r w:rsidRPr="005A3EF0">
        <w:rPr>
          <w:rFonts w:ascii="Times New Roman" w:eastAsiaTheme="majorEastAsia" w:hAnsi="Times New Roman" w:cs="Times New Roman"/>
          <w:sz w:val="24"/>
          <w:szCs w:val="24"/>
        </w:rPr>
        <w:t>CMS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实验上的电磁量能器属于层传统量能器，如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REF _Ref513124420 \h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\* MERGEFORMAT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图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2- </w:t>
      </w:r>
      <w:r w:rsidRPr="005A3EF0">
        <w:rPr>
          <w:rFonts w:ascii="Times New Roman" w:eastAsiaTheme="majorEastAsia" w:hAnsi="Times New Roman" w:cs="Times New Roman"/>
          <w:noProof/>
          <w:sz w:val="24"/>
          <w:szCs w:val="24"/>
        </w:rPr>
        <w:t>3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（左）所示，使用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PbWO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4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闪烁晶体作为吸收体，其辐射长度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X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为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0.89 cm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，吸收体总长度为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25X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。如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REF _Ref513124420 \h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\* MERGEFORMAT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图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2- </w:t>
      </w:r>
      <w:r w:rsidRPr="005A3EF0">
        <w:rPr>
          <w:rFonts w:ascii="Times New Roman" w:eastAsiaTheme="majorEastAsia" w:hAnsi="Times New Roman" w:cs="Times New Roman"/>
          <w:noProof/>
          <w:sz w:val="24"/>
          <w:szCs w:val="24"/>
        </w:rPr>
        <w:t>3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（右）所示，该量能器具有相当高的能量分辨率，对于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100GeV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光子，分辨率达到了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0.4%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5A3EF0" w:rsidRDefault="005A3EF0"/>
    <w:p w:rsidR="005A3EF0" w:rsidRDefault="005A3EF0"/>
    <w:p w:rsidR="005A3EF0" w:rsidRPr="005A3EF0" w:rsidRDefault="005A3EF0" w:rsidP="005A3EF0">
      <w:pPr>
        <w:spacing w:line="400" w:lineRule="exact"/>
        <w:ind w:firstLine="420"/>
        <w:rPr>
          <w:rFonts w:ascii="Times New Roman" w:eastAsiaTheme="majorEastAsia" w:hAnsi="Times New Roman" w:cs="Times New Roman"/>
          <w:sz w:val="24"/>
          <w:szCs w:val="24"/>
        </w:rPr>
      </w:pPr>
      <w:r w:rsidRPr="005A3EF0">
        <w:rPr>
          <w:rFonts w:ascii="Times New Roman" w:eastAsiaTheme="majorEastAsia" w:hAnsi="Times New Roman" w:cs="Times New Roman"/>
          <w:sz w:val="24"/>
          <w:szCs w:val="24"/>
        </w:rPr>
        <w:t>该量能器的基本结构与前文的电磁量能器相同，总共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38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层相同的层叠结构，每层结构如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REF _Ref513125116 \h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\* MERGEFORMAT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图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2- 20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所示，该结构主要由灵敏层和吸收层组成，灵敏层由塑料闪烁体阵列构成，单层灵敏层总面积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1 m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，单元厚度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0.5cm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，灵敏层如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REF _Ref513125146 \h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instrText xml:space="preserve"> \* MERGEFORMAT </w:instrTex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图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2- 21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所示，中间部分使用较小的塑料闪烁体（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3×3 cm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），外围用较大闪烁体（从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6×6 cm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到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12×12 cm</w:t>
      </w:r>
      <w:r w:rsidRPr="005A3EF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），使用钢作为吸收层，每层吸收层厚度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2cm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，吸收层总共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76cm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，等效于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4.5</w:t>
      </w:r>
      <w:r w:rsidRPr="005A3EF0">
        <w:rPr>
          <w:rFonts w:ascii="Times New Roman" w:eastAsiaTheme="majorEastAsia" w:hAnsi="Times New Roman" w:cs="Times New Roman"/>
          <w:sz w:val="24"/>
          <w:szCs w:val="24"/>
        </w:rPr>
        <w:t>个平均核作用长度。</w:t>
      </w:r>
    </w:p>
    <w:p w:rsidR="005A3EF0" w:rsidRDefault="005A3EF0"/>
    <w:p w:rsidR="00C644A6" w:rsidRDefault="00C644A6"/>
    <w:p w:rsidR="00C644A6" w:rsidRPr="00DE4D94" w:rsidRDefault="00C644A6" w:rsidP="00C644A6">
      <w:pPr>
        <w:pStyle w:val="a5"/>
        <w:numPr>
          <w:ilvl w:val="0"/>
          <w:numId w:val="2"/>
        </w:numPr>
        <w:ind w:left="420" w:hangingChars="200"/>
        <w:rPr>
          <w:rFonts w:ascii="Times New Roman" w:hAnsi="Times New Roman"/>
          <w:sz w:val="21"/>
          <w:szCs w:val="21"/>
        </w:rPr>
      </w:pPr>
      <w:bookmarkStart w:id="0" w:name="_Ref508718303"/>
      <w:bookmarkStart w:id="1" w:name="_GoBack"/>
      <w:r w:rsidRPr="00DE4D94">
        <w:rPr>
          <w:rFonts w:ascii="Times New Roman" w:hAnsi="Times New Roman"/>
          <w:sz w:val="21"/>
          <w:szCs w:val="21"/>
        </w:rPr>
        <w:t>Glashow S L. Partial-symmetries of weak interactions[J]. Nuclear Physics, 1961, 22(4): 579-588.</w:t>
      </w:r>
      <w:bookmarkEnd w:id="0"/>
    </w:p>
    <w:p w:rsidR="00C644A6" w:rsidRPr="00DE4D94" w:rsidRDefault="00C644A6" w:rsidP="00C644A6">
      <w:pPr>
        <w:pStyle w:val="a5"/>
        <w:numPr>
          <w:ilvl w:val="0"/>
          <w:numId w:val="2"/>
        </w:numPr>
        <w:ind w:left="420" w:hangingChars="200"/>
        <w:rPr>
          <w:rFonts w:ascii="Times New Roman" w:hAnsi="Times New Roman"/>
          <w:sz w:val="21"/>
          <w:szCs w:val="21"/>
        </w:rPr>
      </w:pPr>
      <w:bookmarkStart w:id="2" w:name="_Ref508717776"/>
      <w:r w:rsidRPr="00DE4D94">
        <w:rPr>
          <w:rFonts w:ascii="Times New Roman" w:hAnsi="Times New Roman"/>
          <w:color w:val="222222"/>
          <w:kern w:val="0"/>
          <w:sz w:val="21"/>
          <w:szCs w:val="21"/>
        </w:rPr>
        <w:t>Higgs P W. Broken symmetries and the masses of gauge bosons[J]. Physical Review Letters, 1964, 13(16): 508.</w:t>
      </w:r>
      <w:bookmarkEnd w:id="2"/>
    </w:p>
    <w:p w:rsidR="00C644A6" w:rsidRPr="00DE4D94" w:rsidRDefault="00C644A6" w:rsidP="00C644A6">
      <w:pPr>
        <w:pStyle w:val="a5"/>
        <w:numPr>
          <w:ilvl w:val="0"/>
          <w:numId w:val="2"/>
        </w:numPr>
        <w:ind w:left="420" w:hangingChars="200"/>
        <w:rPr>
          <w:rFonts w:ascii="Times New Roman" w:hAnsi="Times New Roman"/>
          <w:sz w:val="21"/>
          <w:szCs w:val="21"/>
        </w:rPr>
      </w:pPr>
      <w:bookmarkStart w:id="3" w:name="_Ref508717778"/>
      <w:bookmarkEnd w:id="1"/>
      <w:r w:rsidRPr="00DE4D94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Englert F, Brout R. Broken symmetry and the mass of gauge vector mesons[J]. Physical Review Letters, 1964, 13(9): 321.</w:t>
      </w:r>
      <w:bookmarkEnd w:id="3"/>
    </w:p>
    <w:p w:rsidR="00C644A6" w:rsidRPr="005A3EF0" w:rsidRDefault="00C644A6">
      <w:pPr>
        <w:rPr>
          <w:rFonts w:hint="eastAsia"/>
        </w:rPr>
      </w:pPr>
    </w:p>
    <w:sectPr w:rsidR="00C644A6" w:rsidRPr="005A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F0" w:rsidRDefault="005A3EF0" w:rsidP="005A3EF0">
      <w:r>
        <w:separator/>
      </w:r>
    </w:p>
  </w:endnote>
  <w:endnote w:type="continuationSeparator" w:id="0">
    <w:p w:rsidR="005A3EF0" w:rsidRDefault="005A3EF0" w:rsidP="005A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F0" w:rsidRDefault="005A3EF0" w:rsidP="005A3EF0">
      <w:r>
        <w:separator/>
      </w:r>
    </w:p>
  </w:footnote>
  <w:footnote w:type="continuationSeparator" w:id="0">
    <w:p w:rsidR="005A3EF0" w:rsidRDefault="005A3EF0" w:rsidP="005A3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10A9B"/>
    <w:multiLevelType w:val="hybridMultilevel"/>
    <w:tmpl w:val="055031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956F83"/>
    <w:multiLevelType w:val="hybridMultilevel"/>
    <w:tmpl w:val="3F9C8DD6"/>
    <w:lvl w:ilvl="0" w:tplc="9B1C31F6">
      <w:start w:val="1"/>
      <w:numFmt w:val="decimal"/>
      <w:lvlText w:val="[%1]."/>
      <w:lvlJc w:val="center"/>
      <w:pPr>
        <w:ind w:left="5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0F"/>
    <w:rsid w:val="00092D59"/>
    <w:rsid w:val="000B7ECA"/>
    <w:rsid w:val="002260EC"/>
    <w:rsid w:val="0037168B"/>
    <w:rsid w:val="0039508A"/>
    <w:rsid w:val="00495D21"/>
    <w:rsid w:val="005605E1"/>
    <w:rsid w:val="005A3EF0"/>
    <w:rsid w:val="0061487D"/>
    <w:rsid w:val="007E5AFC"/>
    <w:rsid w:val="008C212D"/>
    <w:rsid w:val="00953E0F"/>
    <w:rsid w:val="00965FF1"/>
    <w:rsid w:val="009F43C3"/>
    <w:rsid w:val="00B6457C"/>
    <w:rsid w:val="00C12C8F"/>
    <w:rsid w:val="00C644A6"/>
    <w:rsid w:val="00C76A59"/>
    <w:rsid w:val="00D03B5D"/>
    <w:rsid w:val="00D448AD"/>
    <w:rsid w:val="00DB5CC5"/>
    <w:rsid w:val="00E1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A19172-B9AA-4F81-A8A9-0A83FF33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EF0"/>
    <w:rPr>
      <w:sz w:val="18"/>
      <w:szCs w:val="18"/>
    </w:rPr>
  </w:style>
  <w:style w:type="paragraph" w:styleId="a5">
    <w:name w:val="List Paragraph"/>
    <w:basedOn w:val="a"/>
    <w:uiPriority w:val="34"/>
    <w:qFormat/>
    <w:rsid w:val="005A3EF0"/>
    <w:pPr>
      <w:ind w:firstLineChars="200" w:firstLine="20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2</cp:revision>
  <dcterms:created xsi:type="dcterms:W3CDTF">2018-05-03T07:27:00Z</dcterms:created>
  <dcterms:modified xsi:type="dcterms:W3CDTF">2018-05-03T11:25:00Z</dcterms:modified>
</cp:coreProperties>
</file>