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LEDGR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Soluções Ativas</w:t>
      </w:r>
    </w:p>
    <w:p>
      <w:pPr>
        <w:pBdr>
          <w:top w:val="single" w:color="2E75B6" w:sz="6"/>
          <w:bottom w:val="single" w:color="2E75B6" w:sz="6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DOCUMENTAÇÃO TÉCNICA — MÓDULO DE GESTÃO DOCUMENTAL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Pipeline: Texto Puro → HTML/CSS → PDF/A → Assinatura Digital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Março de 2026  |  Uso Interno</w:t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e Motivação da Arquitetura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registra as decisões de arquitetura para o módulo de gestão documental do LEDGR, plataforma de gestão multi-empresa voltada inicialmente para escritórios de advocacia e contabilidade no Brasil.</w:t>
      </w:r>
    </w:p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Premissa central: </w:t>
      </w:r>
      <w:r>
        <w:rPr>
          <w:rFonts w:ascii="Arial" w:cs="Arial" w:eastAsia="Arial" w:hAnsi="Arial"/>
          <w:sz w:val="22"/>
          <w:szCs w:val="22"/>
        </w:rPr>
        <w:t xml:space="preserve">o LEDGR não é um editor de texto. É uma plataforma que conhece os dados das empresas cadastradas e os usa para gerar documentos jurídicos padronizados, seguros e com validade legal.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Por que não DOCX como formato de trabalho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escolha de rejeitar o DOCX como formato primário foi intencional e se apoia em argumentos técnicos e práticos: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Renderização inconsistente: um DOCX abre diferente no Word, LibreOffice e Google Docs, gerando outputs visuais distintos do mesmo arquivo — inaceitável para documentos jurídicos.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Complexidade desnecessária: DOCX é internamente um ZIP com XML. Manipulá-lo programaticamente exige bibliotecas pesadas e propensas a erros de schema.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Ausência de controle de estilo centralizado: cada DOCX carrega seus próprios estilos embutidos, impossibilitando padronização visual consistente entre documentos de diferentes empresas.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JUCESP não exige DOCX: o formato aceito para autenticação de livros e documentos societários é PDF/A com assinatura digital — DOCX é apenas um passo intermediário desnecessário.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 Decisão: HTML + CSS → PDF/A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pipeline adotado é: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Dado estruturado (PostgreSQL/Prisma)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Template HTML + Folha de Estilos CSS (por tipo de documento)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Puppeteer (renderização headless → PDF/A)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Hash SHA-256 (integridade)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Assinatura Digital ICP-Brasil (ClickSign / DocuSign)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Armazenamento imutável (S3 / MinIO + banco de dados)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abordagem oferece: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Stack familiar: HTML e CSS são tecnologias que a equipe já usa no frontend do LEDGR.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Output determinístico: o mesmo HTML sempre gera o mesmo PDF, independente do sistema operacional ou versão de software do usuário.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Separação de responsabilidades: conteúdo (dados do Prisma), apresentação (CSS por tipo de documento) e comportamento (NestJS) são completamente independentes.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Versionamento simples: armazenar o HTML fonte no banco permite regenerar o PDF a qualquer momento.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Conformidade legal: PDF/A é o formato exigido pela JUCESP para autenticação de livros societários digitais desde setembro de 2025.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Contexto Legal e Regulatório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Exigências da JUCESP para Documentos Digitais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Desde 1º de setembro de 2025, a Junta Comercial do Estado de São Paulo passou a autenticar livros societários exclusivamente em formato digital, conforme as Instruções Normativas DREI nº 82/2021 e nº 79/2022.</w:t>
      </w:r>
    </w:p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requisitos técnicos e legais que o LEDGR deve atender são: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Formato de saída: PDF/A (ISO 19005) com assinatura digital.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Certificado digital: e-CPF ou e-CNPJ emitido por Autoridade Certificadora credenciada pela ICP-Brasil.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Autenticidade: cadeia de custódia verificável — o documento deve ter integridade comprovável desde sua criação.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Acesso controlado: documentos devem ser inacessíveis a terceiros não autorizados.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Responsabilidade de guarda: é da própria sociedade — o LEDGR se posiciona como a solução de armazenamento seguro.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Documentos do Escopo Inicial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 Assinatura Digital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Estatuto 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Lei 6.404/76 (S/A)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 — todos os sócios/acionistas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Ata de AGE / AGO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Lei 6.404/76, art. 124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 — mesa da assembleia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Procuração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Código Civil, art. 653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Situacional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Livro Reg. Ações Nominativas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Lei 6.404/76, art. 100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 — autenticação JUCESP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Livro Reg. Presença Acionistas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Lei 6.404/76, art. 127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 — autenticação JUCESP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Arquitetura Técnica Detalhada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Etapa 1 — Input: Texto Puro e Dados Estruturados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de cada documento tem duas origens complementares: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Dados automáticos (do banco de dados)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LEDGR já possui em seu banco PostgreSQL, via Prisma ORM, todos os dados necessários para preencher automaticamente a maior parte dos documentos: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Razão social, CNPJ, endereço da sede (tabela Empresa)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Qualificação completa dos sócios/acionistas: nome, CPF, nacionalidade, estado civil, profissão, endereço (tabela Socio)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Composição do capital social e distribuição de cotas/ações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Administradores e seus poderes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Dados do Cartão CNPJ via integração com a RFB (já implementado)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Conteúdo editorial (input do usuário)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não pode ser inferido automaticamente é fornecido pelo usuário via interface: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Objeto social (cláusulas específicas da empresa)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Disposições estatutárias particulares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Pauta e deliberações de assembleias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Poderes específicos de procurações</w:t>
      </w:r>
    </w:p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 MVP, o input editorial pode ser um campo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&lt;textarea&gt;</w:t>
      </w:r>
      <w:r>
        <w:rPr>
          <w:rFonts w:ascii="Arial" w:cs="Arial" w:eastAsia="Arial" w:hAnsi="Arial"/>
          <w:sz w:val="22"/>
          <w:szCs w:val="22"/>
        </w:rPr>
        <w:t xml:space="preserve"> simples no frontend React, com suporte a formatação básica via Markdown leve. O editor rico (TipTap) pode ser adicionado em fase posterior sem alterar o pipeline de geração.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Etapa 2 — Template HTML + CSS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Estrutura dos templates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tipo de documento possui um template HTML dedicado, armazenado no backend NestJS. O NestJS usa um motor de templates (Handlebars ou Nunjucks) para injetar os dados do Prisma nas variáveis do template: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Exemplo: estatuto-social.template.hbs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&lt;link rel="stylesheet" href="estatuto-social.css"&gt;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&lt;div class="cabecalho"&gt;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&lt;h1&gt;ESTATUTO SOCIAL&lt;/h1&gt;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&lt;h2&gt;{{ empresa.razaoSocial }}&lt;/h2&gt;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&lt;div class="clausulas"&gt;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&lt;div class="clausula"&gt;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&lt;span class="numero"&gt;Art. 1º&lt;/span&gt;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&lt;p&gt;{{ empresa.razaoSocial }}, sociedade anônima de capital fechado,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com sede em {{ empresa.municipio }}/{{ empresa.uf 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CNPJ {{ empresa.cnpj }}.&lt;/p&gt;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{{#each clausulas}}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&lt;div class="clausula"&gt;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  &lt;span class="numero"&gt;{{ this.numero }}&lt;/span&gt;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  &lt;p&gt;{{ this.texto }}&lt;/p&gt;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{{/each}}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&lt;div class="assinaturas"&gt;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{{#each signatarios}}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&lt;div class="linha-assinatura"&gt;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  &lt;div class="traço"&gt;&lt;/div&gt;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  &lt;p&gt;{{ this.nome }}&lt;/p&gt;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  &lt;p&gt;{{ this.qualificacao }}&lt;/p&gt;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{{/each}}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Folhas de Estilos (CSS por tipo de documento)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tipo de documento tem seu próprio arquivo CSS, garantindo apresentação adequada ao seu contexto jurídico: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/* estatuto-social.css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@page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size: A4;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margin: 3cm 2.5cm 2.5cm 3cm; /* margem esquerda maior para encadernação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body { font-family: 'Times New Roman', serif; font-size: 12pt;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h1 { text-align: center; font-size: 14pt; text-transform: uppercase;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.clausula { margin-bottom: 1em; text-align: justify;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.clausula .numero { font-weight: bold;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.assinaturas { margin-top: 4cm;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.linha-assinatura { text-align: center; margin-bottom: 1.5cm;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.traco { border-top: 1px solid black; width: 8cm; margin: 0 auto 0.3cm;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/* Numeração automática de páginas no rodapé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@page { @bottom-center { content: counter(page) ' / ' counter(pages); }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Arquivos CSS previstos no escopo inicial: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estatuto-social.css — tipografia serifada, margens para encadernação, numeração de cláusulas.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ata-age.css — cabeçalho com dados da empresa, lista de presentes, espaços para assinatura da mesa.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procuracao.css — layout mais simples, ênfase nos poderes outorgados.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livro-acoes.css — layout tabular para registro de ações nominativas.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Etapa 3 — Geração do PDF/A com Puppeteer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Por que Puppeteer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Puppeteer é uma biblioteca Node.js que controla o Chrome/Chromium em modo headless (sem interface gráfica). Ele renderiza HTML exatamente como um navegador real, garantindo fidelidade total ao CSS e output determinístico.</w:t>
      </w:r>
    </w:p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Vantagens sobre alternativas como wkhtmltopdf ou Prince: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Mantido ativamente pelo Google — atualizações constantes de segurança.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Suporte completo a CSS moderno (flexbox, grid, variáveis CSS).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Compatível com a stack Node.js/NestJS já existente no LEDGR.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Suporte nativo a PDF/A via configuração de metadados.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Gratuito e open source.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documento.service.ts (NestJS)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import puppeteer from 'puppeteer';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import * as Handlebars from 'handlebars';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import * as fs from 'fs';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import * as crypto from 'crypto';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async gerarPDF(tipo: string, dados: any): Promise&lt;Buffer&gt;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// 1. Carregar template e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templateSrc = fs.readFileSync(`templates/${tipo}.hbs`, 'utf8');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cssSrc = fs.readFileSync(`templates/${tipo}.css`, 'utf8');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// 2. Compilar HTML com dados do 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template = Handlebars.compile(templateSrc);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html = template({ ...dados, css: cssSrc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// 3. Renderizar PDF com Puppeteer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browser = await puppeteer.launch({ args: ['--no-sandbox']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page = await browser.newPage();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await page.setContent(html, { waitUntil: 'networkidle0'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pdfBuffer = await page.pdf({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format: 'A4',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printBackground: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margin: { top: '3cm', right: '2.5cm', bottom: '2.5cm', left: '3cm'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displayHeaderFooter: false, // rodapé via CSS @page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await browser.close();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return Buffer.from(pdfBuffer);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Etapa 4 — Segurança, Integridade e Certificação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56404" w:sz="2"/>
              <w:left w:val="single" w:color="856404" w:sz="2"/>
              <w:bottom w:val="single" w:color="856404" w:sz="2"/>
              <w:right w:val="single" w:color="856404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 Atenção — Esta é a etapa mais crítica de toda a arquitetura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validade jurídica de um documento eletrônico depende inteiramente da garantia de sua integridade e autenticidade. Um PDF tecnicamente perfeito, sem a camada de segurança adequada, não tem valor probatório em juízo nem é aceito pela JUCESP.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3.4.1 Hash de Integridade (SHA-256)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Imediatamente após a geração do PDF e antes de qualquer outra operação, o sistema calcula um hash SHA-256 do arquivo. Este hash funciona como uma impressão digital única do documento — qualquer alteração de um único byte produz um hash completamente diferente.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Geração do hash no NestJS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const hash = crypto.createHash('sha256').update(pdfBuffer).digest('hex');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Persistência no banco de dados (Prisma)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await this.prisma.documento.create({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data: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tipo:         tipo,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empresaId:    dados.empresaId,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hashSHA256:   hash,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tamanhoBytes: pdfBuffer.length,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criadoPor:    dados.usuarioId,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criadoEm:     new Date(),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status:       'GERADO', // GERADO | ASSINADO | ARQUIVADO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htmlFonte:    html,     // armazenar fonte para regeneração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3.4.2 Assinatura Digital ICP-Brasil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assinatura digital é o mecanismo que associa juridicamente uma pessoa (física ou jurídica) ao documento, com força probatória equivalente à assinatura manuscrita, nos termos da MP 2.200-2/2001.</w:t>
      </w:r>
    </w:p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LEDGR não implementa assinatura digital própria — isso exigiria credenciamento como Autoridade Certificadora, processo complexo e desnecessário. A abordagem correta é integrar com plataformas já credenciadas: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ClickSign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REST, ICP-Brasil, planos acessíveis, muito usado no Brasil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✅ MVP</w:t>
            </w:r>
          </w:p>
        </w:tc>
      </w:tr>
      <w:tr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 global, API robusta, mais caro, ideal para escalar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D4Sign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brasileira, ICP-Brasil nativo, boa integração com cartório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Alternativa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3.4.3 Fluxo de Assinatura via API (ClickSign)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Fluxo de integração com ClickSign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1. Criar documento na ClickSign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https://sandbox.clicksign.com/api/v1/documents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'document':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'path': '/ledgr/estatutos/empresa-123-2026.pdf',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'content_base64': '&lt;pdf em base64&gt;',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'deadline_at': '2026-04-01T00:00:00-03:00'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2. Adicionar signatários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POST /api/v1/lists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'list':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'document_key': '&lt;doc_key&gt;',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'signer_key': '&lt;signer_key&gt;',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'sign_as': 'party' // party | witness | intervening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3. Ativar envelope (dispara e-mails)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PATCH /api/v1/documents/&lt;key&gt;/finish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4. Webhook: LEDGR recebe notificação quando todos assinaram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→ atualiza status do documento para 'ASSINADO'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→ recalcula hash do PDF assinado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→ armazena versão final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Etapa 5 — Armazenamento e Cadeia de Custódia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3.5.1 Modelo de dados (Prisma)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model Documento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id              String    @id @default(uuid())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empresaId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tipo            TipoDoc   // ESTATUTO_SOCIAL | ATA_AGE | PROCURACAO |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status          StatusDoc // RASCUNHO | GERADO | AGUARDANDO_ASSINATURA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                    // ASSINADO | ARQUIVADO | REVOGADO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htmlFonte       String    // HTML original para regeneração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hashSHA256      String    // hash do PDF gerado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hashAssinado    String?   // hash do PDF após assinatura digital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caminhoStorage  String?   // path no S3/MinIO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clicksignKey    String?   // chave do envelope na plataforma de assinatura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criadoPor       String    // usuarioId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criadoEm     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assinadoEm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archivedAt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versao         Int       @default(1)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documentoPaiId String?   // para versionamento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empresa    Empresa    @relation(fields: [empresaId],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criador    Usuario    @relation(fields: [criadoPor],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versoes    Documento[] @relation('versoes')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pai        Documento?  @relation('versoes', fields: [documentoPaiId],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auditoria  AuditoriaDocumento[]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model AuditoriaDocumento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id          String   @id @default(uuid())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documentoId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acao        String   // CRIADO | EDITADO | ASSINADO | BAIXADO | REVOGADO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usuarioId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ip 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timestamp   DateTime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metadados   Json?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3.5.2 Armazenamento de arquivos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arquivos PDF são armazenados fora do banco de dados, em serviço de object storage: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Desenvolvimento / MVP: MinIO (self-hosted, compatível com API S3) — pode rodar como container Docker junto ao ambiente de desenvolvimento.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Produção: AWS S3, Google Cloud Storage ou Cloudflare R2 — sem alteração de código, pois todos usam a mesma API S3-compatible.</w:t>
      </w:r>
    </w:p>
    <w:p>
      <w:pPr>
        <w:spacing w:after="1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Organização dos buckets: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ledgr-documentos/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├── {empresaId}/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│     ├── rascunhos/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│     │     └── {documentoId}-v{versao}.pdf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│     ├── assinados/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│     │     └── {documentoId}-assinado.pdf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│     └── arquivados/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│           └── {documentoId}-arquivado.pdf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└──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    └── (não armazenados aqui — ficam no código-fonte)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Ferramentas, Instalação e Justificativas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Backend (NestJS)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Instalação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Renderiza HTML → PDF via Chrome headless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puppeteer</w:t>
            </w:r>
          </w:p>
        </w:tc>
      </w:tr>
      <w:tr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handlebars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de templates para gerar HTML com dados do Prisma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handlebars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@nestjs/config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variáveis de ambiente (chaves de API)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@nestjs/config</w:t>
            </w:r>
          </w:p>
        </w:tc>
      </w:tr>
      <w:tr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aws-sdk / @aws-sdk/client-s3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PDFs para MinIO/S3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@aws-sdk/client-s3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clicksign (HTTP)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com API REST da ClickSign via axios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axios (já instalado)</w:t>
            </w:r>
          </w:p>
        </w:tc>
      </w:tr>
      <w:tr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(nativo Node)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de hash SHA-256 para integridade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nativo — sem instalação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class-validator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dos DTOs de criação de documentos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class-validator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Frontend (React / Vite)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Instalação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@tiptap/react (Fase 2)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 rico para input editorial — adicionado após MVP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@tiptap/react @tiptap/starter-kit</w:t>
            </w:r>
          </w:p>
        </w:tc>
      </w:tr>
      <w:tr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react-pdf-viewer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do PDF gerado direto na interface antes de assinar</w:t>
            </w:r>
          </w:p>
        </w:tc>
        <w:tc>
          <w:tcPr>
            <w:shd w:fill="F8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@react-pdf-viewer/core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mammoth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Importação de DOCX existentes — extrai texto para o editor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mammoth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# MinIO (object storage local) via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docker run -d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--name ledgr-minio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-p 9000:9000 -p 9001:9001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-e MINIO_ROOT_USER=ledgr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-e MINIO_ROOT_PASSWORD=senhasegura123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-v minio_data:/data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quay.io/minio/minio server /data --console-address ':9001'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# Chrome/Chromium (necessário para o Puppeteer)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# O próprio puppeteer instala uma versão bundled automaticamente.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# Em produção Linux, instalar dependências do Chromium: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apt-get install -y libgbm-dev libasound2 libatk-bridge2.0-0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libatk1.0-0 libcups2 libdrm2 libgdk-pixbuf2.0-0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libgtk-3-0 libnspr4 libnss3 libx11-xcb1 libxss1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libxtst6 xdg-utils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Fluxo Completo — Geração de Estatuto Social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seguir, o fluxo completo do caso de uso mais representativo: geração do Estatuto Social na transformação de Ltda em S/A.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USUÁRIO                   FRONTEND (React)              BACKEND (NestJS)          SERVIÇOS EXTERNOS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|-- Seleciona empresa ----→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|-- GET /empresas/{id} ------→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|← dados completos (Prisma) ---|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|-- Seleciona 'Estatuto' →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e preenche cláusulas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|-- Clica 'Gerar PDF' ----→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|-- POST /documentos/gerar --→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{ empresaId, tipo,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clausulas, signatarios }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Busca dados Prisma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Compila template HBS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Puppeteer → PDF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SHA-256 → hash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Upload MinIO/S3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Salva Documento (DB)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|← { documentoId, previewUrl }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|← Preview do PDF ---------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|-- 'Enviar para assinar' →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|-- POST /documentos/assinar →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POST ClickSign API ----→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← envelope_key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Salva clicksignKey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Status → AGUARDANDO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|← { status: 'enviado' } ------|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[Signatários assinam por e-mail na ClickSign]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← Webhook 'document.signed' ---------|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Baixa PDF assinado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Recalcula hash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Upload versão assinada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Status → ASSINADO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|                           |                              |-- Log auditoria           |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Segurança e Controle de Acesso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Princípios aplicados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módulo de documentos aplica os seguintes princípios de segurança: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Least Privilege (Menor Privilégio): cada usuário só pode ver e operar documentos das empresas às quais tem acesso, conforme o contexto EmpresaContext já implementado no LEDGR.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Imutabilidade: documentos no status ASSINADO ou ARQUIVADO não podem ser editados — apenas revogados com criação de nova versão, mantendo o histórico completo.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Auditoria total: toda operação sobre um documento (criação, visualização, download, assinatura, revogação) é registrada na tabela AuditoriaDocumento com IP, usuário e timestamp.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Segregação de ambiente: rascunhos e documentos finais ficam em paths distintos no storage, com políticas de acesso diferentes.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Verificação de Integridade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LEDGR expõe um endpoint de verificação que permite a qualquer momento confirmar que um PDF não foi alterado desde sua geração: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// GET /documentos/{id}/verificar-integridade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async verificarIntegridade(id: string): Promise&lt;VerificacaoResult&gt;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doc = await this.prisma.documento.findUnique({ where: { id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pdfAtual = await this.storage.download(doc.caminhoStorage);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const hashAtual = crypto.createHash('sha256').update(pdfAtual).digest('hex');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integro: hashAtual === doc.hashSHA256,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hashRegistrado: doc.hashSHA256,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hashAtual: hashAtual,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  verificadoEm: new Date(),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Roadmap de Implementação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500"/>
        <w:gridCol w:w="2000"/>
      </w:tblGrid>
      <w:tr>
        <w:trPr>
          <w:tblHeader/>
        </w:trPr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 HTML/CSS Estatuto Social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Geração PDF via Puppeteer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Hash SHA-256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Armazenamento MinIO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Prisma Documento + Auditoria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 semanas</w:t>
            </w:r>
          </w:p>
        </w:tc>
      </w:tr>
      <w:tr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Assinatura</w:t>
            </w:r>
          </w:p>
        </w:tc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ClickSign 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Fluxo de assinatura multi-signatário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de confirmação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Notificações por e-mail</w:t>
            </w:r>
          </w:p>
        </w:tc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2-3 semanas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Ampliar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Templates: Ata AGE, Procuração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Importação de DOCX existentes (mammoth)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PDF no frontend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Versão histórica de documentos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 semanas</w:t>
            </w:r>
          </w:p>
        </w:tc>
      </w:tr>
      <w:tr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Livros</w:t>
            </w:r>
          </w:p>
        </w:tc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Livro de Ações Nominativas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Livro de Presença de Acionistas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Exportação pacote JUCESP (ZIP)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Editor rico TipTap</w:t>
            </w:r>
          </w:p>
        </w:tc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Futura</w:t>
            </w:r>
          </w:p>
        </w:tc>
        <w:tc>
          <w:tcPr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definir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📌 Nota de referência futura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foi elaborado em março de 2026 e reflete as decisões arquiteturais tomadas para o módulo de gestão documental do LEDGR. Deve ser revisado antes de cada nova fase de implementação para incorporar eventuais mudanças regulatórias (especialmente DREI/JUCESP) ou evoluções da stack técnica.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Confidencial — Ledgr Soluções Ativas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LEDGR — Documento Técnico de Arquitetura</w:t>
    </w:r>
    <w:r>
      <w:rPr>
        <w:rFonts w:ascii="Arial" w:cs="Arial" w:eastAsia="Arial" w:hAnsi="Arial"/>
        <w:color w:val="2E75B6"/>
        <w:sz w:val="18"/>
        <w:szCs w:val="18"/>
      </w:rPr>
      <w:t xml:space="preserve">    |    Módulo de Gestão Documental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2026-03-09T19:20:39.344Z</dcterms:created>
  <dcterms:modified xsi:type="dcterms:W3CDTF">2026-03-09T19:20:39.345Z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