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1D62" w14:textId="5170B258" w:rsidR="009A445C" w:rsidRPr="006453D9" w:rsidRDefault="006D43FD" w:rsidP="009A445C">
      <w:pPr>
        <w:pStyle w:val="MDPI11articletype"/>
      </w:pPr>
      <w:r>
        <w:t>Article</w:t>
      </w:r>
    </w:p>
    <w:p w14:paraId="08FDFA64" w14:textId="39C1524F" w:rsidR="009A445C" w:rsidRPr="003B1AF1" w:rsidRDefault="006D43FD" w:rsidP="009A445C">
      <w:pPr>
        <w:pStyle w:val="MDPI12title"/>
      </w:pPr>
      <w:r w:rsidRPr="006D43FD">
        <w:t xml:space="preserve">Spatial and temporal variability in spat settlement of intertidal oyster reefs support site-specific assessments for restoration </w:t>
      </w:r>
      <w:proofErr w:type="gramStart"/>
      <w:r w:rsidR="00371A05" w:rsidRPr="006D43FD">
        <w:t>practices</w:t>
      </w:r>
      <w:proofErr w:type="gramEnd"/>
    </w:p>
    <w:p w14:paraId="127B943D" w14:textId="0076183B" w:rsidR="00217165" w:rsidRDefault="006D43FD" w:rsidP="009A445C">
      <w:pPr>
        <w:pStyle w:val="MDPI13authornames"/>
      </w:pPr>
      <w:r>
        <w:t>Shannon D. Kimmel</w:t>
      </w:r>
      <w:r w:rsidR="009A445C" w:rsidRPr="001F31D1">
        <w:rPr>
          <w:vertAlign w:val="superscript"/>
        </w:rPr>
        <w:t>1</w:t>
      </w:r>
      <w:r w:rsidR="009A445C" w:rsidRPr="00D945EC">
        <w:t xml:space="preserve">, </w:t>
      </w:r>
      <w:r>
        <w:t>Hans Prevost</w:t>
      </w:r>
      <w:r w:rsidRPr="006D43FD">
        <w:rPr>
          <w:vertAlign w:val="superscript"/>
        </w:rPr>
        <w:t>1</w:t>
      </w:r>
      <w:r>
        <w:t>, Alexandria Knoell</w:t>
      </w:r>
      <w:r w:rsidRPr="001F31D1">
        <w:rPr>
          <w:vertAlign w:val="superscript"/>
        </w:rPr>
        <w:t>1</w:t>
      </w:r>
      <w:r>
        <w:t>, Pamela Marcum</w:t>
      </w:r>
      <w:r w:rsidR="009A445C" w:rsidRPr="001F31D1">
        <w:rPr>
          <w:vertAlign w:val="superscript"/>
        </w:rPr>
        <w:t>2</w:t>
      </w:r>
      <w:r w:rsidR="009A445C" w:rsidRPr="00D945EC">
        <w:t xml:space="preserve"> and </w:t>
      </w:r>
      <w:r>
        <w:t>Nicole</w:t>
      </w:r>
      <w:r w:rsidR="009A445C" w:rsidRPr="00D945EC">
        <w:t xml:space="preserve"> </w:t>
      </w:r>
      <w:r>
        <w:t>Dix</w:t>
      </w:r>
      <w:r w:rsidR="009A445C" w:rsidRPr="00D945EC">
        <w:t xml:space="preserve"> </w:t>
      </w:r>
      <w:proofErr w:type="gramStart"/>
      <w:r>
        <w:rPr>
          <w:vertAlign w:val="superscript"/>
        </w:rPr>
        <w:t>1</w:t>
      </w:r>
      <w:r w:rsidR="009A445C" w:rsidRPr="001F31D1">
        <w:rPr>
          <w:vertAlign w:val="superscript"/>
        </w:rPr>
        <w:t>,</w:t>
      </w:r>
      <w:r w:rsidR="009A445C"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217165" w:rsidRPr="00754C37" w14:paraId="444BAA25" w14:textId="77777777" w:rsidTr="0011332D">
        <w:tc>
          <w:tcPr>
            <w:tcW w:w="2410" w:type="dxa"/>
            <w:shd w:val="clear" w:color="auto" w:fill="auto"/>
          </w:tcPr>
          <w:p w14:paraId="29F2ADB2" w14:textId="77777777" w:rsidR="00217165" w:rsidRPr="00634F8A" w:rsidRDefault="00217165" w:rsidP="0011332D">
            <w:pPr>
              <w:pStyle w:val="MDPI61Citation"/>
              <w:spacing w:after="120" w:line="240" w:lineRule="exact"/>
            </w:pPr>
            <w:r w:rsidRPr="00CA0A54">
              <w:rPr>
                <w:b/>
              </w:rPr>
              <w:t>Citation:</w:t>
            </w:r>
            <w:r>
              <w:rPr>
                <w:b/>
              </w:rPr>
              <w:t xml:space="preserve"> </w:t>
            </w:r>
            <w:r>
              <w:t>To be added by editorial staff during production.</w:t>
            </w:r>
          </w:p>
          <w:p w14:paraId="5DFE4EB8" w14:textId="77777777" w:rsidR="00217165" w:rsidRDefault="00217165" w:rsidP="0011332D">
            <w:pPr>
              <w:pStyle w:val="MDPI15academiceditor"/>
              <w:spacing w:after="120"/>
            </w:pPr>
            <w:r>
              <w:t xml:space="preserve">Academic Editor: </w:t>
            </w:r>
            <w:proofErr w:type="spellStart"/>
            <w:r>
              <w:t>Firstname</w:t>
            </w:r>
            <w:proofErr w:type="spellEnd"/>
            <w:r>
              <w:t xml:space="preserve"> Lastname</w:t>
            </w:r>
          </w:p>
          <w:p w14:paraId="001EC682" w14:textId="77777777" w:rsidR="00217165" w:rsidRPr="00D95B91" w:rsidRDefault="00217165" w:rsidP="0011332D">
            <w:pPr>
              <w:pStyle w:val="MDPI14history"/>
              <w:spacing w:before="120"/>
            </w:pPr>
            <w:r w:rsidRPr="00D95B91">
              <w:t>Received: date</w:t>
            </w:r>
          </w:p>
          <w:p w14:paraId="37B21EA7" w14:textId="77777777" w:rsidR="00217165" w:rsidRDefault="00217165" w:rsidP="0011332D">
            <w:pPr>
              <w:pStyle w:val="MDPI14history"/>
            </w:pPr>
            <w:r>
              <w:t>Revised: date</w:t>
            </w:r>
          </w:p>
          <w:p w14:paraId="474EB3B4" w14:textId="77777777" w:rsidR="00217165" w:rsidRPr="00D95B91" w:rsidRDefault="00217165" w:rsidP="0011332D">
            <w:pPr>
              <w:pStyle w:val="MDPI14history"/>
            </w:pPr>
            <w:r>
              <w:t>Accepted: date</w:t>
            </w:r>
          </w:p>
          <w:p w14:paraId="3150C9BF" w14:textId="77777777" w:rsidR="00217165" w:rsidRPr="00D95B91" w:rsidRDefault="00217165" w:rsidP="0011332D">
            <w:pPr>
              <w:pStyle w:val="MDPI14history"/>
              <w:spacing w:after="120"/>
            </w:pPr>
            <w:r w:rsidRPr="00D95B91">
              <w:t>Published: date</w:t>
            </w:r>
          </w:p>
          <w:p w14:paraId="03587790" w14:textId="77777777" w:rsidR="00217165" w:rsidRPr="00754C37" w:rsidRDefault="00217165" w:rsidP="0011332D">
            <w:pPr>
              <w:adjustRightInd w:val="0"/>
              <w:snapToGrid w:val="0"/>
              <w:spacing w:before="120" w:line="240" w:lineRule="atLeast"/>
              <w:ind w:right="113"/>
              <w:jc w:val="left"/>
              <w:rPr>
                <w:rFonts w:eastAsia="DengXian"/>
                <w:bCs/>
                <w:sz w:val="14"/>
                <w:szCs w:val="14"/>
                <w:lang w:bidi="en-US"/>
              </w:rPr>
            </w:pPr>
            <w:r w:rsidRPr="00754C37">
              <w:rPr>
                <w:rFonts w:eastAsia="DengXian"/>
              </w:rPr>
              <w:drawing>
                <wp:inline distT="0" distB="0" distL="0" distR="0" wp14:anchorId="281E5052" wp14:editId="2DFC320E">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3EF7440" w14:textId="77777777" w:rsidR="00217165" w:rsidRPr="00754C37" w:rsidRDefault="00217165" w:rsidP="006C5F26">
            <w:pPr>
              <w:pStyle w:val="MDPI72Copyright"/>
              <w:rPr>
                <w:rFonts w:eastAsia="DengXian"/>
                <w:lang w:bidi="en-US"/>
              </w:rPr>
            </w:pPr>
            <w:r w:rsidRPr="00754C37">
              <w:rPr>
                <w:rFonts w:eastAsia="DengXian"/>
                <w:b/>
                <w:lang w:bidi="en-US"/>
              </w:rPr>
              <w:t>Copyright:</w:t>
            </w:r>
            <w:r w:rsidRPr="00754C37">
              <w:rPr>
                <w:rFonts w:eastAsia="DengXian"/>
                <w:lang w:bidi="en-US"/>
              </w:rPr>
              <w:t xml:space="preserve"> </w:t>
            </w:r>
            <w:r w:rsidR="006C6312">
              <w:rPr>
                <w:rFonts w:eastAsia="DengXian"/>
                <w:lang w:bidi="en-US"/>
              </w:rPr>
              <w:t>© 2024 by the</w:t>
            </w:r>
            <w:r>
              <w:rPr>
                <w:rFonts w:eastAsia="DengXian"/>
                <w:lang w:bidi="en-US"/>
              </w:rPr>
              <w:t xml:space="preserve"> authors. Submitted for possible open access publication under the terms and conditions of the Creative Commons </w:t>
            </w:r>
            <w:r w:rsidRPr="00754C37">
              <w:rPr>
                <w:rFonts w:eastAsia="DengXian"/>
                <w:lang w:bidi="en-US"/>
              </w:rPr>
              <w:t>Attribution (CC BY) license (</w:t>
            </w:r>
            <w:r>
              <w:rPr>
                <w:rFonts w:eastAsia="DengXian"/>
                <w:lang w:bidi="en-US"/>
              </w:rPr>
              <w:t>https://</w:t>
            </w:r>
            <w:r w:rsidRPr="00754C37">
              <w:rPr>
                <w:rFonts w:eastAsia="DengXian"/>
                <w:lang w:bidi="en-US"/>
              </w:rPr>
              <w:t>creativecommons.org/licenses/by/4.0/).</w:t>
            </w:r>
          </w:p>
        </w:tc>
      </w:tr>
    </w:tbl>
    <w:p w14:paraId="25CB20B0" w14:textId="0619A897" w:rsidR="009A445C" w:rsidRPr="00D945EC" w:rsidRDefault="00783C5D" w:rsidP="009A445C">
      <w:pPr>
        <w:pStyle w:val="MDPI16affiliation"/>
      </w:pPr>
      <w:r w:rsidRPr="00783C5D">
        <w:rPr>
          <w:vertAlign w:val="superscript"/>
        </w:rPr>
        <w:t>1</w:t>
      </w:r>
      <w:r w:rsidR="009A445C" w:rsidRPr="00D945EC">
        <w:tab/>
      </w:r>
      <w:r w:rsidR="006D43FD">
        <w:t>Guana Tolomato Matanzas National Estuarine Research Reserve, Ponte Vedra Beach, FL 32082, USA</w:t>
      </w:r>
      <w:r w:rsidR="009A445C" w:rsidRPr="00D945EC">
        <w:t xml:space="preserve">; </w:t>
      </w:r>
      <w:r w:rsidR="006D43FD">
        <w:br/>
      </w:r>
      <w:hyperlink r:id="rId8" w:history="1">
        <w:r w:rsidR="006D43FD" w:rsidRPr="007A21E7">
          <w:rPr>
            <w:rStyle w:val="Hyperlink"/>
          </w:rPr>
          <w:t>Shannon.Dunnigan@dep.state.fl.us</w:t>
        </w:r>
      </w:hyperlink>
      <w:r w:rsidR="006D43FD">
        <w:t xml:space="preserve"> (S.D.K); </w:t>
      </w:r>
      <w:hyperlink r:id="rId9" w:history="1">
        <w:r w:rsidR="006D43FD" w:rsidRPr="007A21E7">
          <w:rPr>
            <w:rStyle w:val="Hyperlink"/>
          </w:rPr>
          <w:t>Hans.Prevost@dep.state.fl.us</w:t>
        </w:r>
      </w:hyperlink>
      <w:r w:rsidR="006D43FD">
        <w:t xml:space="preserve"> (H.P.); </w:t>
      </w:r>
      <w:hyperlink r:id="rId10" w:history="1">
        <w:r w:rsidR="006D43FD" w:rsidRPr="007A21E7">
          <w:rPr>
            <w:rStyle w:val="Hyperlink"/>
          </w:rPr>
          <w:t>AKnoell@hotmail.com</w:t>
        </w:r>
      </w:hyperlink>
      <w:r w:rsidR="006D43FD">
        <w:t xml:space="preserve"> (A.K.) </w:t>
      </w:r>
    </w:p>
    <w:p w14:paraId="7CB1D235" w14:textId="5D1C617B" w:rsidR="009A445C" w:rsidRPr="00D945EC" w:rsidRDefault="009A445C" w:rsidP="009A445C">
      <w:pPr>
        <w:pStyle w:val="MDPI16affiliation"/>
      </w:pPr>
      <w:r w:rsidRPr="00D945EC">
        <w:rPr>
          <w:vertAlign w:val="superscript"/>
        </w:rPr>
        <w:t>2</w:t>
      </w:r>
      <w:r w:rsidRPr="00D945EC">
        <w:tab/>
      </w:r>
      <w:r w:rsidR="006D43FD">
        <w:t xml:space="preserve">South Carolina Department of Natural Resources, Charleston, SC </w:t>
      </w:r>
      <w:r w:rsidR="00A76B6D">
        <w:t>29412</w:t>
      </w:r>
      <w:r w:rsidR="006D43FD">
        <w:t>, USA</w:t>
      </w:r>
      <w:r w:rsidRPr="00D945EC">
        <w:t xml:space="preserve">; </w:t>
      </w:r>
      <w:hyperlink r:id="rId11" w:history="1">
        <w:r w:rsidR="00A76B6D" w:rsidRPr="00283948">
          <w:rPr>
            <w:rStyle w:val="Hyperlink"/>
          </w:rPr>
          <w:t>marcump@dnr.sc.gov</w:t>
        </w:r>
      </w:hyperlink>
      <w:r w:rsidR="00A76B6D">
        <w:t xml:space="preserve"> </w:t>
      </w:r>
    </w:p>
    <w:p w14:paraId="4CDA2607" w14:textId="6D2C67B9" w:rsidR="009A445C" w:rsidRPr="00550626" w:rsidRDefault="009A445C" w:rsidP="009A445C">
      <w:pPr>
        <w:pStyle w:val="MDPI16affiliation"/>
      </w:pPr>
      <w:r w:rsidRPr="00DB5A3C">
        <w:rPr>
          <w:b/>
        </w:rPr>
        <w:t>*</w:t>
      </w:r>
      <w:r w:rsidRPr="00D945EC">
        <w:tab/>
        <w:t xml:space="preserve">Correspondence: </w:t>
      </w:r>
      <w:hyperlink r:id="rId12" w:history="1">
        <w:r w:rsidR="006D43FD" w:rsidRPr="007A21E7">
          <w:rPr>
            <w:rStyle w:val="Hyperlink"/>
          </w:rPr>
          <w:t>Nikki.Dix@dep.state.us</w:t>
        </w:r>
      </w:hyperlink>
    </w:p>
    <w:p w14:paraId="67F1AE3C" w14:textId="623C01E5" w:rsidR="009A445C" w:rsidRPr="00550626" w:rsidRDefault="009A445C" w:rsidP="009A445C">
      <w:pPr>
        <w:pStyle w:val="MDPI17abstract"/>
        <w:rPr>
          <w:szCs w:val="18"/>
        </w:rPr>
      </w:pPr>
      <w:r w:rsidRPr="00550626">
        <w:rPr>
          <w:b/>
          <w:szCs w:val="18"/>
        </w:rPr>
        <w:t xml:space="preserve">Abstract: </w:t>
      </w:r>
      <w:r w:rsidR="00371A05" w:rsidRPr="00371A05">
        <w:rPr>
          <w:szCs w:val="18"/>
        </w:rPr>
        <w:t>Being some of the most productive ecosystems in the world, the declining condition and coverage of coastal habitats consequently results in the loss of the myriad economic and ecosystem services in which they provide. Mitigation efforts to address these deficits have been initiated in many places worldwide, however some of the tools for restoration and enhancement projects rely on place-based application as varying physical and biological characteristics of these sites drive the material and design of these projects. As such, increased place-based information to inform local management projects with the goals of reestablishing economic and ecological function of coastal habitats are imperative. As oysters are often used in many of these projects, particularly living shorelines, a form of natural stabilization that also provides habitat, this study quantified spatial and temporal patterns in eastern oyster spat settlement in a bar-built estuary in northeast Florida, USA that is host to a robust population of intertidal oyster reefs. Understanding how spat settlement varies in a dynamic region with two inlets and a short residence time is valuable for projects seeking to use this species behavior of gregarious settlement in establishing functional oyster reefs as part of restoration projects. There is variability in spat settlement in different regions of the area in which higher counts often coincide to watersheds with higher residence times and years with _____ conditions.</w:t>
      </w:r>
    </w:p>
    <w:p w14:paraId="3DB62FE1" w14:textId="39EB7218" w:rsidR="009A445C" w:rsidRPr="00550626" w:rsidRDefault="009A445C" w:rsidP="009A445C">
      <w:pPr>
        <w:pStyle w:val="MDPI18keywords"/>
        <w:rPr>
          <w:szCs w:val="18"/>
        </w:rPr>
      </w:pPr>
      <w:r w:rsidRPr="00550626">
        <w:rPr>
          <w:b/>
          <w:szCs w:val="18"/>
        </w:rPr>
        <w:t xml:space="preserve">Keywords: </w:t>
      </w:r>
      <w:r w:rsidR="00371A05">
        <w:rPr>
          <w:szCs w:val="18"/>
        </w:rPr>
        <w:t>restoration, spat, oysters, water quality</w:t>
      </w:r>
    </w:p>
    <w:p w14:paraId="11579CCA" w14:textId="77777777" w:rsidR="009A445C" w:rsidRPr="00550626" w:rsidRDefault="009A445C" w:rsidP="009A445C">
      <w:pPr>
        <w:pStyle w:val="MDPI19line"/>
      </w:pPr>
    </w:p>
    <w:p w14:paraId="1741B927" w14:textId="77777777" w:rsidR="009A445C" w:rsidRDefault="009A445C" w:rsidP="009A445C">
      <w:pPr>
        <w:pStyle w:val="MDPI21heading1"/>
        <w:rPr>
          <w:lang w:eastAsia="zh-CN"/>
        </w:rPr>
      </w:pPr>
      <w:r w:rsidRPr="007F2582">
        <w:rPr>
          <w:lang w:eastAsia="zh-CN"/>
        </w:rPr>
        <w:t>1. Introduction</w:t>
      </w:r>
    </w:p>
    <w:p w14:paraId="54FC26C4" w14:textId="77777777" w:rsidR="00371A05" w:rsidRPr="001F193B" w:rsidRDefault="00371A05" w:rsidP="001F193B">
      <w:pPr>
        <w:pStyle w:val="MDPI31text"/>
      </w:pPr>
      <w:r w:rsidRPr="00371A05">
        <w:t xml:space="preserve">Coastal ecosystems are some of the most productive ecosystems in the world providing numerous ecosystem services such as carbon sequestration, improvement of water quality, erosion control, and recreation (Brown et al., 2006; Barbier, 2007). Recognizing their value and aesthetic, these ecosystems are subject to constant human activity which has ultimately led to the steady deterioration in many habitats of these systems (Barbier, 2007). Worldwide, there has been an estimated loss of 35% of mangroves, 30% of coral reefs, 29% of seagrasses, 50% of salt marshes, and 85% of oyster reefs (Brown et al., 2006; </w:t>
      </w:r>
      <w:proofErr w:type="spellStart"/>
      <w:r w:rsidRPr="00371A05">
        <w:t>Valiela</w:t>
      </w:r>
      <w:proofErr w:type="spellEnd"/>
      <w:r w:rsidRPr="00371A05">
        <w:t xml:space="preserve"> et al., 2001; Orth et al., 2006; MEA 2006; FAO 2007; Beck et al., 2011). With the loss of these coastal ecosystems, the critical ecosystem services and economic value of those services decline </w:t>
      </w:r>
      <w:proofErr w:type="gramStart"/>
      <w:r w:rsidRPr="00371A05">
        <w:t>as well such</w:t>
      </w:r>
      <w:proofErr w:type="gramEnd"/>
      <w:r w:rsidRPr="00371A05">
        <w:t xml:space="preserve"> has been seen in the number of viable (</w:t>
      </w:r>
      <w:proofErr w:type="spellStart"/>
      <w:r w:rsidRPr="00371A05">
        <w:t>non collapsed</w:t>
      </w:r>
      <w:proofErr w:type="spellEnd"/>
      <w:r w:rsidRPr="00371A05">
        <w:t xml:space="preserve">) fisheries (-33%), provision of nursery habitats (-69%), and filtering and detoxification services (-63%) (Worm et al. 2006). The mitigation of anthropogenic effects is of significant need in these systems. </w:t>
      </w:r>
    </w:p>
    <w:p w14:paraId="7CCDF5F6" w14:textId="77777777" w:rsidR="00371A05" w:rsidRPr="001F193B" w:rsidRDefault="00371A05" w:rsidP="001F193B">
      <w:pPr>
        <w:pStyle w:val="MDPI31text"/>
      </w:pPr>
      <w:r w:rsidRPr="00371A05">
        <w:t xml:space="preserve">As such, efforts in the restoration and enhancement of habitats in coastal ecosystems have increased with their decline in ecosystem and economic function. The use of organic </w:t>
      </w:r>
      <w:r w:rsidRPr="00371A05">
        <w:lastRenderedPageBreak/>
        <w:t xml:space="preserve">materials in these projects has additional benefits beyond mere construction material. Living shorelines, a form of natural stabilization using organic materials, have been found to improve water quality, </w:t>
      </w:r>
      <w:proofErr w:type="gramStart"/>
      <w:r w:rsidRPr="00371A05">
        <w:t>cease</w:t>
      </w:r>
      <w:proofErr w:type="gramEnd"/>
      <w:r w:rsidRPr="00371A05">
        <w:t xml:space="preserve"> or reverse coastal erosion, and serve as critical habitats for plants, fishes, and invertebrates (Scyphers et al., 2011; Whalen et al., 2011; Kreeger and Padeletti, 2013). One common type of living shoreline is a shellfish-based living shoreline (Rupasinghe et al., 2024) which has the advantages of adapting with a changing </w:t>
      </w:r>
      <w:proofErr w:type="gramStart"/>
      <w:r w:rsidRPr="00371A05">
        <w:t>climate;</w:t>
      </w:r>
      <w:proofErr w:type="gramEnd"/>
      <w:r w:rsidRPr="00371A05">
        <w:t xml:space="preserve"> such as oyster reefs being able to grow at the pace of sea level rise (Rodriguez et al., 2014) and being able to self-repair after a destructive event (Gittman et al., 2014). Dame (1996) established oysters as “ecosystem </w:t>
      </w:r>
      <w:proofErr w:type="gramStart"/>
      <w:r w:rsidRPr="00371A05">
        <w:t>engineers''</w:t>
      </w:r>
      <w:proofErr w:type="gramEnd"/>
      <w:r w:rsidRPr="00371A05">
        <w:t xml:space="preserve"> due to the fact that they can maintain, modify, and form habitats. As such, oysters are an ideal target material in mitigation projects in coastal ecosystems with oyster reef habitats as often a primary or secondary goal of these installations is utilizing their gregarious settlement behavior to continue to form and strengthen these installations over time. </w:t>
      </w:r>
    </w:p>
    <w:p w14:paraId="7C66E5B2" w14:textId="4046F265" w:rsidR="00371A05" w:rsidRPr="001F193B" w:rsidRDefault="00371A05" w:rsidP="001F193B">
      <w:pPr>
        <w:pStyle w:val="MDPI31text"/>
      </w:pPr>
      <w:r w:rsidRPr="00371A05">
        <w:t>Abundant and common to the southeastern United States, the eastern oyster Crassostrea virginica (</w:t>
      </w:r>
      <w:proofErr w:type="spellStart"/>
      <w:r w:rsidRPr="00371A05">
        <w:t>Gmelin</w:t>
      </w:r>
      <w:proofErr w:type="spellEnd"/>
      <w:r w:rsidRPr="00371A05">
        <w:t>, 1791) forms three-dimensional reefs which enhance secondary and tertiary productivity within estuaries as juvenile fish and crustaceans recruit to and utilize these reefs as foraging grounds and refuge (</w:t>
      </w:r>
      <w:proofErr w:type="spellStart"/>
      <w:r w:rsidRPr="00371A05">
        <w:t>Breitburg</w:t>
      </w:r>
      <w:proofErr w:type="spellEnd"/>
      <w:r w:rsidRPr="00371A05">
        <w:t xml:space="preserve"> 1999; Coen and Luckenbach 2000; Harding and Mann 2003; Grabowski et al., 2005; Tolley and </w:t>
      </w:r>
      <w:proofErr w:type="spellStart"/>
      <w:r w:rsidRPr="00371A05">
        <w:t>Volety</w:t>
      </w:r>
      <w:proofErr w:type="spellEnd"/>
      <w:r w:rsidRPr="00371A05">
        <w:t xml:space="preserve"> 2005; Boudreaux et al. 2006; Rodney and Paynter 2006). Additionally, oyster reefs provide other types of ecosystem services such as water filtration, prevention of coastal erosion, boat wake mitigation, and carbon sequestration (</w:t>
      </w:r>
      <w:proofErr w:type="spellStart"/>
      <w:r w:rsidRPr="00371A05">
        <w:t>Volety</w:t>
      </w:r>
      <w:proofErr w:type="spellEnd"/>
      <w:r w:rsidRPr="00371A05">
        <w:t xml:space="preserve"> et al., 2014). </w:t>
      </w:r>
    </w:p>
    <w:p w14:paraId="1286DB06" w14:textId="77777777" w:rsidR="00371A05" w:rsidRPr="001F193B" w:rsidRDefault="00371A05" w:rsidP="001F193B">
      <w:pPr>
        <w:pStyle w:val="MDPI31text"/>
      </w:pPr>
      <w:r w:rsidRPr="00371A05">
        <w:tab/>
        <w:t>Eastern oysters are non-incubatory oysters, meaning they release gametes into the water column and fertilization occurs outside of the organism (</w:t>
      </w:r>
      <w:proofErr w:type="spellStart"/>
      <w:r w:rsidRPr="00371A05">
        <w:t>Galstoff</w:t>
      </w:r>
      <w:proofErr w:type="spellEnd"/>
      <w:r w:rsidRPr="00371A05">
        <w:t xml:space="preserve">, 1964). Eastern oyster larvae remain in the planktonic stage for about 2-3 weeks before settling on a suitable substrate, from which they are known as “spat”. Many abiotic and biotic factors influence the timing and extent of spawning to the recruitment and survival of juvenile oysters. Understanding the effect of these factors across this spectrum has great importance in the timing and success of many restoration projects with the </w:t>
      </w:r>
      <w:proofErr w:type="gramStart"/>
      <w:r w:rsidRPr="00371A05">
        <w:t>goals</w:t>
      </w:r>
      <w:proofErr w:type="gramEnd"/>
      <w:r w:rsidRPr="00371A05">
        <w:t xml:space="preserve"> of forming a functional oyster habitat as part of their design. Spawning response has been shown to be variable by the sex of the oyster (</w:t>
      </w:r>
      <w:proofErr w:type="spellStart"/>
      <w:r w:rsidRPr="00371A05">
        <w:t>Galstoff</w:t>
      </w:r>
      <w:proofErr w:type="spellEnd"/>
      <w:r w:rsidRPr="00371A05">
        <w:t xml:space="preserve">, 1964), temperatures and salinity of the water (Ingle, 1952; Butler, 1949), and availability of food for adult oysters (Hofmann et al., 1992; </w:t>
      </w:r>
      <w:proofErr w:type="spellStart"/>
      <w:r w:rsidRPr="00371A05">
        <w:t>Dekshenieks</w:t>
      </w:r>
      <w:proofErr w:type="spellEnd"/>
      <w:r w:rsidRPr="00371A05">
        <w:t xml:space="preserve">, 1993). Temperature, salinity, and circulation patterns are amongst the most notable factors </w:t>
      </w:r>
      <w:proofErr w:type="gramStart"/>
      <w:r w:rsidRPr="00371A05">
        <w:t>to affect</w:t>
      </w:r>
      <w:proofErr w:type="gramEnd"/>
      <w:r w:rsidRPr="00371A05">
        <w:t xml:space="preserve"> oyster larvae (Nelson and Perkins, 1931). Temperature and food supply have been found to affect the length of larval periods (Underwood and Fairweather, 1989). To a lesser degree, turbidity of the water also can affect larval growth as well as settlement. Larvae tend to settle on the underside of objects or in crevices, presumably to avoid light and silt, but have been found on the surfaces of objects in higher turbidity conditions (Kennedy, 1980; Nelson, 1953).  Lastly, field studies have shown that settlement and recruitment of oyster larvae often has high inter-regional and interannual variability (Michener and Kenny, 1991; Horse et al., 1972; Lee, 1979; </w:t>
      </w:r>
      <w:proofErr w:type="spellStart"/>
      <w:r w:rsidRPr="00371A05">
        <w:t>Sauod</w:t>
      </w:r>
      <w:proofErr w:type="spellEnd"/>
      <w:r w:rsidRPr="00371A05">
        <w:t xml:space="preserve"> et al., 2000; Kim et al., 2010). Understanding spat settlement patterns within regions with restoration goals is valuable to planning for this installation and success.</w:t>
      </w:r>
    </w:p>
    <w:p w14:paraId="7F83F4AD" w14:textId="77777777" w:rsidR="00371A05" w:rsidRPr="001F193B" w:rsidRDefault="00371A05" w:rsidP="001F193B">
      <w:pPr>
        <w:pStyle w:val="MDPI31text"/>
      </w:pPr>
      <w:r w:rsidRPr="00371A05">
        <w:t>The goal of this study was to quantify spatial and temporal variability in a dynamic bar-built estuary in northeast Florida, USA, that is host to a robust population of intertidal oyster reefs and to establish patterns of spat settlement to inform oyster-based restoration and enhancement projects. Understanding the variability of spat settlement in previous field studies in the southeast, as well as differences in oyster densities in the region (Dix 2009; Marcum et al., 2018), it was expected that there would be spatial variability amongst study sites. Therefore, potential drivers of this variability were also examined to provide further insight into differing characteristics amongst regions and years.</w:t>
      </w:r>
    </w:p>
    <w:p w14:paraId="03904AA4" w14:textId="2D6E6776" w:rsidR="009A445C" w:rsidRDefault="009A445C" w:rsidP="00371A05">
      <w:pPr>
        <w:pStyle w:val="MDPI21heading1"/>
      </w:pPr>
      <w:r w:rsidRPr="00FA04F1">
        <w:rPr>
          <w:lang w:eastAsia="zh-CN"/>
        </w:rPr>
        <w:t xml:space="preserve">2. </w:t>
      </w:r>
      <w:r w:rsidRPr="00FA04F1">
        <w:t>Materials and Methods</w:t>
      </w:r>
    </w:p>
    <w:p w14:paraId="5F4A8018" w14:textId="3AA22779" w:rsidR="00D31EEC" w:rsidRPr="001F31D1" w:rsidRDefault="00D31EEC" w:rsidP="00D31EEC">
      <w:pPr>
        <w:pStyle w:val="MDPI22heading2"/>
        <w:spacing w:before="240"/>
      </w:pPr>
      <w:r>
        <w:t>2</w:t>
      </w:r>
      <w:r w:rsidRPr="001F31D1">
        <w:t xml:space="preserve">.1. </w:t>
      </w:r>
      <w:r>
        <w:t>Study Sites</w:t>
      </w:r>
    </w:p>
    <w:p w14:paraId="5B0E1B47" w14:textId="77777777" w:rsidR="00D31EEC" w:rsidRPr="00D31EEC" w:rsidRDefault="00D31EEC" w:rsidP="00D31EEC">
      <w:pPr>
        <w:pStyle w:val="MDPI31text"/>
      </w:pPr>
      <w:r w:rsidRPr="00D31EEC">
        <w:lastRenderedPageBreak/>
        <w:t xml:space="preserve">The Guana Tolomato Matanzas (GTM) estuary is a bar-built estuary with enclosed lagoons “rivers” (the Guana, Tolomato, and Matanzas) that trifurcate at the St. Augustine Inlet. This inlet is one of two in the </w:t>
      </w:r>
      <w:proofErr w:type="gramStart"/>
      <w:r w:rsidRPr="00D31EEC">
        <w:t>system</w:t>
      </w:r>
      <w:proofErr w:type="gramEnd"/>
      <w:r w:rsidRPr="00D31EEC">
        <w:t xml:space="preserve"> and it is maintained and stabilized with a jetty by the United States Army Corps of Engineers to a depth of 5-m. The other, the Matanzas Inlet, is an unstructured inlet just north of Marineland, Florida USA. The estuary is well-flushed with a short residence time of approximately 12.6 days (</w:t>
      </w:r>
      <w:proofErr w:type="spellStart"/>
      <w:r w:rsidRPr="00D31EEC">
        <w:rPr>
          <w:highlight w:val="green"/>
        </w:rPr>
        <w:t>Phlips</w:t>
      </w:r>
      <w:proofErr w:type="spellEnd"/>
      <w:r w:rsidRPr="00D31EEC">
        <w:rPr>
          <w:highlight w:val="green"/>
        </w:rPr>
        <w:t xml:space="preserve"> et al. 2004; Sheng et al. 2008; Gray et al. 2021</w:t>
      </w:r>
      <w:r w:rsidRPr="00D31EEC">
        <w:t>) and is well-mixed, meaning vertical stratification in salinity is homogenous. The GTM estuary hosts exceptionally intact and robust populations of eastern oysters that filter approximately 60% of the estuary’s volume within a single residence time (</w:t>
      </w:r>
      <w:r w:rsidRPr="00D31EEC">
        <w:rPr>
          <w:highlight w:val="green"/>
        </w:rPr>
        <w:t>Gray et al. 2021</w:t>
      </w:r>
      <w:r w:rsidRPr="00D31EEC">
        <w:t>). There is also a functional oyster fishery (commercial and recreational) in several regions.</w:t>
      </w:r>
    </w:p>
    <w:p w14:paraId="5B75150C" w14:textId="68647526" w:rsidR="00D31EEC" w:rsidRDefault="00D31EEC" w:rsidP="00D31EEC">
      <w:pPr>
        <w:pStyle w:val="MDPI31text"/>
      </w:pPr>
      <w:r w:rsidRPr="00D31EEC">
        <w:t>The GTM National Estuarine Research Reserve (GTMNERR) initiated a monitoring program for local oysters in 2014 in which a regional approach was adopted based on perceived differences in water quality, food availability, hydrodynamics, harvesting and management (</w:t>
      </w:r>
      <w:r w:rsidRPr="00D31EEC">
        <w:rPr>
          <w:highlight w:val="green"/>
        </w:rPr>
        <w:t>Marcum et al. 2018</w:t>
      </w:r>
      <w:r w:rsidRPr="00D31EEC">
        <w:t>). Regions were created based on the major waterways along the Intracoastal Waterway (ICW): Tolomato River, Guana River, Salt Run and Matanzas River. A similar approach was used in this study; however, the Matanzas River region was further subdivided into St. Augustine (the northern portion of the river) and Fort Matanzas (the remaining portion of the river to the south) due to hydrological differences associated with the two inlets (</w:t>
      </w:r>
      <w:r w:rsidRPr="00D31EEC">
        <w:rPr>
          <w:highlight w:val="yellow"/>
        </w:rPr>
        <w:t>Figure 1</w:t>
      </w:r>
      <w:r w:rsidRPr="00D31EEC">
        <w:t xml:space="preserve">). </w:t>
      </w:r>
    </w:p>
    <w:p w14:paraId="59FDDA6F" w14:textId="77777777" w:rsidR="00B00050" w:rsidRDefault="00B00050" w:rsidP="00B00050">
      <w:pPr>
        <w:pStyle w:val="MDPI52figure"/>
        <w:ind w:left="2608"/>
        <w:jc w:val="left"/>
        <w:rPr>
          <w:b/>
        </w:rPr>
      </w:pPr>
      <w:commentRangeStart w:id="0"/>
      <w:r>
        <w:rPr>
          <w:b/>
          <w:noProof/>
          <w:snapToGrid/>
        </w:rPr>
        <w:drawing>
          <wp:inline distT="0" distB="0" distL="0" distR="0" wp14:anchorId="10AF2DB0" wp14:editId="2B786E83">
            <wp:extent cx="2016000" cy="1324800"/>
            <wp:effectExtent l="0" t="0" r="3810" b="8890"/>
            <wp:docPr id="1288634899"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88634899" name="Picture 1" descr="Logo&#10;&#10;Description automatically generated"/>
                    <pic:cNvPicPr/>
                  </pic:nvPicPr>
                  <pic:blipFill>
                    <a:blip r:embed="rId13"/>
                    <a:stretch>
                      <a:fillRect/>
                    </a:stretch>
                  </pic:blipFill>
                  <pic:spPr>
                    <a:xfrm>
                      <a:off x="0" y="0"/>
                      <a:ext cx="2016000" cy="1324800"/>
                    </a:xfrm>
                    <a:prstGeom prst="rect">
                      <a:avLst/>
                    </a:prstGeom>
                  </pic:spPr>
                </pic:pic>
              </a:graphicData>
            </a:graphic>
          </wp:inline>
        </w:drawing>
      </w:r>
      <w:commentRangeEnd w:id="0"/>
      <w:r>
        <w:rPr>
          <w:rStyle w:val="CommentReference"/>
          <w:rFonts w:eastAsia="SimSun"/>
          <w:noProof/>
          <w:snapToGrid/>
          <w:lang w:eastAsia="zh-CN" w:bidi="ar-SA"/>
        </w:rPr>
        <w:commentReference w:id="0"/>
      </w:r>
    </w:p>
    <w:p w14:paraId="19A46817" w14:textId="0EF659FF" w:rsidR="00B00050" w:rsidRDefault="00B00050" w:rsidP="00B00050">
      <w:pPr>
        <w:pStyle w:val="MDPI51figurecaption"/>
      </w:pPr>
      <w:r w:rsidRPr="00FA04F1">
        <w:rPr>
          <w:b/>
        </w:rPr>
        <w:t xml:space="preserve">Figure 1. </w:t>
      </w:r>
      <w:r w:rsidR="00067BD3">
        <w:t>Map of the Guana Tolomato Matanzas National Estuarine Research Reserve boundary (black line, bottom inset: red), spat collector locations (black dots), water quality monitoring stations (black triangles), and regions: Tolomato River (turquoise), Guana River (pink), Salt Run (yellow), St. Augustine (red), and Fort Matanzas (blue).</w:t>
      </w:r>
      <w:r w:rsidR="00946F7C">
        <w:t xml:space="preserve"> </w:t>
      </w:r>
    </w:p>
    <w:p w14:paraId="72489F34" w14:textId="1BFA9159" w:rsidR="00D31EEC" w:rsidRDefault="00D31EEC" w:rsidP="00D31EEC">
      <w:pPr>
        <w:pStyle w:val="MDPI31text"/>
      </w:pPr>
      <w:r w:rsidRPr="00D31EEC">
        <w:t xml:space="preserve">The </w:t>
      </w:r>
      <w:r>
        <w:t>GTMNERR</w:t>
      </w:r>
      <w:r w:rsidRPr="00D31EEC">
        <w:t xml:space="preserve"> maintains continuous long-term water quality monitoring stations within the GTM estuary as part of the System-Wide Monitoring Program (SWMP) of the National Estuarine Research Reserves</w:t>
      </w:r>
      <w:r w:rsidR="00405C5A">
        <w:t xml:space="preserve"> (NERRS)</w:t>
      </w:r>
      <w:r w:rsidRPr="00D31EEC">
        <w:t>. All SWMP data are publicly available through the NERRS Centralized Data Management Office (CDMO) at nerrsdata.org</w:t>
      </w:r>
      <w:r>
        <w:t xml:space="preserve"> (</w:t>
      </w:r>
      <w:r w:rsidRPr="00D31EEC">
        <w:rPr>
          <w:highlight w:val="green"/>
        </w:rPr>
        <w:t>NERRS 202</w:t>
      </w:r>
      <w:r w:rsidR="004E1B69" w:rsidRPr="004E1B69">
        <w:rPr>
          <w:highlight w:val="green"/>
        </w:rPr>
        <w:t>2</w:t>
      </w:r>
      <w:r>
        <w:t>)</w:t>
      </w:r>
      <w:r w:rsidRPr="00D31EEC">
        <w:t>.</w:t>
      </w:r>
      <w:r>
        <w:t xml:space="preserve"> </w:t>
      </w:r>
    </w:p>
    <w:p w14:paraId="2145F1F1" w14:textId="6111B87B" w:rsidR="00D31EEC" w:rsidRDefault="00D31EEC" w:rsidP="00D31EEC">
      <w:pPr>
        <w:pStyle w:val="MDPI22heading2"/>
        <w:spacing w:before="240"/>
      </w:pPr>
      <w:r>
        <w:t>2</w:t>
      </w:r>
      <w:r w:rsidRPr="001F31D1">
        <w:t>.</w:t>
      </w:r>
      <w:r>
        <w:t>2</w:t>
      </w:r>
      <w:r w:rsidRPr="001F31D1">
        <w:t xml:space="preserve">. </w:t>
      </w:r>
      <w:r>
        <w:t>Data Collection</w:t>
      </w:r>
    </w:p>
    <w:p w14:paraId="795C8554" w14:textId="55534E4B" w:rsidR="00D31EEC" w:rsidRDefault="00D31EEC" w:rsidP="00D31EEC">
      <w:pPr>
        <w:pStyle w:val="MDPI23heading3"/>
      </w:pPr>
      <w:r>
        <w:t>2.2.1. Spat Tree Deployment</w:t>
      </w:r>
    </w:p>
    <w:p w14:paraId="796A5ACB" w14:textId="77777777" w:rsidR="001F193B" w:rsidRDefault="001F193B" w:rsidP="00D31EEC">
      <w:pPr>
        <w:pStyle w:val="MDPI31text"/>
      </w:pPr>
      <w:r w:rsidRPr="00D31EEC">
        <w:t xml:space="preserve">A stratified random sample of three reefs in each region of interest (except for the Tolomato River) were selected to deploy spat collectors. The Tolomato River region had two spat collectors deployed at either end of an oyster enhancement area known as Wright’s Landing, where 275 m2 of oyster reefs (28 individual reefs) were created from bagged shell in 2012 and 2013, and one across from the site on a natural reef. In June 2016 and June 2020, one additional spat collector was deployed in the St. Augustine and Tolomato regions, respectively. </w:t>
      </w:r>
    </w:p>
    <w:p w14:paraId="74DA0170" w14:textId="10507377" w:rsidR="00D31EEC" w:rsidRDefault="00D31EEC" w:rsidP="00D31EEC">
      <w:pPr>
        <w:pStyle w:val="MDPI31text"/>
      </w:pPr>
      <w:r>
        <w:t>Patterns in spat settlement were monitored using the hanging shell method. Samples were collected using T-shaped structures (trees) made from PVC, with shell “stringers” suspended from each side of the crossbar (</w:t>
      </w:r>
      <w:r w:rsidRPr="00D31EEC">
        <w:rPr>
          <w:highlight w:val="yellow"/>
        </w:rPr>
        <w:t>Figure</w:t>
      </w:r>
      <w:r>
        <w:t xml:space="preserve">). Each stringer was composed of six cleaned eastern oyster shells, 5 to 10 cm shell height, with holes drilled through, strung </w:t>
      </w:r>
      <w:r>
        <w:lastRenderedPageBreak/>
        <w:t xml:space="preserve">onto galvanized wire oriented with the inner concave surface facing down. Prior to deployment, shells were cleaned by soaking in bleach water for 48 hours followed by removal of all fouling organisms by scrubbing with a wire brush. Cleaned shells were then soaked for at least 24 hours in freshwater. </w:t>
      </w:r>
    </w:p>
    <w:p w14:paraId="5E81C34E" w14:textId="77777777" w:rsidR="00A433F2" w:rsidRDefault="00A433F2" w:rsidP="00A433F2">
      <w:pPr>
        <w:pStyle w:val="MDPI52figure"/>
        <w:ind w:left="2608"/>
        <w:jc w:val="left"/>
        <w:rPr>
          <w:b/>
        </w:rPr>
      </w:pPr>
      <w:commentRangeStart w:id="1"/>
      <w:r>
        <w:rPr>
          <w:b/>
          <w:noProof/>
          <w:snapToGrid/>
        </w:rPr>
        <w:drawing>
          <wp:inline distT="0" distB="0" distL="0" distR="0" wp14:anchorId="15CE6776" wp14:editId="514F8BCA">
            <wp:extent cx="2572932" cy="2438400"/>
            <wp:effectExtent l="0" t="0" r="0" b="0"/>
            <wp:docPr id="203179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1444" name="Picture 1"/>
                    <pic:cNvPicPr/>
                  </pic:nvPicPr>
                  <pic:blipFill>
                    <a:blip r:embed="rId18"/>
                    <a:stretch>
                      <a:fillRect/>
                    </a:stretch>
                  </pic:blipFill>
                  <pic:spPr>
                    <a:xfrm>
                      <a:off x="0" y="0"/>
                      <a:ext cx="2572932" cy="2438400"/>
                    </a:xfrm>
                    <a:prstGeom prst="rect">
                      <a:avLst/>
                    </a:prstGeom>
                  </pic:spPr>
                </pic:pic>
              </a:graphicData>
            </a:graphic>
          </wp:inline>
        </w:drawing>
      </w:r>
      <w:commentRangeEnd w:id="1"/>
      <w:r>
        <w:rPr>
          <w:rStyle w:val="CommentReference"/>
          <w:rFonts w:eastAsia="SimSun"/>
          <w:noProof/>
          <w:snapToGrid/>
          <w:lang w:eastAsia="zh-CN" w:bidi="ar-SA"/>
        </w:rPr>
        <w:commentReference w:id="1"/>
      </w:r>
    </w:p>
    <w:p w14:paraId="6BFFBF8D" w14:textId="4FC6CCBE" w:rsidR="00A433F2" w:rsidRDefault="00A433F2" w:rsidP="00A433F2">
      <w:pPr>
        <w:pStyle w:val="MDPI51figurecaption"/>
      </w:pPr>
      <w:r w:rsidRPr="00FA04F1">
        <w:rPr>
          <w:b/>
        </w:rPr>
        <w:t xml:space="preserve">Figure </w:t>
      </w:r>
      <w:r>
        <w:rPr>
          <w:b/>
        </w:rPr>
        <w:t>2</w:t>
      </w:r>
      <w:r w:rsidRPr="00FA04F1">
        <w:rPr>
          <w:b/>
        </w:rPr>
        <w:t xml:space="preserve">. </w:t>
      </w:r>
      <w:r>
        <w:t>This is a figure.</w:t>
      </w:r>
      <w:r w:rsidRPr="00FF1144">
        <w:t xml:space="preserve"> Sche</w:t>
      </w:r>
      <w:r>
        <w:t>mes follow the same formatting.</w:t>
      </w:r>
    </w:p>
    <w:p w14:paraId="70C2693D" w14:textId="7902CF1E" w:rsidR="00D31EEC" w:rsidRDefault="00D31EEC" w:rsidP="00D31EEC">
      <w:pPr>
        <w:pStyle w:val="MDPI31text"/>
      </w:pPr>
      <w:r>
        <w:t xml:space="preserve">Trees were inserted into the reef at the apparent densest portion of live oyster on the reef and situated so that the shells were at the approximate height of the surrounding live oysters. All regions had trees deployed starting in February 2015 except for the Tolomato River, which was initiated in September 2015. These trees were left to soak for approximately one month upon which they were collected, any fouling organisms were removed from the tree, and new stringers were deployed. The retrieved stringers were labeled and stored in </w:t>
      </w:r>
      <w:proofErr w:type="gramStart"/>
      <w:r>
        <w:t>a -4</w:t>
      </w:r>
      <w:proofErr w:type="gramEnd"/>
      <w:r>
        <w:t xml:space="preserve">°C freezer until processed. Efforts were made for the stringers to remain deployed for one month, however due to logistics, there was some variation in how long they were left in the field before collection. Trees were deployed for approximately 30 days on average with a range in the project of </w:t>
      </w:r>
      <w:commentRangeStart w:id="2"/>
      <w:r>
        <w:t>21-43 days</w:t>
      </w:r>
      <w:commentRangeEnd w:id="2"/>
      <w:r>
        <w:rPr>
          <w:rStyle w:val="CommentReference"/>
          <w:rFonts w:eastAsia="SimSun"/>
          <w:noProof/>
          <w:snapToGrid/>
          <w:lang w:eastAsia="zh-CN" w:bidi="ar-SA"/>
        </w:rPr>
        <w:commentReference w:id="2"/>
      </w:r>
      <w:r>
        <w:t>. Hurricane Matthew affected the study area in October 2016 and spat trees were unable to be collected, resulting in missing data from September and October of that year.</w:t>
      </w:r>
    </w:p>
    <w:p w14:paraId="12BBC2B2" w14:textId="74493D96" w:rsidR="00D31EEC" w:rsidRDefault="00D31EEC" w:rsidP="00D31EEC">
      <w:pPr>
        <w:pStyle w:val="MDPI23heading3"/>
      </w:pPr>
      <w:r>
        <w:t>2.2.2. Shell Processing and Counting</w:t>
      </w:r>
    </w:p>
    <w:p w14:paraId="6B0CBD18" w14:textId="77777777" w:rsidR="00D31EEC" w:rsidRDefault="00D31EEC" w:rsidP="00D31EEC">
      <w:pPr>
        <w:pStyle w:val="MDPI31text"/>
      </w:pPr>
      <w:r>
        <w:t xml:space="preserve">Shells were assigned numerical IDs based on their position on each stringer, with the topmost shell designated number one and the bottommost number six. The top and bottom shells (one and six, respectively) were discarded and shells two through five were evaluated for spat abundance. The inner surface of the shells was observed under a dissecting microscope and total number of </w:t>
      </w:r>
      <w:proofErr w:type="gramStart"/>
      <w:r>
        <w:t>spat</w:t>
      </w:r>
      <w:proofErr w:type="gramEnd"/>
      <w:r>
        <w:t xml:space="preserve"> was recorded for each shell. </w:t>
      </w:r>
    </w:p>
    <w:p w14:paraId="26A4A0BD" w14:textId="53A63096" w:rsidR="00D31EEC" w:rsidRDefault="00D31EEC" w:rsidP="00D31EEC">
      <w:pPr>
        <w:pStyle w:val="MDPI31text"/>
      </w:pPr>
      <w:r>
        <w:t xml:space="preserve">In early years of the monitoring, </w:t>
      </w:r>
      <w:proofErr w:type="gramStart"/>
      <w:r>
        <w:t>spat</w:t>
      </w:r>
      <w:proofErr w:type="gramEnd"/>
      <w:r>
        <w:t xml:space="preserve"> were counted using the naked eye or a magnifying glass on both sides of the shells (interior and exterior). A small-scale comparison study determined that spat abundance was significantly higher using a</w:t>
      </w:r>
      <w:r w:rsidR="00A433F2">
        <w:t xml:space="preserve"> dissection</w:t>
      </w:r>
      <w:r>
        <w:t xml:space="preserve"> microscope and on the inner surface</w:t>
      </w:r>
      <w:r w:rsidR="00A433F2">
        <w:t xml:space="preserve"> (bottom of the shell)</w:t>
      </w:r>
      <w:r>
        <w:t xml:space="preserve"> only. Beginning in December 2017, all processing was done under microscope on the inner surface of the shells. A linear regression equation based on the comparison was developed to correct the non-microscope data for analysis</w:t>
      </w:r>
      <w:r w:rsidR="00FF4118">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31EEC" w:rsidRPr="00754C37" w14:paraId="0D4E2A47" w14:textId="77777777" w:rsidTr="002175B0">
        <w:tc>
          <w:tcPr>
            <w:tcW w:w="7428" w:type="dxa"/>
          </w:tcPr>
          <w:p w14:paraId="529C2A20" w14:textId="1110CD23" w:rsidR="00D31EEC" w:rsidRPr="003030D2" w:rsidRDefault="00D31EEC" w:rsidP="002175B0">
            <w:pPr>
              <w:pStyle w:val="MDPI39equation"/>
            </w:pPr>
            <w:r>
              <w:t>S = 1.4658</w:t>
            </w:r>
            <w:r w:rsidRPr="00FF4118">
              <w:rPr>
                <w:i/>
                <w:iCs/>
              </w:rPr>
              <w:t>b</w:t>
            </w:r>
            <w:r>
              <w:t xml:space="preserve"> + 1.0378</w:t>
            </w:r>
          </w:p>
        </w:tc>
        <w:tc>
          <w:tcPr>
            <w:tcW w:w="431" w:type="dxa"/>
            <w:vAlign w:val="center"/>
          </w:tcPr>
          <w:p w14:paraId="4C08EBE2" w14:textId="77777777" w:rsidR="00D31EEC" w:rsidRPr="003030D2" w:rsidRDefault="00D31EEC" w:rsidP="002175B0">
            <w:pPr>
              <w:pStyle w:val="MDPI3aequationnumber"/>
              <w:spacing w:line="260" w:lineRule="atLeast"/>
            </w:pPr>
            <w:r w:rsidRPr="003030D2">
              <w:t>(1)</w:t>
            </w:r>
          </w:p>
        </w:tc>
      </w:tr>
    </w:tbl>
    <w:p w14:paraId="3E949CC7" w14:textId="1369E295" w:rsidR="00D31EEC" w:rsidRDefault="00FF4118" w:rsidP="00D31EEC">
      <w:pPr>
        <w:pStyle w:val="MDPI31text"/>
        <w:ind w:firstLine="0"/>
      </w:pPr>
      <w:r>
        <w:t>where</w:t>
      </w:r>
      <w:r w:rsidR="00D31EEC">
        <w:t xml:space="preserve"> </w:t>
      </w:r>
      <w:r>
        <w:t>S was the adjusted number of spat counted and</w:t>
      </w:r>
      <w:r w:rsidRPr="00FF4118">
        <w:rPr>
          <w:i/>
          <w:iCs/>
        </w:rPr>
        <w:t xml:space="preserve"> b</w:t>
      </w:r>
      <w:r>
        <w:t xml:space="preserve"> was the observed number of spat counted on the bottom of the shell by naked eye. </w:t>
      </w:r>
    </w:p>
    <w:p w14:paraId="514012AD" w14:textId="423E11DC" w:rsidR="00FF4118" w:rsidRDefault="00FF4118" w:rsidP="00FF4118">
      <w:pPr>
        <w:pStyle w:val="MDPI22heading2"/>
        <w:spacing w:before="240"/>
      </w:pPr>
      <w:r>
        <w:t>2</w:t>
      </w:r>
      <w:r w:rsidRPr="001F31D1">
        <w:t>.</w:t>
      </w:r>
      <w:r>
        <w:t>3</w:t>
      </w:r>
      <w:r w:rsidRPr="001F31D1">
        <w:t xml:space="preserve">. </w:t>
      </w:r>
      <w:r>
        <w:t>Data Preparation</w:t>
      </w:r>
    </w:p>
    <w:p w14:paraId="1A85B46D" w14:textId="695D1EA2" w:rsidR="00ED10B4" w:rsidRDefault="00ED10B4" w:rsidP="00ED10B4">
      <w:pPr>
        <w:pStyle w:val="MDPI23heading3"/>
      </w:pPr>
      <w:r>
        <w:lastRenderedPageBreak/>
        <w:t>2.3.1. Spat Counts</w:t>
      </w:r>
    </w:p>
    <w:p w14:paraId="0E2CA572" w14:textId="14B91AD0" w:rsidR="00FF4118" w:rsidRDefault="00ED10B4" w:rsidP="00ED10B4">
      <w:pPr>
        <w:pStyle w:val="MDPI31text"/>
      </w:pPr>
      <w:r>
        <w:t xml:space="preserve">The average number of </w:t>
      </w:r>
      <w:proofErr w:type="gramStart"/>
      <w:r>
        <w:t>spat</w:t>
      </w:r>
      <w:proofErr w:type="gramEnd"/>
      <w:r>
        <w:t xml:space="preserve"> per shell was calculated for each tree deployed within each region each month. </w:t>
      </w:r>
      <w:r w:rsidRPr="00ED10B4">
        <w:t xml:space="preserve">These values were then rounded to convert the number of </w:t>
      </w:r>
      <w:proofErr w:type="gramStart"/>
      <w:r w:rsidRPr="00ED10B4">
        <w:t>spat</w:t>
      </w:r>
      <w:proofErr w:type="gramEnd"/>
      <w:r w:rsidRPr="00ED10B4">
        <w:t xml:space="preserve"> to integers. To account for the variation in deployment of the </w:t>
      </w:r>
      <w:r>
        <w:t>trees</w:t>
      </w:r>
      <w:r w:rsidRPr="00ED10B4">
        <w:t xml:space="preserve"> each month for analysis, th</w:t>
      </w:r>
      <w:r>
        <w:t>is count value</w:t>
      </w:r>
      <w:r w:rsidRPr="00ED10B4">
        <w:t xml:space="preserve"> was standardized by the number of days the stringers were left out to soak, thus creating a rate: mean number of spat</w:t>
      </w:r>
      <w:r>
        <w:t xml:space="preserve"> per shell</w:t>
      </w:r>
      <w:r w:rsidRPr="00ED10B4">
        <w:t xml:space="preserve"> per deployment of tree (day</w:t>
      </w:r>
      <w:r>
        <w:t>s</w:t>
      </w:r>
      <w:r w:rsidRPr="00ED10B4">
        <w:t xml:space="preserve">). This standardized monthly spat value was </w:t>
      </w:r>
      <w:r>
        <w:t>also</w:t>
      </w:r>
      <w:r w:rsidRPr="00ED10B4">
        <w:t xml:space="preserve"> rounded to convert the number to an integer. </w:t>
      </w:r>
    </w:p>
    <w:p w14:paraId="2D8523E5" w14:textId="0A9CD137" w:rsidR="00405C5A" w:rsidRDefault="00405C5A" w:rsidP="00FF4118">
      <w:pPr>
        <w:pStyle w:val="MDPI22heading2"/>
        <w:spacing w:before="240"/>
      </w:pPr>
      <w:r>
        <w:t>2.</w:t>
      </w:r>
      <w:r w:rsidR="005F3142">
        <w:t>4</w:t>
      </w:r>
      <w:r>
        <w:t xml:space="preserve"> Water Quality</w:t>
      </w:r>
    </w:p>
    <w:p w14:paraId="3BE1B5BD" w14:textId="19BA95A2" w:rsidR="001F193B" w:rsidRDefault="001F193B" w:rsidP="00405C5A">
      <w:pPr>
        <w:pStyle w:val="MDPI31text"/>
      </w:pPr>
      <w:r>
        <w:t>Water quality d</w:t>
      </w:r>
      <w:r>
        <w:t>ata used in this study were downloaded from the CDMO for the Pine Island (</w:t>
      </w:r>
      <w:proofErr w:type="spellStart"/>
      <w:r>
        <w:t>gtmpiwq</w:t>
      </w:r>
      <w:proofErr w:type="spellEnd"/>
      <w:r>
        <w:t>), San Sebastian (</w:t>
      </w:r>
      <w:proofErr w:type="spellStart"/>
      <w:r>
        <w:t>gtmsswq</w:t>
      </w:r>
      <w:proofErr w:type="spellEnd"/>
      <w:r>
        <w:t>), and Fort Matanzas (</w:t>
      </w:r>
      <w:proofErr w:type="spellStart"/>
      <w:r>
        <w:t>gtmfmwq</w:t>
      </w:r>
      <w:proofErr w:type="spellEnd"/>
      <w:r>
        <w:t>) stations for the continuous water quality information (</w:t>
      </w:r>
      <w:r w:rsidRPr="00D31EEC">
        <w:rPr>
          <w:highlight w:val="yellow"/>
        </w:rPr>
        <w:t>Figure</w:t>
      </w:r>
      <w:proofErr w:type="gramStart"/>
      <w:r>
        <w:t>)</w:t>
      </w:r>
      <w:r w:rsidR="00D314C8">
        <w:t>(</w:t>
      </w:r>
      <w:proofErr w:type="gramEnd"/>
      <w:r w:rsidR="00D314C8" w:rsidRPr="00D314C8">
        <w:rPr>
          <w:highlight w:val="green"/>
        </w:rPr>
        <w:t>DATA CITATION</w:t>
      </w:r>
      <w:r w:rsidR="00D314C8">
        <w:t>)</w:t>
      </w:r>
      <w:r>
        <w:t xml:space="preserve">. </w:t>
      </w:r>
      <w:r w:rsidRPr="00D31EEC">
        <w:t>The</w:t>
      </w:r>
      <w:r>
        <w:t>se</w:t>
      </w:r>
      <w:r w:rsidRPr="00D31EEC">
        <w:t xml:space="preserve"> stations </w:t>
      </w:r>
      <w:r>
        <w:t>were</w:t>
      </w:r>
      <w:r w:rsidRPr="00D31EEC">
        <w:t xml:space="preserve"> equipped with YSI EXO2 data sondes </w:t>
      </w:r>
      <w:r>
        <w:t xml:space="preserve">deployed approximately one meter from the bottom </w:t>
      </w:r>
      <w:r w:rsidRPr="00D31EEC">
        <w:t>which measure a variety of parameters every 15-minutes</w:t>
      </w:r>
      <w:r>
        <w:t xml:space="preserve"> including</w:t>
      </w:r>
      <w:r w:rsidRPr="00D31EEC">
        <w:t xml:space="preserve"> water temperature (°C), salinity (</w:t>
      </w:r>
      <w:proofErr w:type="spellStart"/>
      <w:r w:rsidRPr="00D31EEC">
        <w:t>psu</w:t>
      </w:r>
      <w:proofErr w:type="spellEnd"/>
      <w:r w:rsidRPr="00D31EEC">
        <w:t xml:space="preserve">), and turbidity (NTU). </w:t>
      </w:r>
      <w:r>
        <w:t>Discrete w</w:t>
      </w:r>
      <w:r w:rsidRPr="00D31EEC">
        <w:t xml:space="preserve">ater samples </w:t>
      </w:r>
      <w:r>
        <w:t>were</w:t>
      </w:r>
      <w:r w:rsidRPr="00D31EEC">
        <w:t xml:space="preserve"> collected</w:t>
      </w:r>
      <w:r>
        <w:t xml:space="preserve"> in duplicate</w:t>
      </w:r>
      <w:r w:rsidRPr="00D31EEC">
        <w:t xml:space="preserve"> at these same stations once a month for chlorophyll </w:t>
      </w:r>
      <w:r w:rsidRPr="009D7400">
        <w:rPr>
          <w:i/>
          <w:iCs/>
        </w:rPr>
        <w:t>a</w:t>
      </w:r>
      <w:r w:rsidRPr="00D31EEC">
        <w:t xml:space="preserve"> on a morning ebb tide</w:t>
      </w:r>
      <w:r>
        <w:t xml:space="preserve"> from as close to the sonde depth as possible</w:t>
      </w:r>
      <w:r w:rsidRPr="00D31EEC">
        <w:t>.</w:t>
      </w:r>
      <w:r>
        <w:t xml:space="preserve"> </w:t>
      </w:r>
      <w:r w:rsidRPr="009D7400">
        <w:t>Samples were filtered in the field</w:t>
      </w:r>
      <w:r>
        <w:t xml:space="preserve">, </w:t>
      </w:r>
      <w:r w:rsidRPr="009D7400">
        <w:t xml:space="preserve">placed on ice in the dark and </w:t>
      </w:r>
      <w:r>
        <w:t>shipped overnight</w:t>
      </w:r>
      <w:r w:rsidRPr="009D7400">
        <w:t xml:space="preserve"> to the</w:t>
      </w:r>
      <w:r>
        <w:t xml:space="preserve"> Florida Department of Environmental Protection’s Central Laboratory in Tallahassee, FL</w:t>
      </w:r>
      <w:r w:rsidRPr="009D7400">
        <w:t>. Chlorophyll a was extracted from frozen filters within 28 days and analyzed using Standard Methods (</w:t>
      </w:r>
      <w:r w:rsidRPr="009D7400">
        <w:rPr>
          <w:highlight w:val="green"/>
        </w:rPr>
        <w:t>SM10200H; citation</w:t>
      </w:r>
      <w:r w:rsidRPr="009D7400">
        <w:t>).</w:t>
      </w:r>
      <w:r>
        <w:t xml:space="preserve"> </w:t>
      </w:r>
    </w:p>
    <w:p w14:paraId="7E189A20" w14:textId="22C6F08C" w:rsidR="005F3142" w:rsidRDefault="00A52053" w:rsidP="005F3142">
      <w:pPr>
        <w:pStyle w:val="MDPI31text"/>
      </w:pPr>
      <w:r>
        <w:t>The data</w:t>
      </w:r>
      <w:r w:rsidR="009D7400">
        <w:t xml:space="preserve"> </w:t>
      </w:r>
      <w:r w:rsidR="00405C5A">
        <w:t>ha</w:t>
      </w:r>
      <w:r w:rsidR="009D7400">
        <w:t>d</w:t>
      </w:r>
      <w:r w:rsidR="00405C5A">
        <w:t xml:space="preserve"> undergone the quality assurance and quality checks of the </w:t>
      </w:r>
      <w:proofErr w:type="gramStart"/>
      <w:r w:rsidR="00405C5A">
        <w:t>CDMO</w:t>
      </w:r>
      <w:proofErr w:type="gramEnd"/>
      <w:r w:rsidR="00405C5A">
        <w:t xml:space="preserve"> and</w:t>
      </w:r>
      <w:r w:rsidR="009D7400">
        <w:t xml:space="preserve"> data flagged as</w:t>
      </w:r>
      <w:r w:rsidR="00405C5A">
        <w:t xml:space="preserve"> “rejected” and “suspect” </w:t>
      </w:r>
      <w:r w:rsidR="009D7400">
        <w:t xml:space="preserve">were removed from the dataset. </w:t>
      </w:r>
      <w:r>
        <w:t>The duplicate c</w:t>
      </w:r>
      <w:r w:rsidR="009D7400">
        <w:t xml:space="preserve">hlorophyll </w:t>
      </w:r>
      <w:r w:rsidR="009D7400">
        <w:rPr>
          <w:i/>
          <w:iCs/>
        </w:rPr>
        <w:t>a</w:t>
      </w:r>
      <w:r w:rsidR="009D7400">
        <w:t xml:space="preserve"> </w:t>
      </w:r>
      <w:proofErr w:type="gramStart"/>
      <w:r>
        <w:t>samples</w:t>
      </w:r>
      <w:proofErr w:type="gramEnd"/>
      <w:r w:rsidR="009D7400">
        <w:t xml:space="preserve"> </w:t>
      </w:r>
      <w:r w:rsidR="003C39A9">
        <w:t xml:space="preserve">from each station </w:t>
      </w:r>
      <w:r>
        <w:t>were</w:t>
      </w:r>
      <w:r w:rsidR="009D7400">
        <w:t xml:space="preserve"> averaged by month. All water quality data was then </w:t>
      </w:r>
      <w:r>
        <w:t>aggregated</w:t>
      </w:r>
      <w:r w:rsidR="009D7400">
        <w:t xml:space="preserve"> inside and outside the defined </w:t>
      </w:r>
      <w:r w:rsidR="003C39A9">
        <w:t xml:space="preserve">spat </w:t>
      </w:r>
      <w:r w:rsidR="009D7400">
        <w:t xml:space="preserve">settlement periods for descriptive statistics. </w:t>
      </w:r>
    </w:p>
    <w:p w14:paraId="63385E3E" w14:textId="7FF5B504" w:rsidR="005F3142" w:rsidRDefault="005F3142" w:rsidP="005F3142">
      <w:pPr>
        <w:pStyle w:val="MDPI22heading2"/>
        <w:spacing w:before="240"/>
      </w:pPr>
      <w:r>
        <w:t>2</w:t>
      </w:r>
      <w:r w:rsidRPr="001F31D1">
        <w:t>.</w:t>
      </w:r>
      <w:r>
        <w:t>5</w:t>
      </w:r>
      <w:r w:rsidRPr="001F31D1">
        <w:t xml:space="preserve">. </w:t>
      </w:r>
      <w:r>
        <w:t>Data Analysis</w:t>
      </w:r>
    </w:p>
    <w:p w14:paraId="52CD9429" w14:textId="4996DFA1" w:rsidR="00751D1B" w:rsidRDefault="005F3142" w:rsidP="00751D1B">
      <w:pPr>
        <w:pStyle w:val="MDPI31text"/>
      </w:pPr>
      <w:r>
        <w:t>All data analysis and visualizations were created using R programming language (</w:t>
      </w:r>
      <w:r w:rsidRPr="00B75DB3">
        <w:rPr>
          <w:highlight w:val="green"/>
        </w:rPr>
        <w:t>R Core Team, 2023</w:t>
      </w:r>
      <w:r>
        <w:t xml:space="preserve">). </w:t>
      </w:r>
      <w:r w:rsidR="00751D1B">
        <w:t xml:space="preserve">Several helpful import, filtering, and aggregating functions from the </w:t>
      </w:r>
      <w:proofErr w:type="spellStart"/>
      <w:r w:rsidR="00751D1B">
        <w:t>SWMPr</w:t>
      </w:r>
      <w:proofErr w:type="spellEnd"/>
      <w:r w:rsidR="00751D1B">
        <w:t xml:space="preserve"> package in R were used for the compilation of </w:t>
      </w:r>
      <w:r w:rsidR="00751D1B">
        <w:t>the water quality</w:t>
      </w:r>
      <w:r w:rsidR="00751D1B">
        <w:t xml:space="preserve"> data (</w:t>
      </w:r>
      <w:r w:rsidR="00751D1B" w:rsidRPr="00A52053">
        <w:rPr>
          <w:highlight w:val="green"/>
        </w:rPr>
        <w:t>Beck 2016</w:t>
      </w:r>
      <w:r w:rsidR="00751D1B">
        <w:t>).</w:t>
      </w:r>
    </w:p>
    <w:p w14:paraId="048467F7" w14:textId="33B9CE59" w:rsidR="005F3142" w:rsidRDefault="005F3142" w:rsidP="005F3142">
      <w:pPr>
        <w:pStyle w:val="MDPI31text"/>
      </w:pPr>
      <w:r>
        <w:t>Since oyster count data has been shown to fit a negative binomial distribution, a generalized linear regression model with a negative binomial distribution was used to quantify spatial and temporal variability (</w:t>
      </w:r>
      <w:r w:rsidRPr="003C764D">
        <w:rPr>
          <w:highlight w:val="green"/>
        </w:rPr>
        <w:t>Moore et al. 2020</w:t>
      </w:r>
      <w:r>
        <w:t xml:space="preserve">). The dependent variable was the standardized average spat count for each collector by deployment. The independent variables (main effects) were both categorical the region and year. Multiple models were fitted to the data: Model 0 included region, Model 1 included region and the year, Model 2 included the interaction of region and year, and Model 3 included just year. </w:t>
      </w:r>
    </w:p>
    <w:p w14:paraId="6695105F" w14:textId="77777777" w:rsidR="005F3142" w:rsidRDefault="005F3142" w:rsidP="005F3142">
      <w:pPr>
        <w:pStyle w:val="MDPI31text"/>
      </w:pPr>
      <w:r>
        <w:t>Comparisons were made between models with different combinations of independent variables using Akaike’s Information Criterion (</w:t>
      </w:r>
      <w:proofErr w:type="spellStart"/>
      <w:r>
        <w:t>AICc</w:t>
      </w:r>
      <w:proofErr w:type="spellEnd"/>
      <w:r>
        <w:t xml:space="preserve">). The lowest </w:t>
      </w:r>
      <w:proofErr w:type="spellStart"/>
      <w:r>
        <w:t>AICc</w:t>
      </w:r>
      <w:proofErr w:type="spellEnd"/>
      <w:r>
        <w:t xml:space="preserve"> value represents the best fit of the models tested (</w:t>
      </w:r>
      <w:r w:rsidRPr="003C764D">
        <w:rPr>
          <w:highlight w:val="green"/>
        </w:rPr>
        <w:t>Burnham and Anderson 2002</w:t>
      </w:r>
      <w:r>
        <w:t xml:space="preserve">). Models were </w:t>
      </w:r>
      <w:proofErr w:type="gramStart"/>
      <w:r>
        <w:t>fit</w:t>
      </w:r>
      <w:proofErr w:type="gramEnd"/>
      <w:r>
        <w:t xml:space="preserve"> to the data using the </w:t>
      </w:r>
      <w:proofErr w:type="spellStart"/>
      <w:r>
        <w:t>glmmTMB</w:t>
      </w:r>
      <w:proofErr w:type="spellEnd"/>
      <w:r>
        <w:t xml:space="preserve"> package (</w:t>
      </w:r>
      <w:r w:rsidRPr="003406F3">
        <w:rPr>
          <w:highlight w:val="green"/>
        </w:rPr>
        <w:t>Brooks et al. 2017</w:t>
      </w:r>
      <w:r>
        <w:t xml:space="preserve">) and predicted values (marginal means) and pairwise comparisons with </w:t>
      </w:r>
      <w:proofErr w:type="spellStart"/>
      <w:r>
        <w:t>tukey</w:t>
      </w:r>
      <w:proofErr w:type="spellEnd"/>
      <w:r>
        <w:t xml:space="preserve"> adjustments were made from the best fit model using the </w:t>
      </w:r>
      <w:proofErr w:type="spellStart"/>
      <w:r>
        <w:t>emmeans</w:t>
      </w:r>
      <w:proofErr w:type="spellEnd"/>
      <w:r>
        <w:t xml:space="preserve"> (</w:t>
      </w:r>
      <w:r w:rsidRPr="000C7742">
        <w:rPr>
          <w:highlight w:val="green"/>
        </w:rPr>
        <w:t>Lenth 2024</w:t>
      </w:r>
      <w:r>
        <w:t xml:space="preserve">) packages in R. </w:t>
      </w:r>
    </w:p>
    <w:p w14:paraId="614A88AD" w14:textId="77777777" w:rsidR="005F3142" w:rsidRPr="009D7400" w:rsidRDefault="005F3142" w:rsidP="00405C5A">
      <w:pPr>
        <w:pStyle w:val="MDPI31text"/>
      </w:pPr>
    </w:p>
    <w:p w14:paraId="41D21EE7" w14:textId="77777777" w:rsidR="009A445C" w:rsidRPr="001F31D1" w:rsidRDefault="009A445C" w:rsidP="00D46C21">
      <w:pPr>
        <w:pStyle w:val="MDPI21heading1"/>
      </w:pPr>
      <w:r w:rsidRPr="001F31D1">
        <w:t>3. Results</w:t>
      </w:r>
    </w:p>
    <w:p w14:paraId="518C1810" w14:textId="474ABE77" w:rsidR="005F3142" w:rsidRPr="001F31D1" w:rsidRDefault="005F3142" w:rsidP="005F3142">
      <w:pPr>
        <w:pStyle w:val="MDPI22heading2"/>
        <w:spacing w:before="240"/>
      </w:pPr>
      <w:r w:rsidRPr="001F31D1">
        <w:t xml:space="preserve">3.1. </w:t>
      </w:r>
      <w:r>
        <w:t>Spatial and Temporal Variability in Spat Settlement</w:t>
      </w:r>
    </w:p>
    <w:p w14:paraId="7527DB9A" w14:textId="75A6D649" w:rsidR="005F3142" w:rsidRDefault="00D47AB6" w:rsidP="00D46C21">
      <w:pPr>
        <w:pStyle w:val="MDPI31text"/>
      </w:pPr>
      <w:r>
        <w:t xml:space="preserve">Discuss overall patterns in spat across the entire study </w:t>
      </w:r>
      <w:proofErr w:type="gramStart"/>
      <w:r>
        <w:t>period</w:t>
      </w:r>
      <w:proofErr w:type="gramEnd"/>
    </w:p>
    <w:p w14:paraId="5BA34F61" w14:textId="77777777" w:rsidR="00D47AB6" w:rsidRDefault="00D47AB6" w:rsidP="00D47AB6">
      <w:pPr>
        <w:pStyle w:val="MDPI52figure"/>
        <w:ind w:left="2608"/>
        <w:jc w:val="left"/>
        <w:rPr>
          <w:b/>
        </w:rPr>
      </w:pPr>
      <w:r>
        <w:rPr>
          <w:b/>
          <w:noProof/>
          <w:snapToGrid/>
        </w:rPr>
        <w:lastRenderedPageBreak/>
        <w:drawing>
          <wp:inline distT="0" distB="0" distL="0" distR="0" wp14:anchorId="7DCD2611" wp14:editId="423A5C07">
            <wp:extent cx="5048272" cy="2827373"/>
            <wp:effectExtent l="0" t="0" r="0" b="0"/>
            <wp:docPr id="156878144"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8144" name="Picture 3" descr="Chart&#10;&#10;Description automatically generated"/>
                    <pic:cNvPicPr/>
                  </pic:nvPicPr>
                  <pic:blipFill>
                    <a:blip r:embed="rId19"/>
                    <a:stretch>
                      <a:fillRect/>
                    </a:stretch>
                  </pic:blipFill>
                  <pic:spPr>
                    <a:xfrm>
                      <a:off x="0" y="0"/>
                      <a:ext cx="5048272" cy="2827373"/>
                    </a:xfrm>
                    <a:prstGeom prst="rect">
                      <a:avLst/>
                    </a:prstGeom>
                  </pic:spPr>
                </pic:pic>
              </a:graphicData>
            </a:graphic>
          </wp:inline>
        </w:drawing>
      </w:r>
    </w:p>
    <w:p w14:paraId="574E2635" w14:textId="5FD84DD9" w:rsidR="00D47AB6" w:rsidRDefault="00D47AB6" w:rsidP="00D47AB6">
      <w:pPr>
        <w:pStyle w:val="MDPI51figurecaption"/>
      </w:pPr>
      <w:r w:rsidRPr="00FA04F1">
        <w:rPr>
          <w:b/>
        </w:rPr>
        <w:t xml:space="preserve">Figure 1. </w:t>
      </w:r>
      <w:r>
        <w:t>Monthly mean spat per shell (with standard error bars) for each region from 2015-2020: TR-Tolomato River (green); GR-Guana River (pink); SA-Saint Augustine (orange); SR-Salt Run (yellow); and FM-Fort Matanzas (blue).</w:t>
      </w:r>
    </w:p>
    <w:p w14:paraId="73F344F6" w14:textId="111FA484" w:rsidR="00D47AB6" w:rsidRDefault="00D47AB6" w:rsidP="00D47AB6">
      <w:pPr>
        <w:pStyle w:val="MDPI51figurecaption"/>
        <w:rPr>
          <w:snapToGrid w:val="0"/>
          <w:sz w:val="20"/>
          <w:szCs w:val="22"/>
        </w:rPr>
      </w:pPr>
      <w:r w:rsidRPr="00D47AB6">
        <w:rPr>
          <w:snapToGrid w:val="0"/>
          <w:sz w:val="20"/>
          <w:szCs w:val="22"/>
        </w:rPr>
        <w:t>The</w:t>
      </w:r>
      <w:r>
        <w:rPr>
          <w:snapToGrid w:val="0"/>
          <w:sz w:val="20"/>
          <w:szCs w:val="22"/>
        </w:rPr>
        <w:t xml:space="preserve">n go into the analysis between regions and years. Present model results, then plots comparing the regions and the years. </w:t>
      </w:r>
    </w:p>
    <w:p w14:paraId="7949969E" w14:textId="1FF7E838" w:rsidR="000652DC" w:rsidRPr="00724C95" w:rsidRDefault="00D47AB6" w:rsidP="000652DC">
      <w:pPr>
        <w:pStyle w:val="MDPI51figurecaption"/>
        <w:rPr>
          <w:snapToGrid w:val="0"/>
          <w:sz w:val="20"/>
          <w:szCs w:val="22"/>
        </w:rPr>
      </w:pPr>
      <w:r>
        <w:rPr>
          <w:snapToGrid w:val="0"/>
          <w:sz w:val="20"/>
          <w:szCs w:val="22"/>
        </w:rPr>
        <w:t xml:space="preserve">Four different models were </w:t>
      </w:r>
      <w:proofErr w:type="gramStart"/>
      <w:r>
        <w:rPr>
          <w:snapToGrid w:val="0"/>
          <w:sz w:val="20"/>
          <w:szCs w:val="22"/>
        </w:rPr>
        <w:t>fit</w:t>
      </w:r>
      <w:proofErr w:type="gramEnd"/>
      <w:r>
        <w:rPr>
          <w:snapToGrid w:val="0"/>
          <w:sz w:val="20"/>
          <w:szCs w:val="22"/>
        </w:rPr>
        <w:t xml:space="preserve"> to the standardized spat per shell data (Table 2). The best fitting model included terms for region and year</w:t>
      </w:r>
      <w:r w:rsidR="00721B5A">
        <w:rPr>
          <w:snapToGrid w:val="0"/>
          <w:sz w:val="20"/>
          <w:szCs w:val="22"/>
        </w:rPr>
        <w:t>.</w:t>
      </w:r>
      <w:r w:rsidR="00724C95">
        <w:rPr>
          <w:snapToGrid w:val="0"/>
          <w:sz w:val="20"/>
          <w:szCs w:val="22"/>
        </w:rPr>
        <w:t xml:space="preserve"> </w:t>
      </w:r>
      <w:r w:rsidR="00721B5A">
        <w:rPr>
          <w:snapToGrid w:val="0"/>
          <w:sz w:val="20"/>
          <w:szCs w:val="22"/>
        </w:rPr>
        <w:t>T</w:t>
      </w:r>
      <w:r w:rsidR="00724C95">
        <w:rPr>
          <w:snapToGrid w:val="0"/>
          <w:sz w:val="20"/>
          <w:szCs w:val="22"/>
        </w:rPr>
        <w:t xml:space="preserve">he dispersion </w:t>
      </w:r>
      <w:r w:rsidR="00721B5A">
        <w:rPr>
          <w:snapToGrid w:val="0"/>
          <w:sz w:val="20"/>
          <w:szCs w:val="22"/>
        </w:rPr>
        <w:t>ratio</w:t>
      </w:r>
      <w:r w:rsidR="00724C95">
        <w:rPr>
          <w:snapToGrid w:val="0"/>
          <w:sz w:val="20"/>
          <w:szCs w:val="22"/>
        </w:rPr>
        <w:t xml:space="preserve"> from the negative binomial distribution was</w:t>
      </w:r>
      <w:r w:rsidR="00721B5A">
        <w:rPr>
          <w:snapToGrid w:val="0"/>
          <w:sz w:val="20"/>
          <w:szCs w:val="22"/>
        </w:rPr>
        <w:t xml:space="preserve"> less than 1 (0.993, </w:t>
      </w:r>
      <w:r w:rsidR="00721B5A" w:rsidRPr="00721B5A">
        <w:rPr>
          <w:i/>
          <w:iCs/>
          <w:snapToGrid w:val="0"/>
          <w:sz w:val="20"/>
          <w:szCs w:val="22"/>
        </w:rPr>
        <w:t>p</w:t>
      </w:r>
      <w:r w:rsidR="00721B5A">
        <w:rPr>
          <w:snapToGrid w:val="0"/>
          <w:sz w:val="20"/>
          <w:szCs w:val="22"/>
        </w:rPr>
        <w:t xml:space="preserve"> = 0.559)</w:t>
      </w:r>
      <w:r w:rsidR="00724C95">
        <w:rPr>
          <w:snapToGrid w:val="0"/>
          <w:sz w:val="20"/>
          <w:szCs w:val="22"/>
        </w:rPr>
        <w:t xml:space="preserve">, suggesting </w:t>
      </w:r>
      <w:r w:rsidR="00721B5A">
        <w:rPr>
          <w:snapToGrid w:val="0"/>
          <w:sz w:val="20"/>
          <w:szCs w:val="22"/>
        </w:rPr>
        <w:t xml:space="preserve">no </w:t>
      </w:r>
      <w:r w:rsidR="00724C95">
        <w:rPr>
          <w:snapToGrid w:val="0"/>
          <w:sz w:val="20"/>
          <w:szCs w:val="22"/>
        </w:rPr>
        <w:t>overdispersion</w:t>
      </w:r>
      <w:r>
        <w:rPr>
          <w:snapToGrid w:val="0"/>
          <w:sz w:val="20"/>
          <w:szCs w:val="22"/>
        </w:rPr>
        <w:t>.</w:t>
      </w:r>
      <w:r w:rsidR="00B873A6">
        <w:rPr>
          <w:snapToGrid w:val="0"/>
          <w:sz w:val="20"/>
          <w:szCs w:val="22"/>
        </w:rPr>
        <w:t xml:space="preserve"> Slope coefficients were significantly different for all regions (</w:t>
      </w:r>
      <w:r w:rsidR="00B873A6" w:rsidRPr="00B873A6">
        <w:rPr>
          <w:i/>
          <w:iCs/>
          <w:snapToGrid w:val="0"/>
          <w:sz w:val="20"/>
          <w:szCs w:val="22"/>
        </w:rPr>
        <w:t>p</w:t>
      </w:r>
      <w:r w:rsidR="00B873A6">
        <w:rPr>
          <w:snapToGrid w:val="0"/>
          <w:sz w:val="20"/>
          <w:szCs w:val="22"/>
        </w:rPr>
        <w:t xml:space="preserve"> &lt; 0.05) and for 2019 and 2020</w:t>
      </w:r>
      <w:r w:rsidR="000652DC">
        <w:rPr>
          <w:snapToGrid w:val="0"/>
          <w:sz w:val="20"/>
          <w:szCs w:val="22"/>
        </w:rPr>
        <w:t xml:space="preserve"> (p &lt; 0.001)</w:t>
      </w:r>
      <w:r w:rsidR="00B873A6">
        <w:rPr>
          <w:snapToGrid w:val="0"/>
          <w:sz w:val="20"/>
          <w:szCs w:val="22"/>
        </w:rPr>
        <w:t>. No significant interaction was found between year and regions</w:t>
      </w:r>
      <w:r w:rsidR="00724C95">
        <w:rPr>
          <w:snapToGrid w:val="0"/>
          <w:sz w:val="20"/>
          <w:szCs w:val="22"/>
        </w:rPr>
        <w:t xml:space="preserve">; however, autocorrelation in the residuals was not detected for region (Kolmogorov-Smirnov test: </w:t>
      </w:r>
      <w:r w:rsidR="000652DC" w:rsidRPr="000652DC">
        <w:rPr>
          <w:i/>
          <w:iCs/>
          <w:snapToGrid w:val="0"/>
          <w:sz w:val="20"/>
          <w:szCs w:val="22"/>
        </w:rPr>
        <w:t>p</w:t>
      </w:r>
      <w:r w:rsidR="000652DC">
        <w:rPr>
          <w:snapToGrid w:val="0"/>
          <w:sz w:val="20"/>
          <w:szCs w:val="22"/>
        </w:rPr>
        <w:t xml:space="preserve"> = 0.713) nor year (KS test: </w:t>
      </w:r>
      <w:r w:rsidR="000652DC" w:rsidRPr="000652DC">
        <w:rPr>
          <w:i/>
          <w:iCs/>
          <w:snapToGrid w:val="0"/>
          <w:sz w:val="20"/>
          <w:szCs w:val="22"/>
        </w:rPr>
        <w:t>p</w:t>
      </w:r>
      <w:r w:rsidR="000652DC">
        <w:rPr>
          <w:snapToGrid w:val="0"/>
          <w:sz w:val="20"/>
          <w:szCs w:val="22"/>
        </w:rPr>
        <w:t xml:space="preserve"> = 0.134). </w:t>
      </w:r>
    </w:p>
    <w:p w14:paraId="0FEB6A40" w14:textId="7A631DF4" w:rsidR="00D47AB6" w:rsidRDefault="00D47AB6" w:rsidP="00D47AB6">
      <w:pPr>
        <w:pStyle w:val="MDPI41tablecaption"/>
      </w:pPr>
      <w:r>
        <w:rPr>
          <w:b/>
        </w:rPr>
        <w:t xml:space="preserve">Table </w:t>
      </w:r>
      <w:r w:rsidR="00E60986">
        <w:rPr>
          <w:b/>
        </w:rPr>
        <w:t>1</w:t>
      </w:r>
      <w:r w:rsidRPr="00325902">
        <w:rPr>
          <w:b/>
        </w:rPr>
        <w:t>.</w:t>
      </w:r>
      <w:r w:rsidRPr="00325902">
        <w:t xml:space="preserve"> </w:t>
      </w:r>
      <w:r>
        <w:t>Model selection table for generalized linear model of eastern oyster spat count data standardized by days left out in field for settlement on deployed collectors (“trees”) in different regions within the Guana Tolomato Matanzas estuary, Florida, USA. The predicted response is the standardized spat per shell per collector (</w:t>
      </w:r>
      <w:proofErr w:type="spellStart"/>
      <w:r>
        <w:t>spat_std</w:t>
      </w:r>
      <w:proofErr w:type="spellEnd"/>
      <w:r>
        <w:t>). Akaike’s Information Criterion (</w:t>
      </w:r>
      <w:proofErr w:type="spellStart"/>
      <w:r>
        <w:t>AIC</w:t>
      </w:r>
      <w:r w:rsidRPr="00C21ED6">
        <w:rPr>
          <w:vertAlign w:val="subscript"/>
        </w:rPr>
        <w:t>c</w:t>
      </w:r>
      <w:proofErr w:type="spellEnd"/>
      <w:r>
        <w:t xml:space="preserve">) and the </w:t>
      </w:r>
      <w:proofErr w:type="spellStart"/>
      <w:r>
        <w:t>AIC</w:t>
      </w:r>
      <w:r w:rsidRPr="00C21ED6">
        <w:rPr>
          <w:vertAlign w:val="subscript"/>
        </w:rPr>
        <w:t>c</w:t>
      </w:r>
      <w:proofErr w:type="spellEnd"/>
      <w:r>
        <w:t xml:space="preserve"> difference (</w:t>
      </w:r>
      <w:proofErr w:type="spellStart"/>
      <w:r>
        <w:t>ΔAIC</w:t>
      </w:r>
      <w:r w:rsidRPr="00C21ED6">
        <w:rPr>
          <w:vertAlign w:val="subscript"/>
        </w:rPr>
        <w:t>c</w:t>
      </w:r>
      <w:proofErr w:type="spellEnd"/>
      <w:r>
        <w:t>) are provided to inform comparisons of the model statistical fit to the data (</w:t>
      </w:r>
      <w:r>
        <w:rPr>
          <w:i/>
          <w:iCs/>
        </w:rPr>
        <w:t>k</w:t>
      </w:r>
      <w:r>
        <w:t xml:space="preserve"> is the number of parameters) and are ranked from lowest </w:t>
      </w:r>
      <w:proofErr w:type="spellStart"/>
      <w:r>
        <w:t>AIC</w:t>
      </w:r>
      <w:r w:rsidRPr="00C21ED6">
        <w:rPr>
          <w:vertAlign w:val="subscript"/>
        </w:rPr>
        <w:t>c</w:t>
      </w:r>
      <w:proofErr w:type="spellEnd"/>
      <w:r>
        <w:t xml:space="preserve"> to highest in the table. Region and year are both categorical variables in which region describes the location of the collection and year is the year of study. </w:t>
      </w:r>
    </w:p>
    <w:tbl>
      <w:tblPr>
        <w:tblW w:w="4972"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5587"/>
        <w:gridCol w:w="8"/>
        <w:gridCol w:w="8"/>
        <w:gridCol w:w="1201"/>
        <w:gridCol w:w="1201"/>
        <w:gridCol w:w="1201"/>
        <w:gridCol w:w="1201"/>
      </w:tblGrid>
      <w:tr w:rsidR="00D47AB6" w:rsidRPr="00754C37" w14:paraId="1C57274A" w14:textId="77777777" w:rsidTr="00E60986">
        <w:trPr>
          <w:trHeight w:val="405"/>
        </w:trPr>
        <w:tc>
          <w:tcPr>
            <w:tcW w:w="2684" w:type="pct"/>
            <w:tcBorders>
              <w:bottom w:val="single" w:sz="4" w:space="0" w:color="auto"/>
            </w:tcBorders>
            <w:vAlign w:val="center"/>
          </w:tcPr>
          <w:p w14:paraId="5557E18E" w14:textId="77777777" w:rsidR="00D47AB6" w:rsidRPr="007F7C8C" w:rsidRDefault="00D47AB6" w:rsidP="00382CE9">
            <w:pPr>
              <w:pStyle w:val="MDPI42tablebody"/>
              <w:spacing w:line="240" w:lineRule="auto"/>
              <w:rPr>
                <w:b/>
                <w:snapToGrid/>
              </w:rPr>
            </w:pPr>
            <w:r>
              <w:rPr>
                <w:b/>
                <w:snapToGrid/>
              </w:rPr>
              <w:t>Model</w:t>
            </w:r>
          </w:p>
        </w:tc>
        <w:tc>
          <w:tcPr>
            <w:tcW w:w="4" w:type="pct"/>
            <w:tcBorders>
              <w:bottom w:val="single" w:sz="4" w:space="0" w:color="auto"/>
            </w:tcBorders>
            <w:vAlign w:val="center"/>
          </w:tcPr>
          <w:p w14:paraId="2774E94B" w14:textId="77777777" w:rsidR="00D47AB6" w:rsidRPr="007F7C8C" w:rsidRDefault="00D47AB6" w:rsidP="00382CE9">
            <w:pPr>
              <w:pStyle w:val="MDPI42tablebody"/>
              <w:spacing w:line="240" w:lineRule="auto"/>
              <w:rPr>
                <w:b/>
                <w:snapToGrid/>
              </w:rPr>
            </w:pPr>
          </w:p>
        </w:tc>
        <w:tc>
          <w:tcPr>
            <w:tcW w:w="4" w:type="pct"/>
            <w:tcBorders>
              <w:bottom w:val="single" w:sz="4" w:space="0" w:color="auto"/>
            </w:tcBorders>
            <w:vAlign w:val="center"/>
          </w:tcPr>
          <w:p w14:paraId="4B269A84" w14:textId="77777777" w:rsidR="00D47AB6" w:rsidRPr="007F7C8C" w:rsidRDefault="00D47AB6" w:rsidP="00382CE9">
            <w:pPr>
              <w:pStyle w:val="MDPI42tablebody"/>
              <w:spacing w:line="240" w:lineRule="auto"/>
              <w:rPr>
                <w:b/>
                <w:snapToGrid/>
              </w:rPr>
            </w:pPr>
          </w:p>
        </w:tc>
        <w:tc>
          <w:tcPr>
            <w:tcW w:w="577" w:type="pct"/>
            <w:tcBorders>
              <w:bottom w:val="single" w:sz="4" w:space="0" w:color="auto"/>
            </w:tcBorders>
            <w:shd w:val="clear" w:color="auto" w:fill="auto"/>
            <w:vAlign w:val="center"/>
          </w:tcPr>
          <w:p w14:paraId="2302A39B" w14:textId="77777777" w:rsidR="00D47AB6" w:rsidRPr="00E90660" w:rsidRDefault="00D47AB6" w:rsidP="00382CE9">
            <w:pPr>
              <w:pStyle w:val="MDPI42tablebody"/>
              <w:spacing w:line="240" w:lineRule="auto"/>
              <w:rPr>
                <w:b/>
                <w:i/>
                <w:iCs/>
                <w:snapToGrid/>
              </w:rPr>
            </w:pPr>
            <w:r w:rsidRPr="00E90660">
              <w:rPr>
                <w:b/>
                <w:i/>
                <w:iCs/>
                <w:snapToGrid/>
              </w:rPr>
              <w:t>k</w:t>
            </w:r>
          </w:p>
        </w:tc>
        <w:tc>
          <w:tcPr>
            <w:tcW w:w="577" w:type="pct"/>
            <w:tcBorders>
              <w:bottom w:val="single" w:sz="4" w:space="0" w:color="auto"/>
            </w:tcBorders>
            <w:shd w:val="clear" w:color="auto" w:fill="auto"/>
            <w:vAlign w:val="center"/>
          </w:tcPr>
          <w:p w14:paraId="374B2922" w14:textId="77777777" w:rsidR="00D47AB6" w:rsidRPr="007F7C8C" w:rsidRDefault="00D47AB6" w:rsidP="00382CE9">
            <w:pPr>
              <w:pStyle w:val="MDPI42tablebody"/>
              <w:spacing w:line="240" w:lineRule="auto"/>
              <w:rPr>
                <w:b/>
                <w:snapToGrid/>
              </w:rPr>
            </w:pPr>
            <w:proofErr w:type="spellStart"/>
            <w:r>
              <w:rPr>
                <w:b/>
                <w:snapToGrid/>
              </w:rPr>
              <w:t>AIC</w:t>
            </w:r>
            <w:r w:rsidRPr="00E90660">
              <w:rPr>
                <w:b/>
                <w:snapToGrid/>
                <w:vertAlign w:val="subscript"/>
              </w:rPr>
              <w:t>c</w:t>
            </w:r>
            <w:proofErr w:type="spellEnd"/>
          </w:p>
        </w:tc>
        <w:tc>
          <w:tcPr>
            <w:tcW w:w="577" w:type="pct"/>
            <w:tcBorders>
              <w:bottom w:val="single" w:sz="4" w:space="0" w:color="auto"/>
            </w:tcBorders>
            <w:shd w:val="clear" w:color="auto" w:fill="auto"/>
            <w:vAlign w:val="center"/>
          </w:tcPr>
          <w:p w14:paraId="5975BD30" w14:textId="77777777" w:rsidR="00D47AB6" w:rsidRPr="007F7C8C" w:rsidRDefault="00D47AB6" w:rsidP="00382CE9">
            <w:pPr>
              <w:pStyle w:val="MDPI42tablebody"/>
              <w:spacing w:line="240" w:lineRule="auto"/>
              <w:rPr>
                <w:b/>
                <w:snapToGrid/>
              </w:rPr>
            </w:pPr>
            <w:proofErr w:type="spellStart"/>
            <w:r>
              <w:t>Δ</w:t>
            </w:r>
            <w:r>
              <w:rPr>
                <w:b/>
                <w:snapToGrid/>
              </w:rPr>
              <w:t>AIC</w:t>
            </w:r>
            <w:r w:rsidRPr="00E90660">
              <w:rPr>
                <w:b/>
                <w:snapToGrid/>
                <w:vertAlign w:val="subscript"/>
              </w:rPr>
              <w:t>c</w:t>
            </w:r>
            <w:proofErr w:type="spellEnd"/>
          </w:p>
        </w:tc>
        <w:tc>
          <w:tcPr>
            <w:tcW w:w="577" w:type="pct"/>
            <w:tcBorders>
              <w:bottom w:val="single" w:sz="4" w:space="0" w:color="auto"/>
            </w:tcBorders>
            <w:vAlign w:val="center"/>
          </w:tcPr>
          <w:p w14:paraId="14E7D15A" w14:textId="77777777" w:rsidR="00D47AB6" w:rsidRPr="007F7C8C" w:rsidRDefault="00D47AB6" w:rsidP="00382CE9">
            <w:pPr>
              <w:pStyle w:val="MDPI42tablebody"/>
              <w:spacing w:line="240" w:lineRule="auto"/>
              <w:rPr>
                <w:b/>
                <w:snapToGrid/>
              </w:rPr>
            </w:pPr>
            <w:proofErr w:type="spellStart"/>
            <w:r>
              <w:rPr>
                <w:b/>
                <w:snapToGrid/>
              </w:rPr>
              <w:t>AIC</w:t>
            </w:r>
            <w:r w:rsidRPr="00E90660">
              <w:rPr>
                <w:b/>
                <w:snapToGrid/>
                <w:vertAlign w:val="subscript"/>
              </w:rPr>
              <w:t>c</w:t>
            </w:r>
            <w:proofErr w:type="spellEnd"/>
            <w:r>
              <w:rPr>
                <w:b/>
                <w:snapToGrid/>
              </w:rPr>
              <w:t xml:space="preserve"> weight</w:t>
            </w:r>
          </w:p>
        </w:tc>
      </w:tr>
      <w:tr w:rsidR="00D47AB6" w:rsidRPr="00754C37" w14:paraId="12BA6BCE" w14:textId="77777777" w:rsidTr="00E60986">
        <w:trPr>
          <w:trHeight w:val="405"/>
        </w:trPr>
        <w:tc>
          <w:tcPr>
            <w:tcW w:w="2684" w:type="pct"/>
            <w:vAlign w:val="center"/>
          </w:tcPr>
          <w:p w14:paraId="568B0132" w14:textId="77777777" w:rsidR="00D47AB6" w:rsidRPr="00F220D4" w:rsidRDefault="00D47AB6" w:rsidP="00382CE9">
            <w:pPr>
              <w:pStyle w:val="MDPI42tablebody"/>
              <w:spacing w:line="240" w:lineRule="auto"/>
              <w:jc w:val="left"/>
            </w:pPr>
            <w:r>
              <w:t xml:space="preserve">Model 1: </w:t>
            </w:r>
            <w:proofErr w:type="spellStart"/>
            <w:r>
              <w:t>spat_std</w:t>
            </w:r>
            <w:proofErr w:type="spellEnd"/>
            <w:r>
              <w:t xml:space="preserve"> ~ region + year</w:t>
            </w:r>
          </w:p>
        </w:tc>
        <w:tc>
          <w:tcPr>
            <w:tcW w:w="4" w:type="pct"/>
            <w:vAlign w:val="center"/>
          </w:tcPr>
          <w:p w14:paraId="2DB9C7A9" w14:textId="77777777" w:rsidR="00D47AB6" w:rsidRPr="00F220D4" w:rsidRDefault="00D47AB6" w:rsidP="00382CE9">
            <w:pPr>
              <w:pStyle w:val="MDPI42tablebody"/>
              <w:spacing w:line="240" w:lineRule="auto"/>
            </w:pPr>
          </w:p>
        </w:tc>
        <w:tc>
          <w:tcPr>
            <w:tcW w:w="4" w:type="pct"/>
            <w:vAlign w:val="center"/>
          </w:tcPr>
          <w:p w14:paraId="4B2D78D5" w14:textId="77777777" w:rsidR="00D47AB6" w:rsidRPr="00F220D4" w:rsidRDefault="00D47AB6" w:rsidP="00382CE9">
            <w:pPr>
              <w:pStyle w:val="MDPI42tablebody"/>
              <w:spacing w:line="240" w:lineRule="auto"/>
            </w:pPr>
          </w:p>
        </w:tc>
        <w:tc>
          <w:tcPr>
            <w:tcW w:w="577" w:type="pct"/>
            <w:shd w:val="clear" w:color="auto" w:fill="auto"/>
            <w:vAlign w:val="center"/>
          </w:tcPr>
          <w:p w14:paraId="2A816670" w14:textId="77777777" w:rsidR="00D47AB6" w:rsidRPr="00F220D4" w:rsidRDefault="00D47AB6" w:rsidP="00382CE9">
            <w:pPr>
              <w:pStyle w:val="MDPI42tablebody"/>
              <w:spacing w:line="240" w:lineRule="auto"/>
            </w:pPr>
            <w:r>
              <w:t>11</w:t>
            </w:r>
          </w:p>
        </w:tc>
        <w:tc>
          <w:tcPr>
            <w:tcW w:w="577" w:type="pct"/>
            <w:shd w:val="clear" w:color="auto" w:fill="auto"/>
            <w:vAlign w:val="center"/>
          </w:tcPr>
          <w:p w14:paraId="41438F1C" w14:textId="77777777" w:rsidR="00D47AB6" w:rsidRPr="00F220D4" w:rsidRDefault="00D47AB6" w:rsidP="00382CE9">
            <w:pPr>
              <w:pStyle w:val="MDPI42tablebody"/>
              <w:spacing w:line="240" w:lineRule="auto"/>
            </w:pPr>
            <w:r>
              <w:t>2692.97</w:t>
            </w:r>
          </w:p>
        </w:tc>
        <w:tc>
          <w:tcPr>
            <w:tcW w:w="577" w:type="pct"/>
            <w:shd w:val="clear" w:color="auto" w:fill="auto"/>
            <w:vAlign w:val="center"/>
          </w:tcPr>
          <w:p w14:paraId="57D5F665" w14:textId="77777777" w:rsidR="00D47AB6" w:rsidRPr="00F220D4" w:rsidRDefault="00D47AB6" w:rsidP="00382CE9">
            <w:pPr>
              <w:pStyle w:val="MDPI42tablebody"/>
              <w:spacing w:line="240" w:lineRule="auto"/>
            </w:pPr>
            <w:r>
              <w:t>0.00</w:t>
            </w:r>
          </w:p>
        </w:tc>
        <w:tc>
          <w:tcPr>
            <w:tcW w:w="577" w:type="pct"/>
            <w:vAlign w:val="center"/>
          </w:tcPr>
          <w:p w14:paraId="465A56A2" w14:textId="77777777" w:rsidR="00D47AB6" w:rsidRPr="00F220D4" w:rsidRDefault="00D47AB6" w:rsidP="00382CE9">
            <w:pPr>
              <w:pStyle w:val="MDPI42tablebody"/>
              <w:spacing w:line="240" w:lineRule="auto"/>
            </w:pPr>
            <w:r>
              <w:t>1</w:t>
            </w:r>
          </w:p>
        </w:tc>
      </w:tr>
      <w:tr w:rsidR="00D47AB6" w:rsidRPr="00754C37" w14:paraId="772FC05C" w14:textId="77777777" w:rsidTr="00E60986">
        <w:trPr>
          <w:trHeight w:val="405"/>
        </w:trPr>
        <w:tc>
          <w:tcPr>
            <w:tcW w:w="2684" w:type="pct"/>
            <w:vAlign w:val="center"/>
          </w:tcPr>
          <w:p w14:paraId="14C68758" w14:textId="77777777" w:rsidR="00D47AB6" w:rsidRPr="00F220D4" w:rsidRDefault="00D47AB6" w:rsidP="00382CE9">
            <w:pPr>
              <w:pStyle w:val="MDPI42tablebody"/>
              <w:spacing w:line="240" w:lineRule="auto"/>
              <w:jc w:val="left"/>
            </w:pPr>
            <w:r>
              <w:t xml:space="preserve">Model 2: </w:t>
            </w:r>
            <w:proofErr w:type="spellStart"/>
            <w:r>
              <w:t>spat_std</w:t>
            </w:r>
            <w:proofErr w:type="spellEnd"/>
            <w:r>
              <w:t xml:space="preserve"> ~ region + year + (region*year)</w:t>
            </w:r>
          </w:p>
        </w:tc>
        <w:tc>
          <w:tcPr>
            <w:tcW w:w="4" w:type="pct"/>
            <w:vAlign w:val="center"/>
          </w:tcPr>
          <w:p w14:paraId="1F42F5B7" w14:textId="77777777" w:rsidR="00D47AB6" w:rsidRPr="00F220D4" w:rsidRDefault="00D47AB6" w:rsidP="00382CE9">
            <w:pPr>
              <w:pStyle w:val="MDPI42tablebody"/>
              <w:spacing w:line="240" w:lineRule="auto"/>
            </w:pPr>
          </w:p>
        </w:tc>
        <w:tc>
          <w:tcPr>
            <w:tcW w:w="4" w:type="pct"/>
            <w:vAlign w:val="center"/>
          </w:tcPr>
          <w:p w14:paraId="66D9308A" w14:textId="77777777" w:rsidR="00D47AB6" w:rsidRPr="00F220D4" w:rsidRDefault="00D47AB6" w:rsidP="00382CE9">
            <w:pPr>
              <w:pStyle w:val="MDPI42tablebody"/>
              <w:spacing w:line="240" w:lineRule="auto"/>
            </w:pPr>
          </w:p>
        </w:tc>
        <w:tc>
          <w:tcPr>
            <w:tcW w:w="577" w:type="pct"/>
            <w:shd w:val="clear" w:color="auto" w:fill="auto"/>
            <w:vAlign w:val="center"/>
          </w:tcPr>
          <w:p w14:paraId="35280DC7" w14:textId="77777777" w:rsidR="00D47AB6" w:rsidRPr="00F220D4" w:rsidRDefault="00D47AB6" w:rsidP="00382CE9">
            <w:pPr>
              <w:pStyle w:val="MDPI42tablebody"/>
              <w:spacing w:line="240" w:lineRule="auto"/>
            </w:pPr>
            <w:r>
              <w:t>31</w:t>
            </w:r>
          </w:p>
        </w:tc>
        <w:tc>
          <w:tcPr>
            <w:tcW w:w="577" w:type="pct"/>
            <w:shd w:val="clear" w:color="auto" w:fill="auto"/>
            <w:vAlign w:val="center"/>
          </w:tcPr>
          <w:p w14:paraId="5CA5577E" w14:textId="77777777" w:rsidR="00D47AB6" w:rsidRPr="00F220D4" w:rsidRDefault="00D47AB6" w:rsidP="00382CE9">
            <w:pPr>
              <w:pStyle w:val="MDPI42tablebody"/>
              <w:spacing w:line="240" w:lineRule="auto"/>
            </w:pPr>
            <w:r>
              <w:t>2714.69</w:t>
            </w:r>
          </w:p>
        </w:tc>
        <w:tc>
          <w:tcPr>
            <w:tcW w:w="577" w:type="pct"/>
            <w:shd w:val="clear" w:color="auto" w:fill="auto"/>
            <w:vAlign w:val="center"/>
          </w:tcPr>
          <w:p w14:paraId="4E1A728F" w14:textId="77777777" w:rsidR="00D47AB6" w:rsidRPr="00F220D4" w:rsidRDefault="00D47AB6" w:rsidP="00382CE9">
            <w:pPr>
              <w:pStyle w:val="MDPI42tablebody"/>
              <w:spacing w:line="240" w:lineRule="auto"/>
            </w:pPr>
            <w:r>
              <w:t>21.72</w:t>
            </w:r>
          </w:p>
        </w:tc>
        <w:tc>
          <w:tcPr>
            <w:tcW w:w="577" w:type="pct"/>
            <w:vAlign w:val="center"/>
          </w:tcPr>
          <w:p w14:paraId="67A9C677" w14:textId="77777777" w:rsidR="00D47AB6" w:rsidRPr="00F220D4" w:rsidRDefault="00D47AB6" w:rsidP="00382CE9">
            <w:pPr>
              <w:pStyle w:val="MDPI42tablebody"/>
              <w:spacing w:line="240" w:lineRule="auto"/>
            </w:pPr>
            <w:r>
              <w:t>0</w:t>
            </w:r>
          </w:p>
        </w:tc>
      </w:tr>
      <w:tr w:rsidR="00D47AB6" w:rsidRPr="00754C37" w14:paraId="75CC61F3" w14:textId="77777777" w:rsidTr="00E60986">
        <w:trPr>
          <w:trHeight w:val="405"/>
        </w:trPr>
        <w:tc>
          <w:tcPr>
            <w:tcW w:w="2684" w:type="pct"/>
            <w:vAlign w:val="center"/>
          </w:tcPr>
          <w:p w14:paraId="7DF3704C" w14:textId="77777777" w:rsidR="00D47AB6" w:rsidRDefault="00D47AB6" w:rsidP="00382CE9">
            <w:pPr>
              <w:pStyle w:val="MDPI42tablebody"/>
              <w:spacing w:line="240" w:lineRule="auto"/>
              <w:jc w:val="left"/>
            </w:pPr>
            <w:r>
              <w:t xml:space="preserve">Model 3: </w:t>
            </w:r>
            <w:proofErr w:type="spellStart"/>
            <w:r>
              <w:t>spat_std</w:t>
            </w:r>
            <w:proofErr w:type="spellEnd"/>
            <w:r>
              <w:t xml:space="preserve"> ~ year</w:t>
            </w:r>
          </w:p>
        </w:tc>
        <w:tc>
          <w:tcPr>
            <w:tcW w:w="4" w:type="pct"/>
            <w:vAlign w:val="center"/>
          </w:tcPr>
          <w:p w14:paraId="7F27FC95" w14:textId="77777777" w:rsidR="00D47AB6" w:rsidRPr="00F220D4" w:rsidRDefault="00D47AB6" w:rsidP="00382CE9">
            <w:pPr>
              <w:pStyle w:val="MDPI42tablebody"/>
              <w:spacing w:line="240" w:lineRule="auto"/>
            </w:pPr>
          </w:p>
        </w:tc>
        <w:tc>
          <w:tcPr>
            <w:tcW w:w="4" w:type="pct"/>
            <w:vAlign w:val="center"/>
          </w:tcPr>
          <w:p w14:paraId="3C11CC67" w14:textId="77777777" w:rsidR="00D47AB6" w:rsidRPr="00F220D4" w:rsidRDefault="00D47AB6" w:rsidP="00382CE9">
            <w:pPr>
              <w:pStyle w:val="MDPI42tablebody"/>
              <w:spacing w:line="240" w:lineRule="auto"/>
            </w:pPr>
          </w:p>
        </w:tc>
        <w:tc>
          <w:tcPr>
            <w:tcW w:w="577" w:type="pct"/>
            <w:shd w:val="clear" w:color="auto" w:fill="auto"/>
            <w:vAlign w:val="center"/>
          </w:tcPr>
          <w:p w14:paraId="11DB5108" w14:textId="77777777" w:rsidR="00D47AB6" w:rsidRPr="00F220D4" w:rsidRDefault="00D47AB6" w:rsidP="00382CE9">
            <w:pPr>
              <w:pStyle w:val="MDPI42tablebody"/>
              <w:spacing w:line="240" w:lineRule="auto"/>
            </w:pPr>
            <w:r>
              <w:t>7</w:t>
            </w:r>
          </w:p>
        </w:tc>
        <w:tc>
          <w:tcPr>
            <w:tcW w:w="577" w:type="pct"/>
            <w:shd w:val="clear" w:color="auto" w:fill="auto"/>
            <w:vAlign w:val="center"/>
          </w:tcPr>
          <w:p w14:paraId="25C04991" w14:textId="77777777" w:rsidR="00D47AB6" w:rsidRPr="00F220D4" w:rsidRDefault="00D47AB6" w:rsidP="00382CE9">
            <w:pPr>
              <w:pStyle w:val="MDPI42tablebody"/>
              <w:spacing w:line="240" w:lineRule="auto"/>
            </w:pPr>
            <w:r>
              <w:t>2746.48</w:t>
            </w:r>
          </w:p>
        </w:tc>
        <w:tc>
          <w:tcPr>
            <w:tcW w:w="577" w:type="pct"/>
            <w:shd w:val="clear" w:color="auto" w:fill="auto"/>
            <w:vAlign w:val="center"/>
          </w:tcPr>
          <w:p w14:paraId="5CD31937" w14:textId="77777777" w:rsidR="00D47AB6" w:rsidRPr="00F220D4" w:rsidRDefault="00D47AB6" w:rsidP="00382CE9">
            <w:pPr>
              <w:pStyle w:val="MDPI42tablebody"/>
              <w:spacing w:line="240" w:lineRule="auto"/>
            </w:pPr>
            <w:r>
              <w:t>53.51</w:t>
            </w:r>
          </w:p>
        </w:tc>
        <w:tc>
          <w:tcPr>
            <w:tcW w:w="577" w:type="pct"/>
            <w:vAlign w:val="center"/>
          </w:tcPr>
          <w:p w14:paraId="297B2F25" w14:textId="77777777" w:rsidR="00D47AB6" w:rsidRPr="00F220D4" w:rsidRDefault="00D47AB6" w:rsidP="00382CE9">
            <w:pPr>
              <w:pStyle w:val="MDPI42tablebody"/>
              <w:spacing w:line="240" w:lineRule="auto"/>
            </w:pPr>
            <w:r>
              <w:t>0</w:t>
            </w:r>
          </w:p>
        </w:tc>
      </w:tr>
      <w:tr w:rsidR="00D47AB6" w:rsidRPr="00754C37" w14:paraId="3603A9F4" w14:textId="77777777" w:rsidTr="00E60986">
        <w:trPr>
          <w:trHeight w:val="405"/>
        </w:trPr>
        <w:tc>
          <w:tcPr>
            <w:tcW w:w="2684" w:type="pct"/>
            <w:vAlign w:val="center"/>
          </w:tcPr>
          <w:p w14:paraId="3CD69A5E" w14:textId="77777777" w:rsidR="00D47AB6" w:rsidRDefault="00D47AB6" w:rsidP="00382CE9">
            <w:pPr>
              <w:pStyle w:val="MDPI42tablebody"/>
              <w:spacing w:line="240" w:lineRule="auto"/>
              <w:jc w:val="left"/>
            </w:pPr>
            <w:r>
              <w:t>Model 0: spat ~ region</w:t>
            </w:r>
          </w:p>
        </w:tc>
        <w:tc>
          <w:tcPr>
            <w:tcW w:w="4" w:type="pct"/>
            <w:vAlign w:val="center"/>
          </w:tcPr>
          <w:p w14:paraId="0FECE1FE" w14:textId="77777777" w:rsidR="00D47AB6" w:rsidRPr="00F220D4" w:rsidRDefault="00D47AB6" w:rsidP="00382CE9">
            <w:pPr>
              <w:pStyle w:val="MDPI42tablebody"/>
              <w:spacing w:line="240" w:lineRule="auto"/>
            </w:pPr>
          </w:p>
        </w:tc>
        <w:tc>
          <w:tcPr>
            <w:tcW w:w="4" w:type="pct"/>
            <w:vAlign w:val="center"/>
          </w:tcPr>
          <w:p w14:paraId="0DA67896" w14:textId="77777777" w:rsidR="00D47AB6" w:rsidRPr="00F220D4" w:rsidRDefault="00D47AB6" w:rsidP="00382CE9">
            <w:pPr>
              <w:pStyle w:val="MDPI42tablebody"/>
              <w:spacing w:line="240" w:lineRule="auto"/>
            </w:pPr>
          </w:p>
        </w:tc>
        <w:tc>
          <w:tcPr>
            <w:tcW w:w="577" w:type="pct"/>
            <w:shd w:val="clear" w:color="auto" w:fill="auto"/>
            <w:vAlign w:val="center"/>
          </w:tcPr>
          <w:p w14:paraId="466CC585" w14:textId="77777777" w:rsidR="00D47AB6" w:rsidRPr="00F220D4" w:rsidRDefault="00D47AB6" w:rsidP="00382CE9">
            <w:pPr>
              <w:pStyle w:val="MDPI42tablebody"/>
              <w:spacing w:line="240" w:lineRule="auto"/>
            </w:pPr>
            <w:r>
              <w:t>6</w:t>
            </w:r>
          </w:p>
        </w:tc>
        <w:tc>
          <w:tcPr>
            <w:tcW w:w="577" w:type="pct"/>
            <w:shd w:val="clear" w:color="auto" w:fill="auto"/>
            <w:vAlign w:val="center"/>
          </w:tcPr>
          <w:p w14:paraId="55E24D8A" w14:textId="77777777" w:rsidR="00D47AB6" w:rsidRPr="00F220D4" w:rsidRDefault="00D47AB6" w:rsidP="00382CE9">
            <w:pPr>
              <w:pStyle w:val="MDPI42tablebody"/>
              <w:spacing w:line="240" w:lineRule="auto"/>
            </w:pPr>
            <w:r>
              <w:t>2749.00</w:t>
            </w:r>
          </w:p>
        </w:tc>
        <w:tc>
          <w:tcPr>
            <w:tcW w:w="577" w:type="pct"/>
            <w:shd w:val="clear" w:color="auto" w:fill="auto"/>
            <w:vAlign w:val="center"/>
          </w:tcPr>
          <w:p w14:paraId="65C5993F" w14:textId="77777777" w:rsidR="00D47AB6" w:rsidRPr="00F220D4" w:rsidRDefault="00D47AB6" w:rsidP="00382CE9">
            <w:pPr>
              <w:pStyle w:val="MDPI42tablebody"/>
              <w:spacing w:line="240" w:lineRule="auto"/>
            </w:pPr>
            <w:r>
              <w:t>56.03</w:t>
            </w:r>
          </w:p>
        </w:tc>
        <w:tc>
          <w:tcPr>
            <w:tcW w:w="577" w:type="pct"/>
            <w:vAlign w:val="center"/>
          </w:tcPr>
          <w:p w14:paraId="6894F83A" w14:textId="77777777" w:rsidR="00D47AB6" w:rsidRPr="00F220D4" w:rsidRDefault="00D47AB6" w:rsidP="00382CE9">
            <w:pPr>
              <w:pStyle w:val="MDPI42tablebody"/>
              <w:spacing w:line="240" w:lineRule="auto"/>
            </w:pPr>
            <w:r>
              <w:t>0</w:t>
            </w:r>
          </w:p>
        </w:tc>
      </w:tr>
    </w:tbl>
    <w:p w14:paraId="24E3D163" w14:textId="629FD9D5" w:rsidR="00E60986" w:rsidRDefault="00E60986" w:rsidP="00E60986">
      <w:pPr>
        <w:pStyle w:val="MDPI41tablecaption"/>
      </w:pPr>
      <w:r>
        <w:rPr>
          <w:b/>
        </w:rPr>
        <w:t xml:space="preserve">Table </w:t>
      </w:r>
      <w:r>
        <w:rPr>
          <w:b/>
        </w:rPr>
        <w:t>2</w:t>
      </w:r>
      <w:r w:rsidRPr="00325902">
        <w:rPr>
          <w:b/>
        </w:rPr>
        <w:t>.</w:t>
      </w:r>
      <w:r w:rsidRPr="00325902">
        <w:t xml:space="preserve"> This is a table. Tables should be placed in the main text near to the first time they are cited.</w:t>
      </w:r>
    </w:p>
    <w:tbl>
      <w:tblPr>
        <w:tblW w:w="790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976"/>
        <w:gridCol w:w="1976"/>
        <w:gridCol w:w="1976"/>
        <w:gridCol w:w="1976"/>
      </w:tblGrid>
      <w:tr w:rsidR="00E60986" w:rsidRPr="00754C37" w14:paraId="0A7B36A6" w14:textId="77777777" w:rsidTr="00E60986">
        <w:trPr>
          <w:trHeight w:val="288"/>
        </w:trPr>
        <w:tc>
          <w:tcPr>
            <w:tcW w:w="1976" w:type="dxa"/>
            <w:tcBorders>
              <w:bottom w:val="single" w:sz="4" w:space="0" w:color="auto"/>
            </w:tcBorders>
            <w:shd w:val="clear" w:color="auto" w:fill="auto"/>
            <w:vAlign w:val="center"/>
          </w:tcPr>
          <w:p w14:paraId="52E4777D" w14:textId="77777777" w:rsidR="00E60986" w:rsidRPr="007F7C8C" w:rsidRDefault="00E60986" w:rsidP="00382CE9">
            <w:pPr>
              <w:pStyle w:val="MDPI42tablebody"/>
              <w:spacing w:line="240" w:lineRule="auto"/>
              <w:rPr>
                <w:b/>
                <w:snapToGrid/>
              </w:rPr>
            </w:pPr>
            <w:r w:rsidRPr="007F7C8C">
              <w:rPr>
                <w:b/>
                <w:snapToGrid/>
              </w:rPr>
              <w:t>Title 1</w:t>
            </w:r>
          </w:p>
        </w:tc>
        <w:tc>
          <w:tcPr>
            <w:tcW w:w="1976" w:type="dxa"/>
            <w:tcBorders>
              <w:bottom w:val="single" w:sz="4" w:space="0" w:color="auto"/>
            </w:tcBorders>
          </w:tcPr>
          <w:p w14:paraId="652B973E" w14:textId="77777777" w:rsidR="00E60986" w:rsidRPr="007F7C8C" w:rsidRDefault="00E60986" w:rsidP="00382CE9">
            <w:pPr>
              <w:pStyle w:val="MDPI42tablebody"/>
              <w:spacing w:line="240" w:lineRule="auto"/>
              <w:rPr>
                <w:b/>
                <w:snapToGrid/>
              </w:rPr>
            </w:pPr>
          </w:p>
        </w:tc>
        <w:tc>
          <w:tcPr>
            <w:tcW w:w="1976" w:type="dxa"/>
            <w:tcBorders>
              <w:bottom w:val="single" w:sz="4" w:space="0" w:color="auto"/>
            </w:tcBorders>
            <w:shd w:val="clear" w:color="auto" w:fill="auto"/>
            <w:vAlign w:val="center"/>
          </w:tcPr>
          <w:p w14:paraId="21C8DCEA" w14:textId="76B6FD98" w:rsidR="00E60986" w:rsidRPr="007F7C8C" w:rsidRDefault="00E60986" w:rsidP="00382CE9">
            <w:pPr>
              <w:pStyle w:val="MDPI42tablebody"/>
              <w:spacing w:line="240" w:lineRule="auto"/>
              <w:rPr>
                <w:b/>
                <w:snapToGrid/>
              </w:rPr>
            </w:pPr>
            <w:r w:rsidRPr="007F7C8C">
              <w:rPr>
                <w:b/>
                <w:snapToGrid/>
              </w:rPr>
              <w:t>Title 2</w:t>
            </w:r>
          </w:p>
        </w:tc>
        <w:tc>
          <w:tcPr>
            <w:tcW w:w="1976" w:type="dxa"/>
            <w:tcBorders>
              <w:bottom w:val="single" w:sz="4" w:space="0" w:color="auto"/>
            </w:tcBorders>
            <w:shd w:val="clear" w:color="auto" w:fill="auto"/>
            <w:vAlign w:val="center"/>
          </w:tcPr>
          <w:p w14:paraId="31CFC311" w14:textId="77777777" w:rsidR="00E60986" w:rsidRPr="007F7C8C" w:rsidRDefault="00E60986" w:rsidP="00382CE9">
            <w:pPr>
              <w:pStyle w:val="MDPI42tablebody"/>
              <w:spacing w:line="240" w:lineRule="auto"/>
              <w:rPr>
                <w:b/>
                <w:snapToGrid/>
              </w:rPr>
            </w:pPr>
            <w:r w:rsidRPr="007F7C8C">
              <w:rPr>
                <w:b/>
                <w:snapToGrid/>
              </w:rPr>
              <w:t>Title 3</w:t>
            </w:r>
          </w:p>
        </w:tc>
      </w:tr>
      <w:tr w:rsidR="00E60986" w:rsidRPr="00754C37" w14:paraId="1396389A" w14:textId="77777777" w:rsidTr="00E60986">
        <w:trPr>
          <w:trHeight w:val="288"/>
        </w:trPr>
        <w:tc>
          <w:tcPr>
            <w:tcW w:w="1976" w:type="dxa"/>
            <w:shd w:val="clear" w:color="auto" w:fill="auto"/>
            <w:vAlign w:val="center"/>
          </w:tcPr>
          <w:p w14:paraId="33EC3F1E" w14:textId="77777777" w:rsidR="00E60986" w:rsidRPr="00F220D4" w:rsidRDefault="00E60986" w:rsidP="00382CE9">
            <w:pPr>
              <w:pStyle w:val="MDPI42tablebody"/>
              <w:spacing w:line="240" w:lineRule="auto"/>
            </w:pPr>
            <w:r w:rsidRPr="00F220D4">
              <w:t>entry 1</w:t>
            </w:r>
          </w:p>
        </w:tc>
        <w:tc>
          <w:tcPr>
            <w:tcW w:w="1976" w:type="dxa"/>
          </w:tcPr>
          <w:p w14:paraId="068DB248" w14:textId="77777777" w:rsidR="00E60986" w:rsidRPr="00F220D4" w:rsidRDefault="00E60986" w:rsidP="00382CE9">
            <w:pPr>
              <w:pStyle w:val="MDPI42tablebody"/>
              <w:spacing w:line="240" w:lineRule="auto"/>
            </w:pPr>
          </w:p>
        </w:tc>
        <w:tc>
          <w:tcPr>
            <w:tcW w:w="1976" w:type="dxa"/>
            <w:shd w:val="clear" w:color="auto" w:fill="auto"/>
            <w:vAlign w:val="center"/>
          </w:tcPr>
          <w:p w14:paraId="093E4050" w14:textId="54561C6F" w:rsidR="00E60986" w:rsidRPr="00F220D4" w:rsidRDefault="00E60986" w:rsidP="00382CE9">
            <w:pPr>
              <w:pStyle w:val="MDPI42tablebody"/>
              <w:spacing w:line="240" w:lineRule="auto"/>
            </w:pPr>
            <w:r w:rsidRPr="00F220D4">
              <w:t>data</w:t>
            </w:r>
          </w:p>
        </w:tc>
        <w:tc>
          <w:tcPr>
            <w:tcW w:w="1976" w:type="dxa"/>
            <w:shd w:val="clear" w:color="auto" w:fill="auto"/>
            <w:vAlign w:val="center"/>
          </w:tcPr>
          <w:p w14:paraId="3435EB72" w14:textId="77777777" w:rsidR="00E60986" w:rsidRPr="00F220D4" w:rsidRDefault="00E60986" w:rsidP="00382CE9">
            <w:pPr>
              <w:pStyle w:val="MDPI42tablebody"/>
              <w:spacing w:line="240" w:lineRule="auto"/>
            </w:pPr>
            <w:r w:rsidRPr="00F220D4">
              <w:t>data</w:t>
            </w:r>
          </w:p>
        </w:tc>
      </w:tr>
      <w:tr w:rsidR="00E60986" w:rsidRPr="00754C37" w14:paraId="1C933721" w14:textId="77777777" w:rsidTr="00E60986">
        <w:trPr>
          <w:trHeight w:val="288"/>
        </w:trPr>
        <w:tc>
          <w:tcPr>
            <w:tcW w:w="1976" w:type="dxa"/>
            <w:shd w:val="clear" w:color="auto" w:fill="auto"/>
            <w:vAlign w:val="center"/>
          </w:tcPr>
          <w:p w14:paraId="05062AAA" w14:textId="77777777" w:rsidR="00E60986" w:rsidRPr="00F220D4" w:rsidRDefault="00E60986" w:rsidP="00382CE9">
            <w:pPr>
              <w:pStyle w:val="MDPI42tablebody"/>
              <w:spacing w:line="240" w:lineRule="auto"/>
            </w:pPr>
            <w:r w:rsidRPr="00F220D4">
              <w:t>entry 2</w:t>
            </w:r>
          </w:p>
        </w:tc>
        <w:tc>
          <w:tcPr>
            <w:tcW w:w="1976" w:type="dxa"/>
          </w:tcPr>
          <w:p w14:paraId="00AC6F18" w14:textId="77777777" w:rsidR="00E60986" w:rsidRPr="00F220D4" w:rsidRDefault="00E60986" w:rsidP="00382CE9">
            <w:pPr>
              <w:pStyle w:val="MDPI42tablebody"/>
              <w:spacing w:line="240" w:lineRule="auto"/>
            </w:pPr>
          </w:p>
        </w:tc>
        <w:tc>
          <w:tcPr>
            <w:tcW w:w="1976" w:type="dxa"/>
            <w:shd w:val="clear" w:color="auto" w:fill="auto"/>
            <w:vAlign w:val="center"/>
          </w:tcPr>
          <w:p w14:paraId="589F7082" w14:textId="04FD3379" w:rsidR="00E60986" w:rsidRPr="00F220D4" w:rsidRDefault="00E60986" w:rsidP="00382CE9">
            <w:pPr>
              <w:pStyle w:val="MDPI42tablebody"/>
              <w:spacing w:line="240" w:lineRule="auto"/>
            </w:pPr>
            <w:r w:rsidRPr="00F220D4">
              <w:t>data</w:t>
            </w:r>
          </w:p>
        </w:tc>
        <w:tc>
          <w:tcPr>
            <w:tcW w:w="1976" w:type="dxa"/>
            <w:shd w:val="clear" w:color="auto" w:fill="auto"/>
            <w:vAlign w:val="center"/>
          </w:tcPr>
          <w:p w14:paraId="77AC0044" w14:textId="77777777" w:rsidR="00E60986" w:rsidRPr="00F220D4" w:rsidRDefault="00E60986" w:rsidP="00382CE9">
            <w:pPr>
              <w:pStyle w:val="MDPI42tablebody"/>
              <w:spacing w:line="240" w:lineRule="auto"/>
            </w:pPr>
            <w:r w:rsidRPr="00F220D4">
              <w:t xml:space="preserve">data </w:t>
            </w:r>
            <w:r w:rsidRPr="007F7C8C">
              <w:rPr>
                <w:vertAlign w:val="superscript"/>
              </w:rPr>
              <w:t>1</w:t>
            </w:r>
          </w:p>
        </w:tc>
      </w:tr>
    </w:tbl>
    <w:p w14:paraId="56B69B5E" w14:textId="77777777" w:rsidR="00E60986" w:rsidRPr="00E06592" w:rsidRDefault="00E60986" w:rsidP="00E60986">
      <w:pPr>
        <w:pStyle w:val="MDPI43tablefooter"/>
      </w:pPr>
      <w:r w:rsidRPr="00325902">
        <w:rPr>
          <w:vertAlign w:val="superscript"/>
        </w:rPr>
        <w:lastRenderedPageBreak/>
        <w:t>1</w:t>
      </w:r>
      <w:r w:rsidRPr="00325902">
        <w:t xml:space="preserve"> Tables may have a footer.</w:t>
      </w:r>
    </w:p>
    <w:p w14:paraId="4D825B7A" w14:textId="77777777" w:rsidR="00D47AB6" w:rsidRPr="00D47AB6" w:rsidRDefault="00D47AB6" w:rsidP="00D47AB6">
      <w:pPr>
        <w:pStyle w:val="MDPI51figurecaption"/>
        <w:rPr>
          <w:snapToGrid w:val="0"/>
          <w:sz w:val="20"/>
          <w:szCs w:val="22"/>
        </w:rPr>
      </w:pPr>
    </w:p>
    <w:p w14:paraId="55A89089" w14:textId="06F5E85B" w:rsidR="005F3142" w:rsidRPr="001F31D1" w:rsidRDefault="005F3142" w:rsidP="005F3142">
      <w:pPr>
        <w:pStyle w:val="MDPI22heading2"/>
        <w:spacing w:before="240"/>
      </w:pPr>
      <w:r w:rsidRPr="001F31D1">
        <w:t>3.</w:t>
      </w:r>
      <w:r>
        <w:t>2</w:t>
      </w:r>
      <w:r w:rsidRPr="001F31D1">
        <w:t xml:space="preserve">. </w:t>
      </w:r>
      <w:r>
        <w:t>Patterns in Annual Spat Settlement</w:t>
      </w:r>
    </w:p>
    <w:p w14:paraId="2CC9941A" w14:textId="6FEB1306" w:rsidR="005F3142" w:rsidRDefault="005F3142" w:rsidP="00D46C21">
      <w:pPr>
        <w:pStyle w:val="MDPI31text"/>
      </w:pPr>
      <w:r>
        <w:t>SPAT</w:t>
      </w:r>
    </w:p>
    <w:p w14:paraId="5C2DE310" w14:textId="27045E51" w:rsidR="005F3142" w:rsidRPr="001F31D1" w:rsidRDefault="005F3142" w:rsidP="005F3142">
      <w:pPr>
        <w:pStyle w:val="MDPI22heading2"/>
        <w:spacing w:before="240"/>
      </w:pPr>
      <w:r w:rsidRPr="001F31D1">
        <w:t>3.</w:t>
      </w:r>
      <w:r>
        <w:t>3</w:t>
      </w:r>
      <w:r w:rsidRPr="001F31D1">
        <w:t xml:space="preserve">. </w:t>
      </w:r>
      <w:r>
        <w:t xml:space="preserve">Drivers of Variability </w:t>
      </w:r>
    </w:p>
    <w:p w14:paraId="29B5454F" w14:textId="77777777" w:rsidR="005F3142" w:rsidRDefault="005F3142" w:rsidP="00D46C21">
      <w:pPr>
        <w:pStyle w:val="MDPI31text"/>
      </w:pPr>
    </w:p>
    <w:p w14:paraId="4EF92908" w14:textId="77777777" w:rsidR="005F3142" w:rsidRDefault="005F3142" w:rsidP="00D46C21">
      <w:pPr>
        <w:pStyle w:val="MDPI31text"/>
      </w:pPr>
      <w:r>
        <w:t>WATER QUALITY</w:t>
      </w:r>
    </w:p>
    <w:p w14:paraId="7FD9FC20" w14:textId="77777777" w:rsidR="005F3142" w:rsidRDefault="005F3142" w:rsidP="00D46C21">
      <w:pPr>
        <w:pStyle w:val="MDPI31text"/>
      </w:pPr>
    </w:p>
    <w:p w14:paraId="34F84FBF" w14:textId="4AA039E6" w:rsidR="009A445C" w:rsidRDefault="009A445C" w:rsidP="00D46C21">
      <w:pPr>
        <w:pStyle w:val="MDPI31text"/>
      </w:pPr>
      <w:r>
        <w:t>This section may be divided by subheadings. It should provide a concise and precise description of the experimental results</w:t>
      </w:r>
      <w:r w:rsidR="007B128A">
        <w:t>, their interpretation, as well as the experimental conclusions that can be drawn.</w:t>
      </w:r>
    </w:p>
    <w:p w14:paraId="35182555" w14:textId="77777777" w:rsidR="009A445C" w:rsidRPr="001F31D1" w:rsidRDefault="009A445C" w:rsidP="00CA0A54">
      <w:pPr>
        <w:pStyle w:val="MDPI22heading2"/>
        <w:spacing w:before="240"/>
      </w:pPr>
      <w:r w:rsidRPr="001F31D1">
        <w:t>3.1. Subsection</w:t>
      </w:r>
    </w:p>
    <w:p w14:paraId="7A5D0AA3" w14:textId="77777777" w:rsidR="009A445C" w:rsidRDefault="009A445C" w:rsidP="009A445C">
      <w:pPr>
        <w:pStyle w:val="MDPI23heading3"/>
      </w:pPr>
      <w:r>
        <w:t>3.1.1. Subsubsection</w:t>
      </w:r>
    </w:p>
    <w:p w14:paraId="5E6E0A78" w14:textId="77777777" w:rsidR="009A445C" w:rsidRPr="003030D2" w:rsidRDefault="009A445C" w:rsidP="009A445C">
      <w:pPr>
        <w:pStyle w:val="MDPI35textbeforelist"/>
      </w:pPr>
      <w:r w:rsidRPr="003030D2">
        <w:t>Bulleted lists look like this:</w:t>
      </w:r>
    </w:p>
    <w:p w14:paraId="3E949627" w14:textId="77777777" w:rsidR="009A445C" w:rsidRPr="003030D2" w:rsidRDefault="009A445C" w:rsidP="006C006D">
      <w:pPr>
        <w:pStyle w:val="MDPI38bullet"/>
        <w:spacing w:before="60"/>
      </w:pPr>
      <w:r w:rsidRPr="003030D2">
        <w:t>F</w:t>
      </w:r>
      <w:r w:rsidR="007B128A">
        <w:t xml:space="preserve">irst </w:t>
      </w:r>
      <w:proofErr w:type="gramStart"/>
      <w:r w:rsidR="007B128A">
        <w:t>bullet;</w:t>
      </w:r>
      <w:proofErr w:type="gramEnd"/>
    </w:p>
    <w:p w14:paraId="655139F8" w14:textId="77777777" w:rsidR="009A445C" w:rsidRPr="003030D2" w:rsidRDefault="009A445C" w:rsidP="006C006D">
      <w:pPr>
        <w:pStyle w:val="MDPI38bullet"/>
      </w:pPr>
      <w:r w:rsidRPr="003030D2">
        <w:t>S</w:t>
      </w:r>
      <w:r w:rsidR="007B128A">
        <w:t xml:space="preserve">econd </w:t>
      </w:r>
      <w:proofErr w:type="gramStart"/>
      <w:r w:rsidR="007B128A">
        <w:t>bullet;</w:t>
      </w:r>
      <w:proofErr w:type="gramEnd"/>
    </w:p>
    <w:p w14:paraId="7829DD32" w14:textId="77777777" w:rsidR="009A445C" w:rsidRDefault="009A445C" w:rsidP="006C006D">
      <w:pPr>
        <w:pStyle w:val="MDPI38bullet"/>
        <w:spacing w:after="60"/>
      </w:pPr>
      <w:r w:rsidRPr="003030D2">
        <w:t>T</w:t>
      </w:r>
      <w:r w:rsidR="007B128A">
        <w:t>hird bullet.</w:t>
      </w:r>
    </w:p>
    <w:p w14:paraId="7917BBE6" w14:textId="77777777" w:rsidR="009A445C" w:rsidRPr="003030D2" w:rsidRDefault="009A445C" w:rsidP="009A445C">
      <w:pPr>
        <w:pStyle w:val="MDPI35textbeforelist"/>
      </w:pPr>
      <w:r w:rsidRPr="003030D2">
        <w:t>Numbered lists can be added as follows:</w:t>
      </w:r>
    </w:p>
    <w:p w14:paraId="1E9066C2" w14:textId="77777777" w:rsidR="009A445C" w:rsidRPr="003030D2" w:rsidRDefault="009A445C" w:rsidP="006C006D">
      <w:pPr>
        <w:pStyle w:val="MDPI37itemize"/>
        <w:spacing w:before="60"/>
      </w:pPr>
      <w:r w:rsidRPr="003030D2">
        <w:t>F</w:t>
      </w:r>
      <w:r w:rsidR="007B128A">
        <w:t xml:space="preserve">irst </w:t>
      </w:r>
      <w:proofErr w:type="gramStart"/>
      <w:r w:rsidR="007B128A">
        <w:t>item;</w:t>
      </w:r>
      <w:proofErr w:type="gramEnd"/>
    </w:p>
    <w:p w14:paraId="24C2F23A" w14:textId="77777777" w:rsidR="009A445C" w:rsidRPr="003030D2" w:rsidRDefault="009A445C" w:rsidP="006C006D">
      <w:pPr>
        <w:pStyle w:val="MDPI37itemize"/>
      </w:pPr>
      <w:r w:rsidRPr="003030D2">
        <w:t>S</w:t>
      </w:r>
      <w:r w:rsidR="007B128A">
        <w:t xml:space="preserve">econd </w:t>
      </w:r>
      <w:proofErr w:type="gramStart"/>
      <w:r w:rsidR="007B128A">
        <w:t>item;</w:t>
      </w:r>
      <w:proofErr w:type="gramEnd"/>
    </w:p>
    <w:p w14:paraId="65D35510" w14:textId="77777777" w:rsidR="009A445C" w:rsidRPr="003030D2" w:rsidRDefault="009A445C" w:rsidP="006C006D">
      <w:pPr>
        <w:pStyle w:val="MDPI37itemize"/>
        <w:spacing w:after="60"/>
      </w:pPr>
      <w:r w:rsidRPr="003030D2">
        <w:t>T</w:t>
      </w:r>
      <w:r w:rsidR="007B128A">
        <w:t>hird item.</w:t>
      </w:r>
    </w:p>
    <w:p w14:paraId="77733747" w14:textId="77777777" w:rsidR="009A445C" w:rsidRPr="0009495E" w:rsidRDefault="009A445C" w:rsidP="00D46C21">
      <w:pPr>
        <w:pStyle w:val="MDPI31text"/>
      </w:pPr>
      <w:r w:rsidRPr="0009495E">
        <w:t>The text continues here.</w:t>
      </w:r>
    </w:p>
    <w:p w14:paraId="1A1C9149" w14:textId="77777777" w:rsidR="009A445C" w:rsidRPr="00E75611" w:rsidRDefault="009A445C" w:rsidP="00CA0A54">
      <w:pPr>
        <w:pStyle w:val="MDPI22heading2"/>
        <w:spacing w:before="240"/>
        <w:rPr>
          <w:noProof w:val="0"/>
        </w:rPr>
      </w:pPr>
      <w:r w:rsidRPr="00E75611">
        <w:t>3.2</w:t>
      </w:r>
      <w:r w:rsidRPr="00E75611">
        <w:rPr>
          <w:noProof w:val="0"/>
        </w:rPr>
        <w:t>. Figures, Tables and Schemes</w:t>
      </w:r>
    </w:p>
    <w:p w14:paraId="54FE65F9" w14:textId="77777777" w:rsidR="009A445C" w:rsidRDefault="009A445C" w:rsidP="00D46C21">
      <w:pPr>
        <w:pStyle w:val="MDPI31text"/>
      </w:pPr>
      <w:r w:rsidRPr="00325902">
        <w:t xml:space="preserve">All figures and tables should be cited in the main text as </w:t>
      </w:r>
      <w:r w:rsidR="00AF2548">
        <w:t>Figure 1, Table 1, etc.</w:t>
      </w:r>
    </w:p>
    <w:p w14:paraId="7C5A3A52" w14:textId="77777777" w:rsidR="003D1449" w:rsidRDefault="003D1449" w:rsidP="003D1449">
      <w:pPr>
        <w:pStyle w:val="MDPI52figure"/>
        <w:ind w:left="2608"/>
        <w:jc w:val="left"/>
        <w:rPr>
          <w:b/>
        </w:rPr>
      </w:pPr>
      <w:r>
        <w:rPr>
          <w:b/>
          <w:noProof/>
          <w:snapToGrid/>
        </w:rPr>
        <w:drawing>
          <wp:inline distT="0" distB="0" distL="0" distR="0" wp14:anchorId="3B603FBF" wp14:editId="767A50C2">
            <wp:extent cx="2016000" cy="1324800"/>
            <wp:effectExtent l="0" t="0" r="3810" b="8890"/>
            <wp:docPr id="465462508"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65462508" name="Picture 1" descr="Logo&#10;&#10;Description automatically generated"/>
                    <pic:cNvPicPr/>
                  </pic:nvPicPr>
                  <pic:blipFill>
                    <a:blip r:embed="rId13"/>
                    <a:stretch>
                      <a:fillRect/>
                    </a:stretch>
                  </pic:blipFill>
                  <pic:spPr>
                    <a:xfrm>
                      <a:off x="0" y="0"/>
                      <a:ext cx="2016000" cy="1324800"/>
                    </a:xfrm>
                    <a:prstGeom prst="rect">
                      <a:avLst/>
                    </a:prstGeom>
                  </pic:spPr>
                </pic:pic>
              </a:graphicData>
            </a:graphic>
          </wp:inline>
        </w:drawing>
      </w:r>
    </w:p>
    <w:p w14:paraId="2C7C65F5" w14:textId="77777777" w:rsidR="003D1449" w:rsidRDefault="003D1449" w:rsidP="003D1449">
      <w:pPr>
        <w:pStyle w:val="MDPI51figurecaption"/>
      </w:pPr>
      <w:r w:rsidRPr="00FA04F1">
        <w:rPr>
          <w:b/>
        </w:rPr>
        <w:t xml:space="preserve">Figure 1. </w:t>
      </w:r>
      <w:r>
        <w:t>This is a figure.</w:t>
      </w:r>
      <w:r w:rsidRPr="00FF1144">
        <w:t xml:space="preserve"> Sche</w:t>
      </w:r>
      <w:r>
        <w:t>mes follow the same formatting.</w:t>
      </w:r>
    </w:p>
    <w:p w14:paraId="26601545" w14:textId="77777777" w:rsidR="003D1449" w:rsidRDefault="003D1449" w:rsidP="00F040BE">
      <w:pPr>
        <w:pStyle w:val="MDPI51figurecaption"/>
      </w:pPr>
    </w:p>
    <w:p w14:paraId="79A94D56" w14:textId="4390AB80" w:rsidR="00E20F8A" w:rsidRDefault="00E20F8A" w:rsidP="00E20F8A">
      <w:pPr>
        <w:pStyle w:val="MDPI41tablecaption"/>
      </w:pPr>
      <w:r>
        <w:rPr>
          <w:b/>
        </w:rPr>
        <w:t>Table 1.</w:t>
      </w:r>
      <w:r>
        <w:t xml:space="preserve"> Summary information for spat settlement per shell in regions in the Guana Tolomato Matanzas estuary inside the annual settlement period (April – October) and outside of the settlement period (January – March and November – Dec). Metrics include average total settlement per shell per year (standard error) and average settlement per shell (standard error).</w:t>
      </w:r>
    </w:p>
    <w:tbl>
      <w:tblPr>
        <w:tblW w:w="785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061"/>
        <w:gridCol w:w="1447"/>
        <w:gridCol w:w="1447"/>
        <w:gridCol w:w="1447"/>
        <w:gridCol w:w="1448"/>
      </w:tblGrid>
      <w:tr w:rsidR="00E20F8A" w14:paraId="4A5A2AD0" w14:textId="77777777" w:rsidTr="00E20F8A">
        <w:trPr>
          <w:trHeight w:val="304"/>
        </w:trPr>
        <w:tc>
          <w:tcPr>
            <w:tcW w:w="2061" w:type="dxa"/>
            <w:tcBorders>
              <w:top w:val="single" w:sz="4" w:space="0" w:color="auto"/>
              <w:left w:val="nil"/>
              <w:bottom w:val="nil"/>
              <w:right w:val="nil"/>
            </w:tcBorders>
            <w:vAlign w:val="center"/>
          </w:tcPr>
          <w:p w14:paraId="6F08C776" w14:textId="77777777" w:rsidR="00E20F8A" w:rsidRDefault="00E20F8A" w:rsidP="002175B0">
            <w:pPr>
              <w:pStyle w:val="MDPI42tablebody"/>
              <w:spacing w:line="240" w:lineRule="auto"/>
              <w:rPr>
                <w:b/>
              </w:rPr>
            </w:pPr>
          </w:p>
        </w:tc>
        <w:tc>
          <w:tcPr>
            <w:tcW w:w="2894" w:type="dxa"/>
            <w:gridSpan w:val="2"/>
            <w:tcBorders>
              <w:top w:val="single" w:sz="4" w:space="0" w:color="auto"/>
              <w:left w:val="nil"/>
              <w:bottom w:val="nil"/>
              <w:right w:val="nil"/>
            </w:tcBorders>
            <w:vAlign w:val="center"/>
          </w:tcPr>
          <w:p w14:paraId="3ED8F75F" w14:textId="77777777" w:rsidR="00E20F8A" w:rsidRPr="002355E3" w:rsidRDefault="00E20F8A" w:rsidP="002175B0">
            <w:pPr>
              <w:pStyle w:val="MDPI42tablebody"/>
              <w:spacing w:line="240" w:lineRule="auto"/>
              <w:rPr>
                <w:b/>
                <w:i/>
                <w:iCs/>
              </w:rPr>
            </w:pPr>
            <w:r w:rsidRPr="002355E3">
              <w:rPr>
                <w:b/>
                <w:i/>
                <w:iCs/>
              </w:rPr>
              <w:t>Inside Settlement Period</w:t>
            </w:r>
          </w:p>
        </w:tc>
        <w:tc>
          <w:tcPr>
            <w:tcW w:w="2895" w:type="dxa"/>
            <w:gridSpan w:val="2"/>
            <w:tcBorders>
              <w:top w:val="single" w:sz="4" w:space="0" w:color="auto"/>
              <w:left w:val="nil"/>
              <w:bottom w:val="nil"/>
              <w:right w:val="nil"/>
            </w:tcBorders>
            <w:vAlign w:val="center"/>
          </w:tcPr>
          <w:p w14:paraId="2496DAF2" w14:textId="77777777" w:rsidR="00E20F8A" w:rsidRPr="002355E3" w:rsidRDefault="00E20F8A" w:rsidP="002175B0">
            <w:pPr>
              <w:pStyle w:val="MDPI42tablebody"/>
              <w:spacing w:line="240" w:lineRule="auto"/>
              <w:rPr>
                <w:b/>
                <w:i/>
                <w:iCs/>
              </w:rPr>
            </w:pPr>
            <w:r w:rsidRPr="002355E3">
              <w:rPr>
                <w:b/>
                <w:i/>
                <w:iCs/>
              </w:rPr>
              <w:t>Outside Settlement Period</w:t>
            </w:r>
          </w:p>
        </w:tc>
      </w:tr>
      <w:tr w:rsidR="00E20F8A" w14:paraId="389000F4" w14:textId="77777777" w:rsidTr="00E20F8A">
        <w:trPr>
          <w:trHeight w:val="304"/>
        </w:trPr>
        <w:tc>
          <w:tcPr>
            <w:tcW w:w="2061" w:type="dxa"/>
            <w:tcBorders>
              <w:top w:val="nil"/>
              <w:left w:val="nil"/>
              <w:bottom w:val="single" w:sz="4" w:space="0" w:color="auto"/>
              <w:right w:val="nil"/>
            </w:tcBorders>
            <w:vAlign w:val="center"/>
            <w:hideMark/>
          </w:tcPr>
          <w:p w14:paraId="0029508C" w14:textId="77777777" w:rsidR="00E20F8A" w:rsidRDefault="00E20F8A" w:rsidP="002175B0">
            <w:pPr>
              <w:pStyle w:val="MDPI42tablebody"/>
              <w:spacing w:line="240" w:lineRule="auto"/>
              <w:rPr>
                <w:b/>
              </w:rPr>
            </w:pPr>
            <w:r>
              <w:rPr>
                <w:b/>
              </w:rPr>
              <w:t>Region</w:t>
            </w:r>
          </w:p>
        </w:tc>
        <w:tc>
          <w:tcPr>
            <w:tcW w:w="1447" w:type="dxa"/>
            <w:tcBorders>
              <w:top w:val="nil"/>
              <w:left w:val="nil"/>
              <w:bottom w:val="single" w:sz="4" w:space="0" w:color="auto"/>
              <w:right w:val="nil"/>
            </w:tcBorders>
            <w:vAlign w:val="center"/>
          </w:tcPr>
          <w:p w14:paraId="4C03BC50" w14:textId="77777777" w:rsidR="00E20F8A" w:rsidRDefault="00E20F8A" w:rsidP="002175B0">
            <w:pPr>
              <w:pStyle w:val="MDPI42tablebody"/>
              <w:spacing w:line="240" w:lineRule="auto"/>
              <w:rPr>
                <w:b/>
              </w:rPr>
            </w:pPr>
            <w:r>
              <w:rPr>
                <w:b/>
              </w:rPr>
              <w:t>Avg Total Settlement per Shell per Year</w:t>
            </w:r>
          </w:p>
        </w:tc>
        <w:tc>
          <w:tcPr>
            <w:tcW w:w="1447" w:type="dxa"/>
            <w:tcBorders>
              <w:top w:val="nil"/>
              <w:left w:val="nil"/>
              <w:bottom w:val="single" w:sz="4" w:space="0" w:color="auto"/>
              <w:right w:val="nil"/>
            </w:tcBorders>
            <w:vAlign w:val="center"/>
          </w:tcPr>
          <w:p w14:paraId="465C1E68" w14:textId="77777777" w:rsidR="00E20F8A" w:rsidRDefault="00E20F8A" w:rsidP="002175B0">
            <w:pPr>
              <w:pStyle w:val="MDPI42tablebody"/>
              <w:spacing w:line="240" w:lineRule="auto"/>
              <w:rPr>
                <w:b/>
              </w:rPr>
            </w:pPr>
            <w:r>
              <w:rPr>
                <w:b/>
              </w:rPr>
              <w:t>Avg Settlement per Shell</w:t>
            </w:r>
          </w:p>
        </w:tc>
        <w:tc>
          <w:tcPr>
            <w:tcW w:w="1447" w:type="dxa"/>
            <w:tcBorders>
              <w:top w:val="nil"/>
              <w:left w:val="nil"/>
              <w:bottom w:val="single" w:sz="4" w:space="0" w:color="auto"/>
              <w:right w:val="nil"/>
            </w:tcBorders>
            <w:vAlign w:val="center"/>
          </w:tcPr>
          <w:p w14:paraId="57075FBC" w14:textId="77777777" w:rsidR="00E20F8A" w:rsidRDefault="00E20F8A" w:rsidP="002175B0">
            <w:pPr>
              <w:pStyle w:val="MDPI42tablebody"/>
              <w:spacing w:line="240" w:lineRule="auto"/>
              <w:rPr>
                <w:b/>
              </w:rPr>
            </w:pPr>
            <w:r>
              <w:rPr>
                <w:b/>
              </w:rPr>
              <w:t>Avg Total Settlement per Shell per Year</w:t>
            </w:r>
          </w:p>
        </w:tc>
        <w:tc>
          <w:tcPr>
            <w:tcW w:w="1448" w:type="dxa"/>
            <w:tcBorders>
              <w:top w:val="nil"/>
              <w:left w:val="nil"/>
              <w:bottom w:val="single" w:sz="4" w:space="0" w:color="auto"/>
              <w:right w:val="nil"/>
            </w:tcBorders>
            <w:vAlign w:val="center"/>
          </w:tcPr>
          <w:p w14:paraId="50F094F9" w14:textId="77777777" w:rsidR="00E20F8A" w:rsidRDefault="00E20F8A" w:rsidP="002175B0">
            <w:pPr>
              <w:pStyle w:val="MDPI42tablebody"/>
              <w:spacing w:line="240" w:lineRule="auto"/>
              <w:rPr>
                <w:b/>
              </w:rPr>
            </w:pPr>
            <w:r>
              <w:rPr>
                <w:b/>
              </w:rPr>
              <w:t>Avg Settlement per Shell</w:t>
            </w:r>
          </w:p>
        </w:tc>
      </w:tr>
      <w:tr w:rsidR="00E20F8A" w14:paraId="3829F421" w14:textId="77777777" w:rsidTr="00E20F8A">
        <w:trPr>
          <w:trHeight w:val="304"/>
        </w:trPr>
        <w:tc>
          <w:tcPr>
            <w:tcW w:w="2061" w:type="dxa"/>
            <w:tcBorders>
              <w:top w:val="nil"/>
              <w:left w:val="nil"/>
              <w:bottom w:val="nil"/>
              <w:right w:val="nil"/>
            </w:tcBorders>
            <w:vAlign w:val="center"/>
            <w:hideMark/>
          </w:tcPr>
          <w:p w14:paraId="07816B15" w14:textId="77777777" w:rsidR="00E20F8A" w:rsidRDefault="00E20F8A" w:rsidP="002175B0">
            <w:pPr>
              <w:pStyle w:val="MDPI42tablebody"/>
              <w:spacing w:line="240" w:lineRule="auto"/>
            </w:pPr>
            <w:r>
              <w:t>Tolomato River (TR)</w:t>
            </w:r>
          </w:p>
        </w:tc>
        <w:tc>
          <w:tcPr>
            <w:tcW w:w="1447" w:type="dxa"/>
            <w:tcBorders>
              <w:top w:val="nil"/>
              <w:left w:val="nil"/>
              <w:bottom w:val="nil"/>
              <w:right w:val="nil"/>
            </w:tcBorders>
            <w:vAlign w:val="center"/>
          </w:tcPr>
          <w:p w14:paraId="0AF5C153" w14:textId="77777777" w:rsidR="00E20F8A" w:rsidRDefault="00E20F8A" w:rsidP="002175B0">
            <w:pPr>
              <w:pStyle w:val="MDPI42tablebody"/>
              <w:spacing w:line="240" w:lineRule="auto"/>
            </w:pPr>
            <w:r>
              <w:t>1234 (466)</w:t>
            </w:r>
          </w:p>
        </w:tc>
        <w:tc>
          <w:tcPr>
            <w:tcW w:w="1447" w:type="dxa"/>
            <w:tcBorders>
              <w:top w:val="nil"/>
              <w:left w:val="nil"/>
              <w:bottom w:val="nil"/>
              <w:right w:val="nil"/>
            </w:tcBorders>
            <w:vAlign w:val="center"/>
          </w:tcPr>
          <w:p w14:paraId="11064594" w14:textId="77777777" w:rsidR="00E20F8A" w:rsidRDefault="00E20F8A" w:rsidP="002175B0">
            <w:pPr>
              <w:pStyle w:val="MDPI42tablebody"/>
              <w:spacing w:line="240" w:lineRule="auto"/>
            </w:pPr>
            <w:r>
              <w:t>75 (10)</w:t>
            </w:r>
          </w:p>
        </w:tc>
        <w:tc>
          <w:tcPr>
            <w:tcW w:w="1447" w:type="dxa"/>
            <w:tcBorders>
              <w:top w:val="nil"/>
              <w:left w:val="nil"/>
              <w:bottom w:val="nil"/>
              <w:right w:val="nil"/>
            </w:tcBorders>
            <w:vAlign w:val="center"/>
          </w:tcPr>
          <w:p w14:paraId="38A7E9A0" w14:textId="77777777" w:rsidR="00E20F8A" w:rsidRDefault="00E20F8A" w:rsidP="002175B0">
            <w:pPr>
              <w:pStyle w:val="MDPI42tablebody"/>
              <w:spacing w:line="240" w:lineRule="auto"/>
            </w:pPr>
            <w:r>
              <w:t>38 (13)</w:t>
            </w:r>
          </w:p>
        </w:tc>
        <w:tc>
          <w:tcPr>
            <w:tcW w:w="1448" w:type="dxa"/>
            <w:tcBorders>
              <w:top w:val="nil"/>
              <w:left w:val="nil"/>
              <w:bottom w:val="nil"/>
              <w:right w:val="nil"/>
            </w:tcBorders>
            <w:vAlign w:val="center"/>
          </w:tcPr>
          <w:p w14:paraId="1CBA7512" w14:textId="77777777" w:rsidR="00E20F8A" w:rsidRDefault="00E20F8A" w:rsidP="002175B0">
            <w:pPr>
              <w:pStyle w:val="MDPI42tablebody"/>
              <w:spacing w:line="240" w:lineRule="auto"/>
            </w:pPr>
            <w:r>
              <w:t>3 (1)</w:t>
            </w:r>
          </w:p>
        </w:tc>
      </w:tr>
      <w:tr w:rsidR="00E20F8A" w14:paraId="0BE132AB" w14:textId="77777777" w:rsidTr="00E20F8A">
        <w:trPr>
          <w:trHeight w:val="304"/>
        </w:trPr>
        <w:tc>
          <w:tcPr>
            <w:tcW w:w="2061" w:type="dxa"/>
            <w:tcBorders>
              <w:top w:val="nil"/>
              <w:left w:val="nil"/>
              <w:bottom w:val="nil"/>
              <w:right w:val="nil"/>
            </w:tcBorders>
            <w:vAlign w:val="center"/>
            <w:hideMark/>
          </w:tcPr>
          <w:p w14:paraId="3C875F7E" w14:textId="77777777" w:rsidR="00E20F8A" w:rsidRDefault="00E20F8A" w:rsidP="002175B0">
            <w:pPr>
              <w:pStyle w:val="MDPI42tablebody"/>
              <w:spacing w:line="240" w:lineRule="auto"/>
            </w:pPr>
            <w:r>
              <w:lastRenderedPageBreak/>
              <w:t>Guana River (GR)</w:t>
            </w:r>
          </w:p>
        </w:tc>
        <w:tc>
          <w:tcPr>
            <w:tcW w:w="1447" w:type="dxa"/>
            <w:tcBorders>
              <w:top w:val="nil"/>
              <w:left w:val="nil"/>
              <w:bottom w:val="nil"/>
              <w:right w:val="nil"/>
            </w:tcBorders>
            <w:vAlign w:val="center"/>
          </w:tcPr>
          <w:p w14:paraId="306745E2" w14:textId="77777777" w:rsidR="00E20F8A" w:rsidRDefault="00E20F8A" w:rsidP="002175B0">
            <w:pPr>
              <w:pStyle w:val="MDPI42tablebody"/>
              <w:spacing w:line="240" w:lineRule="auto"/>
            </w:pPr>
            <w:r>
              <w:t>571 (18)</w:t>
            </w:r>
          </w:p>
        </w:tc>
        <w:tc>
          <w:tcPr>
            <w:tcW w:w="1447" w:type="dxa"/>
            <w:tcBorders>
              <w:top w:val="nil"/>
              <w:left w:val="nil"/>
              <w:bottom w:val="nil"/>
              <w:right w:val="nil"/>
            </w:tcBorders>
            <w:vAlign w:val="center"/>
          </w:tcPr>
          <w:p w14:paraId="04F0B22B" w14:textId="77777777" w:rsidR="00E20F8A" w:rsidRDefault="00E20F8A" w:rsidP="002175B0">
            <w:pPr>
              <w:pStyle w:val="MDPI42tablebody"/>
              <w:spacing w:line="240" w:lineRule="auto"/>
            </w:pPr>
            <w:r>
              <w:t>29 (4)</w:t>
            </w:r>
          </w:p>
        </w:tc>
        <w:tc>
          <w:tcPr>
            <w:tcW w:w="1447" w:type="dxa"/>
            <w:tcBorders>
              <w:top w:val="nil"/>
              <w:left w:val="nil"/>
              <w:bottom w:val="nil"/>
              <w:right w:val="nil"/>
            </w:tcBorders>
            <w:vAlign w:val="center"/>
          </w:tcPr>
          <w:p w14:paraId="20EFBE8A" w14:textId="77777777" w:rsidR="00E20F8A" w:rsidRDefault="00E20F8A" w:rsidP="002175B0">
            <w:pPr>
              <w:pStyle w:val="MDPI42tablebody"/>
              <w:spacing w:line="240" w:lineRule="auto"/>
            </w:pPr>
            <w:r>
              <w:t>18 (5)</w:t>
            </w:r>
          </w:p>
        </w:tc>
        <w:tc>
          <w:tcPr>
            <w:tcW w:w="1448" w:type="dxa"/>
            <w:tcBorders>
              <w:top w:val="nil"/>
              <w:left w:val="nil"/>
              <w:bottom w:val="nil"/>
              <w:right w:val="nil"/>
            </w:tcBorders>
            <w:vAlign w:val="center"/>
          </w:tcPr>
          <w:p w14:paraId="286D8056" w14:textId="77777777" w:rsidR="00E20F8A" w:rsidRDefault="00E20F8A" w:rsidP="002175B0">
            <w:pPr>
              <w:pStyle w:val="MDPI42tablebody"/>
              <w:spacing w:line="240" w:lineRule="auto"/>
            </w:pPr>
            <w:r>
              <w:t>2</w:t>
            </w:r>
            <w:r>
              <w:rPr>
                <w:b/>
              </w:rPr>
              <w:t xml:space="preserve"> (</w:t>
            </w:r>
            <w:r>
              <w:t>1)</w:t>
            </w:r>
          </w:p>
        </w:tc>
      </w:tr>
      <w:tr w:rsidR="00E20F8A" w14:paraId="7A17B9E6" w14:textId="77777777" w:rsidTr="00E20F8A">
        <w:trPr>
          <w:trHeight w:val="304"/>
        </w:trPr>
        <w:tc>
          <w:tcPr>
            <w:tcW w:w="2061" w:type="dxa"/>
            <w:tcBorders>
              <w:top w:val="nil"/>
              <w:left w:val="nil"/>
              <w:bottom w:val="nil"/>
              <w:right w:val="nil"/>
            </w:tcBorders>
            <w:vAlign w:val="center"/>
          </w:tcPr>
          <w:p w14:paraId="59619247" w14:textId="77777777" w:rsidR="00E20F8A" w:rsidRDefault="00E20F8A" w:rsidP="002175B0">
            <w:pPr>
              <w:pStyle w:val="MDPI42tablebody"/>
              <w:spacing w:line="240" w:lineRule="auto"/>
            </w:pPr>
            <w:r>
              <w:t>St. Augustine (SA)</w:t>
            </w:r>
          </w:p>
        </w:tc>
        <w:tc>
          <w:tcPr>
            <w:tcW w:w="1447" w:type="dxa"/>
            <w:tcBorders>
              <w:top w:val="nil"/>
              <w:left w:val="nil"/>
              <w:bottom w:val="nil"/>
              <w:right w:val="nil"/>
            </w:tcBorders>
            <w:vAlign w:val="center"/>
          </w:tcPr>
          <w:p w14:paraId="0F358490" w14:textId="77777777" w:rsidR="00E20F8A" w:rsidRDefault="00E20F8A" w:rsidP="002175B0">
            <w:pPr>
              <w:pStyle w:val="MDPI42tablebody"/>
              <w:spacing w:line="240" w:lineRule="auto"/>
            </w:pPr>
            <w:r>
              <w:t>677 (249)</w:t>
            </w:r>
          </w:p>
        </w:tc>
        <w:tc>
          <w:tcPr>
            <w:tcW w:w="1447" w:type="dxa"/>
            <w:tcBorders>
              <w:top w:val="nil"/>
              <w:left w:val="nil"/>
              <w:bottom w:val="nil"/>
              <w:right w:val="nil"/>
            </w:tcBorders>
            <w:vAlign w:val="center"/>
          </w:tcPr>
          <w:p w14:paraId="132B48D4" w14:textId="77777777" w:rsidR="00E20F8A" w:rsidRDefault="00E20F8A" w:rsidP="002175B0">
            <w:pPr>
              <w:pStyle w:val="MDPI42tablebody"/>
              <w:spacing w:line="240" w:lineRule="auto"/>
            </w:pPr>
            <w:r>
              <w:t>35 (6)</w:t>
            </w:r>
          </w:p>
        </w:tc>
        <w:tc>
          <w:tcPr>
            <w:tcW w:w="1447" w:type="dxa"/>
            <w:tcBorders>
              <w:top w:val="nil"/>
              <w:left w:val="nil"/>
              <w:bottom w:val="nil"/>
              <w:right w:val="nil"/>
            </w:tcBorders>
            <w:vAlign w:val="center"/>
          </w:tcPr>
          <w:p w14:paraId="7E95AF8C" w14:textId="77777777" w:rsidR="00E20F8A" w:rsidRDefault="00E20F8A" w:rsidP="002175B0">
            <w:pPr>
              <w:pStyle w:val="MDPI42tablebody"/>
              <w:spacing w:line="240" w:lineRule="auto"/>
            </w:pPr>
            <w:r>
              <w:t>27 (11)</w:t>
            </w:r>
          </w:p>
        </w:tc>
        <w:tc>
          <w:tcPr>
            <w:tcW w:w="1448" w:type="dxa"/>
            <w:tcBorders>
              <w:top w:val="nil"/>
              <w:left w:val="nil"/>
              <w:bottom w:val="nil"/>
              <w:right w:val="nil"/>
            </w:tcBorders>
            <w:vAlign w:val="center"/>
          </w:tcPr>
          <w:p w14:paraId="4F7C9973" w14:textId="77777777" w:rsidR="00E20F8A" w:rsidRDefault="00E20F8A" w:rsidP="002175B0">
            <w:pPr>
              <w:pStyle w:val="MDPI42tablebody"/>
              <w:spacing w:line="240" w:lineRule="auto"/>
            </w:pPr>
            <w:r>
              <w:t>2</w:t>
            </w:r>
            <w:r>
              <w:rPr>
                <w:b/>
              </w:rPr>
              <w:t xml:space="preserve"> (</w:t>
            </w:r>
            <w:r>
              <w:t>1)</w:t>
            </w:r>
          </w:p>
        </w:tc>
      </w:tr>
      <w:tr w:rsidR="00E20F8A" w14:paraId="72369A2A" w14:textId="77777777" w:rsidTr="00E20F8A">
        <w:trPr>
          <w:trHeight w:val="304"/>
        </w:trPr>
        <w:tc>
          <w:tcPr>
            <w:tcW w:w="2061" w:type="dxa"/>
            <w:tcBorders>
              <w:top w:val="nil"/>
              <w:left w:val="nil"/>
              <w:bottom w:val="nil"/>
              <w:right w:val="nil"/>
            </w:tcBorders>
            <w:vAlign w:val="center"/>
          </w:tcPr>
          <w:p w14:paraId="7B43A6AF" w14:textId="77777777" w:rsidR="00E20F8A" w:rsidRDefault="00E20F8A" w:rsidP="002175B0">
            <w:pPr>
              <w:pStyle w:val="MDPI42tablebody"/>
              <w:spacing w:line="240" w:lineRule="auto"/>
            </w:pPr>
            <w:r>
              <w:t>Salt Run (SR)</w:t>
            </w:r>
          </w:p>
        </w:tc>
        <w:tc>
          <w:tcPr>
            <w:tcW w:w="1447" w:type="dxa"/>
            <w:tcBorders>
              <w:top w:val="nil"/>
              <w:left w:val="nil"/>
              <w:bottom w:val="nil"/>
              <w:right w:val="nil"/>
            </w:tcBorders>
            <w:vAlign w:val="center"/>
          </w:tcPr>
          <w:p w14:paraId="6D5E8AC5" w14:textId="77777777" w:rsidR="00E20F8A" w:rsidRDefault="00E20F8A" w:rsidP="002175B0">
            <w:pPr>
              <w:pStyle w:val="MDPI42tablebody"/>
              <w:spacing w:line="240" w:lineRule="auto"/>
            </w:pPr>
            <w:r>
              <w:t>305 (100)</w:t>
            </w:r>
          </w:p>
        </w:tc>
        <w:tc>
          <w:tcPr>
            <w:tcW w:w="1447" w:type="dxa"/>
            <w:tcBorders>
              <w:top w:val="nil"/>
              <w:left w:val="nil"/>
              <w:bottom w:val="nil"/>
              <w:right w:val="nil"/>
            </w:tcBorders>
            <w:vAlign w:val="center"/>
          </w:tcPr>
          <w:p w14:paraId="5EFEA9DD" w14:textId="77777777" w:rsidR="00E20F8A" w:rsidRDefault="00E20F8A" w:rsidP="002175B0">
            <w:pPr>
              <w:pStyle w:val="MDPI42tablebody"/>
              <w:spacing w:line="240" w:lineRule="auto"/>
            </w:pPr>
            <w:r>
              <w:t>19</w:t>
            </w:r>
            <w:r>
              <w:rPr>
                <w:b/>
              </w:rPr>
              <w:t xml:space="preserve"> (</w:t>
            </w:r>
            <w:r>
              <w:t>4)</w:t>
            </w:r>
          </w:p>
        </w:tc>
        <w:tc>
          <w:tcPr>
            <w:tcW w:w="1447" w:type="dxa"/>
            <w:tcBorders>
              <w:top w:val="nil"/>
              <w:left w:val="nil"/>
              <w:bottom w:val="nil"/>
              <w:right w:val="nil"/>
            </w:tcBorders>
            <w:vAlign w:val="center"/>
          </w:tcPr>
          <w:p w14:paraId="6AC77EB1" w14:textId="77777777" w:rsidR="00E20F8A" w:rsidRDefault="00E20F8A" w:rsidP="002175B0">
            <w:pPr>
              <w:pStyle w:val="MDPI42tablebody"/>
              <w:spacing w:line="240" w:lineRule="auto"/>
            </w:pPr>
            <w:r>
              <w:t>16 (5)</w:t>
            </w:r>
          </w:p>
        </w:tc>
        <w:tc>
          <w:tcPr>
            <w:tcW w:w="1448" w:type="dxa"/>
            <w:tcBorders>
              <w:top w:val="nil"/>
              <w:left w:val="nil"/>
              <w:bottom w:val="nil"/>
              <w:right w:val="nil"/>
            </w:tcBorders>
            <w:vAlign w:val="center"/>
          </w:tcPr>
          <w:p w14:paraId="02542C5D" w14:textId="77777777" w:rsidR="00E20F8A" w:rsidRPr="00401987" w:rsidRDefault="00E20F8A" w:rsidP="002175B0">
            <w:pPr>
              <w:pStyle w:val="MDPI42tablebody"/>
              <w:spacing w:line="240" w:lineRule="auto"/>
            </w:pPr>
            <w:r>
              <w:t>2</w:t>
            </w:r>
            <w:r>
              <w:rPr>
                <w:b/>
              </w:rPr>
              <w:t xml:space="preserve"> (</w:t>
            </w:r>
            <w:r>
              <w:t>1)</w:t>
            </w:r>
          </w:p>
        </w:tc>
      </w:tr>
      <w:tr w:rsidR="00E20F8A" w14:paraId="1E5E18F0" w14:textId="77777777" w:rsidTr="00E20F8A">
        <w:trPr>
          <w:trHeight w:val="304"/>
        </w:trPr>
        <w:tc>
          <w:tcPr>
            <w:tcW w:w="2061" w:type="dxa"/>
            <w:tcBorders>
              <w:top w:val="nil"/>
              <w:left w:val="nil"/>
              <w:bottom w:val="single" w:sz="8" w:space="0" w:color="auto"/>
              <w:right w:val="nil"/>
            </w:tcBorders>
            <w:vAlign w:val="center"/>
          </w:tcPr>
          <w:p w14:paraId="33C527CF" w14:textId="77777777" w:rsidR="00E20F8A" w:rsidRDefault="00E20F8A" w:rsidP="002175B0">
            <w:pPr>
              <w:pStyle w:val="MDPI42tablebody"/>
              <w:spacing w:line="240" w:lineRule="auto"/>
            </w:pPr>
            <w:r>
              <w:t>Fort Matanzas (FM)</w:t>
            </w:r>
          </w:p>
        </w:tc>
        <w:tc>
          <w:tcPr>
            <w:tcW w:w="1447" w:type="dxa"/>
            <w:tcBorders>
              <w:top w:val="nil"/>
              <w:left w:val="nil"/>
              <w:bottom w:val="single" w:sz="8" w:space="0" w:color="auto"/>
              <w:right w:val="nil"/>
            </w:tcBorders>
            <w:vAlign w:val="center"/>
          </w:tcPr>
          <w:p w14:paraId="2D9505FE" w14:textId="77777777" w:rsidR="00E20F8A" w:rsidRDefault="00E20F8A" w:rsidP="002175B0">
            <w:pPr>
              <w:pStyle w:val="MDPI42tablebody"/>
              <w:spacing w:line="240" w:lineRule="auto"/>
            </w:pPr>
            <w:r>
              <w:t>313 (110)</w:t>
            </w:r>
          </w:p>
        </w:tc>
        <w:tc>
          <w:tcPr>
            <w:tcW w:w="1447" w:type="dxa"/>
            <w:tcBorders>
              <w:top w:val="nil"/>
              <w:left w:val="nil"/>
              <w:bottom w:val="single" w:sz="8" w:space="0" w:color="auto"/>
              <w:right w:val="nil"/>
            </w:tcBorders>
            <w:vAlign w:val="center"/>
          </w:tcPr>
          <w:p w14:paraId="4913BA4A" w14:textId="77777777" w:rsidR="00E20F8A" w:rsidRDefault="00E20F8A" w:rsidP="002175B0">
            <w:pPr>
              <w:pStyle w:val="MDPI42tablebody"/>
              <w:spacing w:line="240" w:lineRule="auto"/>
            </w:pPr>
            <w:r>
              <w:t>17</w:t>
            </w:r>
            <w:r>
              <w:rPr>
                <w:b/>
              </w:rPr>
              <w:t xml:space="preserve"> (</w:t>
            </w:r>
            <w:r>
              <w:t>4)</w:t>
            </w:r>
          </w:p>
        </w:tc>
        <w:tc>
          <w:tcPr>
            <w:tcW w:w="1447" w:type="dxa"/>
            <w:tcBorders>
              <w:top w:val="nil"/>
              <w:left w:val="nil"/>
              <w:bottom w:val="single" w:sz="8" w:space="0" w:color="auto"/>
              <w:right w:val="nil"/>
            </w:tcBorders>
            <w:vAlign w:val="center"/>
          </w:tcPr>
          <w:p w14:paraId="14DE7AA2" w14:textId="77777777" w:rsidR="00E20F8A" w:rsidRDefault="00E20F8A" w:rsidP="002175B0">
            <w:pPr>
              <w:pStyle w:val="MDPI42tablebody"/>
              <w:spacing w:line="240" w:lineRule="auto"/>
            </w:pPr>
            <w:r>
              <w:t>26 (14)</w:t>
            </w:r>
          </w:p>
        </w:tc>
        <w:tc>
          <w:tcPr>
            <w:tcW w:w="1448" w:type="dxa"/>
            <w:tcBorders>
              <w:top w:val="nil"/>
              <w:left w:val="nil"/>
              <w:bottom w:val="single" w:sz="8" w:space="0" w:color="auto"/>
              <w:right w:val="nil"/>
            </w:tcBorders>
            <w:vAlign w:val="center"/>
          </w:tcPr>
          <w:p w14:paraId="361352D9" w14:textId="77777777" w:rsidR="00E20F8A" w:rsidRDefault="00E20F8A" w:rsidP="002175B0">
            <w:pPr>
              <w:pStyle w:val="MDPI42tablebody"/>
              <w:spacing w:line="240" w:lineRule="auto"/>
            </w:pPr>
            <w:r>
              <w:t>2</w:t>
            </w:r>
            <w:r>
              <w:rPr>
                <w:b/>
              </w:rPr>
              <w:t xml:space="preserve"> (</w:t>
            </w:r>
            <w:r>
              <w:t>1)</w:t>
            </w:r>
          </w:p>
        </w:tc>
      </w:tr>
    </w:tbl>
    <w:p w14:paraId="1AEF7B51" w14:textId="77777777" w:rsidR="00E20F8A" w:rsidRPr="00A25BCE" w:rsidRDefault="00E20F8A" w:rsidP="00E20F8A"/>
    <w:p w14:paraId="6A5D4325" w14:textId="77777777" w:rsidR="00E90660" w:rsidRDefault="00E90660" w:rsidP="00F040BE">
      <w:pPr>
        <w:pStyle w:val="MDPI41tablecaption"/>
        <w:rPr>
          <w:b/>
        </w:rPr>
      </w:pPr>
    </w:p>
    <w:p w14:paraId="0010C15C" w14:textId="289B56CA" w:rsidR="009A445C" w:rsidRDefault="009A445C" w:rsidP="00F040BE">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9A445C" w:rsidRPr="00754C37" w14:paraId="3F7BCE41" w14:textId="77777777" w:rsidTr="004A144E">
        <w:tc>
          <w:tcPr>
            <w:tcW w:w="2619" w:type="dxa"/>
            <w:tcBorders>
              <w:bottom w:val="single" w:sz="4" w:space="0" w:color="auto"/>
            </w:tcBorders>
            <w:shd w:val="clear" w:color="auto" w:fill="auto"/>
            <w:vAlign w:val="center"/>
          </w:tcPr>
          <w:p w14:paraId="1DD69734" w14:textId="77777777" w:rsidR="009A445C" w:rsidRPr="007F7C8C" w:rsidRDefault="009A445C" w:rsidP="00754C37">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4C7362E2" w14:textId="77777777" w:rsidR="009A445C" w:rsidRPr="007F7C8C" w:rsidRDefault="009A445C" w:rsidP="00754C37">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01A55A09" w14:textId="77777777" w:rsidR="009A445C" w:rsidRPr="007F7C8C" w:rsidRDefault="009A445C" w:rsidP="00754C37">
            <w:pPr>
              <w:pStyle w:val="MDPI42tablebody"/>
              <w:spacing w:line="240" w:lineRule="auto"/>
              <w:rPr>
                <w:b/>
                <w:snapToGrid/>
              </w:rPr>
            </w:pPr>
            <w:r w:rsidRPr="007F7C8C">
              <w:rPr>
                <w:b/>
                <w:snapToGrid/>
              </w:rPr>
              <w:t>Title 3</w:t>
            </w:r>
          </w:p>
        </w:tc>
      </w:tr>
      <w:tr w:rsidR="009A445C" w:rsidRPr="00754C37" w14:paraId="219D504A" w14:textId="77777777" w:rsidTr="004A144E">
        <w:tc>
          <w:tcPr>
            <w:tcW w:w="2619" w:type="dxa"/>
            <w:shd w:val="clear" w:color="auto" w:fill="auto"/>
            <w:vAlign w:val="center"/>
          </w:tcPr>
          <w:p w14:paraId="0BA47C4B" w14:textId="77777777" w:rsidR="009A445C" w:rsidRPr="00F220D4" w:rsidRDefault="009A445C" w:rsidP="00754C37">
            <w:pPr>
              <w:pStyle w:val="MDPI42tablebody"/>
              <w:spacing w:line="240" w:lineRule="auto"/>
            </w:pPr>
            <w:r w:rsidRPr="00F220D4">
              <w:t>entry 1</w:t>
            </w:r>
          </w:p>
        </w:tc>
        <w:tc>
          <w:tcPr>
            <w:tcW w:w="2619" w:type="dxa"/>
            <w:shd w:val="clear" w:color="auto" w:fill="auto"/>
            <w:vAlign w:val="center"/>
          </w:tcPr>
          <w:p w14:paraId="4040FEAC" w14:textId="77777777" w:rsidR="009A445C" w:rsidRPr="00F220D4" w:rsidRDefault="009A445C" w:rsidP="00754C37">
            <w:pPr>
              <w:pStyle w:val="MDPI42tablebody"/>
              <w:spacing w:line="240" w:lineRule="auto"/>
            </w:pPr>
            <w:r w:rsidRPr="00F220D4">
              <w:t>data</w:t>
            </w:r>
          </w:p>
        </w:tc>
        <w:tc>
          <w:tcPr>
            <w:tcW w:w="2619" w:type="dxa"/>
            <w:shd w:val="clear" w:color="auto" w:fill="auto"/>
            <w:vAlign w:val="center"/>
          </w:tcPr>
          <w:p w14:paraId="1876D385" w14:textId="77777777" w:rsidR="009A445C" w:rsidRPr="00F220D4" w:rsidRDefault="009A445C" w:rsidP="00754C37">
            <w:pPr>
              <w:pStyle w:val="MDPI42tablebody"/>
              <w:spacing w:line="240" w:lineRule="auto"/>
            </w:pPr>
            <w:r w:rsidRPr="00F220D4">
              <w:t>data</w:t>
            </w:r>
          </w:p>
        </w:tc>
      </w:tr>
      <w:tr w:rsidR="009A445C" w:rsidRPr="00754C37" w14:paraId="77BA8A53" w14:textId="77777777" w:rsidTr="004A144E">
        <w:tc>
          <w:tcPr>
            <w:tcW w:w="2619" w:type="dxa"/>
            <w:shd w:val="clear" w:color="auto" w:fill="auto"/>
            <w:vAlign w:val="center"/>
          </w:tcPr>
          <w:p w14:paraId="2B1DD87D" w14:textId="77777777" w:rsidR="009A445C" w:rsidRPr="00F220D4" w:rsidRDefault="009A445C" w:rsidP="00754C37">
            <w:pPr>
              <w:pStyle w:val="MDPI42tablebody"/>
              <w:spacing w:line="240" w:lineRule="auto"/>
            </w:pPr>
            <w:r w:rsidRPr="00F220D4">
              <w:t>entry 2</w:t>
            </w:r>
          </w:p>
        </w:tc>
        <w:tc>
          <w:tcPr>
            <w:tcW w:w="2619" w:type="dxa"/>
            <w:shd w:val="clear" w:color="auto" w:fill="auto"/>
            <w:vAlign w:val="center"/>
          </w:tcPr>
          <w:p w14:paraId="3306F054" w14:textId="77777777" w:rsidR="009A445C" w:rsidRPr="00F220D4" w:rsidRDefault="009A445C" w:rsidP="00754C37">
            <w:pPr>
              <w:pStyle w:val="MDPI42tablebody"/>
              <w:spacing w:line="240" w:lineRule="auto"/>
            </w:pPr>
            <w:r w:rsidRPr="00F220D4">
              <w:t>data</w:t>
            </w:r>
          </w:p>
        </w:tc>
        <w:tc>
          <w:tcPr>
            <w:tcW w:w="2619" w:type="dxa"/>
            <w:shd w:val="clear" w:color="auto" w:fill="auto"/>
            <w:vAlign w:val="center"/>
          </w:tcPr>
          <w:p w14:paraId="2C3E93D8" w14:textId="77777777" w:rsidR="009A445C" w:rsidRPr="00F220D4" w:rsidRDefault="009A445C" w:rsidP="00754C37">
            <w:pPr>
              <w:pStyle w:val="MDPI42tablebody"/>
              <w:spacing w:line="240" w:lineRule="auto"/>
            </w:pPr>
            <w:r w:rsidRPr="00F220D4">
              <w:t xml:space="preserve">data </w:t>
            </w:r>
            <w:r w:rsidRPr="007F7C8C">
              <w:rPr>
                <w:vertAlign w:val="superscript"/>
              </w:rPr>
              <w:t>1</w:t>
            </w:r>
          </w:p>
        </w:tc>
      </w:tr>
    </w:tbl>
    <w:p w14:paraId="4A598F95" w14:textId="77777777" w:rsidR="009A445C" w:rsidRPr="00E06592" w:rsidRDefault="009A445C" w:rsidP="00F040BE">
      <w:pPr>
        <w:pStyle w:val="MDPI43tablefooter"/>
      </w:pPr>
      <w:r w:rsidRPr="00325902">
        <w:rPr>
          <w:vertAlign w:val="superscript"/>
        </w:rPr>
        <w:t>1</w:t>
      </w:r>
      <w:r w:rsidRPr="00325902">
        <w:t xml:space="preserve"> Tables may have a footer.</w:t>
      </w:r>
    </w:p>
    <w:p w14:paraId="68E623AA" w14:textId="77777777" w:rsidR="009A445C" w:rsidRPr="00CB76CF" w:rsidRDefault="009A445C" w:rsidP="00D46C21">
      <w:pPr>
        <w:pStyle w:val="MDPI31text"/>
        <w:spacing w:before="240"/>
      </w:pPr>
      <w:r w:rsidRPr="00CB76CF">
        <w:t>The text continues here</w:t>
      </w:r>
      <w:r>
        <w:t xml:space="preserve"> (Figure </w:t>
      </w:r>
      <w:r w:rsidR="007B128A">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9A445C" w:rsidRPr="00196D5A" w14:paraId="6F90E7BE" w14:textId="77777777" w:rsidTr="00754C37">
        <w:trPr>
          <w:jc w:val="center"/>
        </w:trPr>
        <w:tc>
          <w:tcPr>
            <w:tcW w:w="4057" w:type="dxa"/>
            <w:shd w:val="clear" w:color="auto" w:fill="auto"/>
            <w:vAlign w:val="center"/>
          </w:tcPr>
          <w:p w14:paraId="5FF3171C" w14:textId="77777777" w:rsidR="009A445C" w:rsidRPr="00196D5A" w:rsidRDefault="00D30391" w:rsidP="00E14897">
            <w:pPr>
              <w:pStyle w:val="MDPI52figure"/>
              <w:spacing w:before="0"/>
            </w:pPr>
            <w:bookmarkStart w:id="3" w:name="page3"/>
            <w:bookmarkEnd w:id="3"/>
            <w:r w:rsidRPr="00196D5A">
              <w:rPr>
                <w:noProof/>
              </w:rPr>
              <w:drawing>
                <wp:inline distT="0" distB="0" distL="0" distR="0" wp14:anchorId="18E0717D" wp14:editId="756E9163">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0BCA6BA9" w14:textId="77777777" w:rsidR="009A445C" w:rsidRPr="00196D5A" w:rsidRDefault="00D30391" w:rsidP="00E14897">
            <w:pPr>
              <w:pStyle w:val="MDPI52figure"/>
              <w:spacing w:before="0"/>
            </w:pPr>
            <w:r w:rsidRPr="00196D5A">
              <w:rPr>
                <w:noProof/>
              </w:rPr>
              <w:drawing>
                <wp:inline distT="0" distB="0" distL="0" distR="0" wp14:anchorId="2DCC8006" wp14:editId="19581FC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9A445C" w:rsidRPr="00196D5A" w14:paraId="74DBA5E4" w14:textId="77777777" w:rsidTr="00754C37">
        <w:trPr>
          <w:jc w:val="center"/>
        </w:trPr>
        <w:tc>
          <w:tcPr>
            <w:tcW w:w="4057" w:type="dxa"/>
            <w:shd w:val="clear" w:color="auto" w:fill="auto"/>
            <w:vAlign w:val="center"/>
          </w:tcPr>
          <w:p w14:paraId="25174A74" w14:textId="77777777" w:rsidR="009A445C" w:rsidRPr="00196D5A" w:rsidRDefault="009A445C" w:rsidP="00E14897">
            <w:pPr>
              <w:pStyle w:val="MDPI42tablebody"/>
            </w:pPr>
            <w:r w:rsidRPr="00196D5A">
              <w:t>(</w:t>
            </w:r>
            <w:r w:rsidRPr="00895433">
              <w:rPr>
                <w:b/>
              </w:rPr>
              <w:t>a</w:t>
            </w:r>
            <w:r w:rsidRPr="00196D5A">
              <w:t>)</w:t>
            </w:r>
          </w:p>
        </w:tc>
        <w:tc>
          <w:tcPr>
            <w:tcW w:w="4268" w:type="dxa"/>
          </w:tcPr>
          <w:p w14:paraId="0990034F" w14:textId="77777777" w:rsidR="009A445C" w:rsidRPr="00196D5A" w:rsidRDefault="009A445C" w:rsidP="00E14897">
            <w:pPr>
              <w:pStyle w:val="MDPI42tablebody"/>
            </w:pPr>
            <w:r w:rsidRPr="00196D5A">
              <w:t>(</w:t>
            </w:r>
            <w:r w:rsidRPr="00895433">
              <w:rPr>
                <w:b/>
              </w:rPr>
              <w:t>b</w:t>
            </w:r>
            <w:r w:rsidRPr="00196D5A">
              <w:t>)</w:t>
            </w:r>
          </w:p>
        </w:tc>
      </w:tr>
    </w:tbl>
    <w:p w14:paraId="297824E0" w14:textId="77777777" w:rsidR="009A445C" w:rsidRPr="00FA04F1" w:rsidRDefault="009A445C" w:rsidP="00F040BE">
      <w:pPr>
        <w:pStyle w:val="MDPI51figurecaption"/>
      </w:pPr>
      <w:r w:rsidRPr="00F63A9B">
        <w:rPr>
          <w:b/>
        </w:rPr>
        <w:t xml:space="preserve">Figure 2. </w:t>
      </w:r>
      <w:r w:rsidR="007B128A">
        <w:t>This is a figure.</w:t>
      </w:r>
      <w:r>
        <w:t xml:space="preserve"> </w:t>
      </w:r>
      <w:r w:rsidR="007B128A">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012B6166" w14:textId="77777777" w:rsidR="009A445C" w:rsidRPr="00FA04F1" w:rsidRDefault="009A445C" w:rsidP="00F040BE">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9A445C" w:rsidRPr="00655E61" w14:paraId="08153737" w14:textId="77777777" w:rsidTr="00895895">
        <w:trPr>
          <w:jc w:val="center"/>
        </w:trPr>
        <w:tc>
          <w:tcPr>
            <w:tcW w:w="3256" w:type="dxa"/>
            <w:tcBorders>
              <w:top w:val="single" w:sz="8" w:space="0" w:color="auto"/>
              <w:bottom w:val="single" w:sz="4" w:space="0" w:color="auto"/>
            </w:tcBorders>
            <w:shd w:val="clear" w:color="auto" w:fill="auto"/>
            <w:vAlign w:val="center"/>
          </w:tcPr>
          <w:p w14:paraId="7844261F" w14:textId="77777777" w:rsidR="009A445C" w:rsidRPr="00196D5A" w:rsidRDefault="009A445C" w:rsidP="00754C37">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69776993" w14:textId="77777777" w:rsidR="009A445C" w:rsidRPr="00196D5A" w:rsidRDefault="009A445C" w:rsidP="00754C37">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251A0A97" w14:textId="77777777" w:rsidR="009A445C" w:rsidRPr="00196D5A" w:rsidRDefault="009A445C" w:rsidP="00754C37">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731502B1" w14:textId="77777777" w:rsidR="009A445C" w:rsidRPr="00196D5A" w:rsidRDefault="009A445C" w:rsidP="00754C37">
            <w:pPr>
              <w:pStyle w:val="MDPI42tablebody"/>
              <w:rPr>
                <w:b/>
                <w:bCs/>
              </w:rPr>
            </w:pPr>
            <w:r w:rsidRPr="00196D5A">
              <w:rPr>
                <w:b/>
                <w:bCs/>
              </w:rPr>
              <w:t>Title 4</w:t>
            </w:r>
          </w:p>
        </w:tc>
      </w:tr>
      <w:tr w:rsidR="009A445C" w:rsidRPr="00655E61" w14:paraId="022DD768" w14:textId="77777777" w:rsidTr="00895895">
        <w:trPr>
          <w:jc w:val="center"/>
        </w:trPr>
        <w:tc>
          <w:tcPr>
            <w:tcW w:w="3256" w:type="dxa"/>
            <w:vMerge w:val="restart"/>
            <w:tcBorders>
              <w:top w:val="single" w:sz="4" w:space="0" w:color="auto"/>
            </w:tcBorders>
            <w:shd w:val="clear" w:color="auto" w:fill="auto"/>
            <w:vAlign w:val="center"/>
            <w:hideMark/>
          </w:tcPr>
          <w:p w14:paraId="30F3F6A6" w14:textId="77777777" w:rsidR="009A445C" w:rsidRPr="00655E61" w:rsidRDefault="009A445C" w:rsidP="00754C37">
            <w:pPr>
              <w:pStyle w:val="MDPI42tablebody"/>
            </w:pPr>
            <w:r w:rsidRPr="00655E61">
              <w:t>entry 1</w:t>
            </w:r>
            <w:r w:rsidR="009B312F">
              <w:t xml:space="preserve"> *</w:t>
            </w:r>
          </w:p>
        </w:tc>
        <w:tc>
          <w:tcPr>
            <w:tcW w:w="2551" w:type="dxa"/>
            <w:tcBorders>
              <w:top w:val="single" w:sz="4" w:space="0" w:color="auto"/>
              <w:bottom w:val="nil"/>
            </w:tcBorders>
            <w:shd w:val="clear" w:color="auto" w:fill="auto"/>
            <w:vAlign w:val="center"/>
            <w:hideMark/>
          </w:tcPr>
          <w:p w14:paraId="1A4A0497"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249ED6DF"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7CA5DD75" w14:textId="77777777" w:rsidR="009A445C" w:rsidRPr="00655E61" w:rsidRDefault="009A445C" w:rsidP="00754C37">
            <w:pPr>
              <w:pStyle w:val="MDPI42tablebody"/>
            </w:pPr>
            <w:r w:rsidRPr="00655E61">
              <w:t>data</w:t>
            </w:r>
          </w:p>
        </w:tc>
      </w:tr>
      <w:tr w:rsidR="009A445C" w:rsidRPr="00655E61" w14:paraId="493BB643" w14:textId="77777777" w:rsidTr="00895895">
        <w:trPr>
          <w:jc w:val="center"/>
        </w:trPr>
        <w:tc>
          <w:tcPr>
            <w:tcW w:w="3256" w:type="dxa"/>
            <w:vMerge/>
            <w:shd w:val="clear" w:color="auto" w:fill="auto"/>
            <w:vAlign w:val="center"/>
            <w:hideMark/>
          </w:tcPr>
          <w:p w14:paraId="33AD54AC"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1B96248E"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6A050C70"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5EBB0F02" w14:textId="77777777" w:rsidR="009A445C" w:rsidRPr="00655E61" w:rsidRDefault="009A445C" w:rsidP="00754C37">
            <w:pPr>
              <w:pStyle w:val="MDPI42tablebody"/>
            </w:pPr>
            <w:r w:rsidRPr="00655E61">
              <w:t>data</w:t>
            </w:r>
          </w:p>
        </w:tc>
      </w:tr>
      <w:tr w:rsidR="009A445C" w:rsidRPr="00655E61" w14:paraId="70DBB568" w14:textId="77777777" w:rsidTr="00895895">
        <w:trPr>
          <w:jc w:val="center"/>
        </w:trPr>
        <w:tc>
          <w:tcPr>
            <w:tcW w:w="3256" w:type="dxa"/>
            <w:vMerge/>
            <w:tcBorders>
              <w:bottom w:val="single" w:sz="4" w:space="0" w:color="auto"/>
            </w:tcBorders>
            <w:shd w:val="clear" w:color="auto" w:fill="auto"/>
            <w:vAlign w:val="center"/>
          </w:tcPr>
          <w:p w14:paraId="12CC0FD2"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tcPr>
          <w:p w14:paraId="398798D9"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21FF8118"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62083B66" w14:textId="77777777" w:rsidR="009A445C" w:rsidRPr="00655E61" w:rsidRDefault="009A445C" w:rsidP="00754C37">
            <w:pPr>
              <w:pStyle w:val="MDPI42tablebody"/>
            </w:pPr>
            <w:r w:rsidRPr="00655E61">
              <w:t>data</w:t>
            </w:r>
          </w:p>
        </w:tc>
      </w:tr>
      <w:tr w:rsidR="009A445C" w:rsidRPr="00655E61" w14:paraId="73C413A9" w14:textId="77777777" w:rsidTr="00895895">
        <w:trPr>
          <w:jc w:val="center"/>
        </w:trPr>
        <w:tc>
          <w:tcPr>
            <w:tcW w:w="3256" w:type="dxa"/>
            <w:vMerge w:val="restart"/>
            <w:tcBorders>
              <w:top w:val="single" w:sz="4" w:space="0" w:color="auto"/>
              <w:bottom w:val="nil"/>
            </w:tcBorders>
            <w:shd w:val="clear" w:color="auto" w:fill="auto"/>
            <w:vAlign w:val="center"/>
            <w:hideMark/>
          </w:tcPr>
          <w:p w14:paraId="37CB5290" w14:textId="77777777" w:rsidR="009A445C" w:rsidRPr="00655E61" w:rsidRDefault="009A445C" w:rsidP="00754C37">
            <w:pPr>
              <w:pStyle w:val="MDPI42tablebody"/>
            </w:pPr>
            <w:r w:rsidRPr="00655E61">
              <w:t>entry 2</w:t>
            </w:r>
          </w:p>
        </w:tc>
        <w:tc>
          <w:tcPr>
            <w:tcW w:w="2551" w:type="dxa"/>
            <w:tcBorders>
              <w:top w:val="single" w:sz="4" w:space="0" w:color="auto"/>
              <w:bottom w:val="nil"/>
            </w:tcBorders>
            <w:shd w:val="clear" w:color="auto" w:fill="auto"/>
            <w:vAlign w:val="center"/>
            <w:hideMark/>
          </w:tcPr>
          <w:p w14:paraId="0E2B3ADA"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hideMark/>
          </w:tcPr>
          <w:p w14:paraId="2B7D7D30"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08385290" w14:textId="77777777" w:rsidR="009A445C" w:rsidRPr="00655E61" w:rsidRDefault="009A445C" w:rsidP="00754C37">
            <w:pPr>
              <w:pStyle w:val="MDPI42tablebody"/>
            </w:pPr>
            <w:r w:rsidRPr="00655E61">
              <w:t>data</w:t>
            </w:r>
          </w:p>
        </w:tc>
      </w:tr>
      <w:tr w:rsidR="009A445C" w:rsidRPr="00655E61" w14:paraId="7D8B5D9D" w14:textId="77777777" w:rsidTr="00895895">
        <w:trPr>
          <w:jc w:val="center"/>
        </w:trPr>
        <w:tc>
          <w:tcPr>
            <w:tcW w:w="3256" w:type="dxa"/>
            <w:vMerge/>
            <w:tcBorders>
              <w:top w:val="nil"/>
              <w:bottom w:val="single" w:sz="4" w:space="0" w:color="auto"/>
            </w:tcBorders>
            <w:shd w:val="clear" w:color="auto" w:fill="auto"/>
            <w:vAlign w:val="center"/>
            <w:hideMark/>
          </w:tcPr>
          <w:p w14:paraId="443320D2"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hideMark/>
          </w:tcPr>
          <w:p w14:paraId="787EFDD0"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hideMark/>
          </w:tcPr>
          <w:p w14:paraId="3ADC197C"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28CA8CE1" w14:textId="77777777" w:rsidR="009A445C" w:rsidRPr="00655E61" w:rsidRDefault="009A445C" w:rsidP="00754C37">
            <w:pPr>
              <w:pStyle w:val="MDPI42tablebody"/>
            </w:pPr>
            <w:r w:rsidRPr="00655E61">
              <w:t>data</w:t>
            </w:r>
          </w:p>
        </w:tc>
      </w:tr>
      <w:tr w:rsidR="009A445C" w:rsidRPr="00655E61" w14:paraId="50B7BC27" w14:textId="77777777" w:rsidTr="00895895">
        <w:trPr>
          <w:jc w:val="center"/>
        </w:trPr>
        <w:tc>
          <w:tcPr>
            <w:tcW w:w="3256" w:type="dxa"/>
            <w:vMerge w:val="restart"/>
            <w:tcBorders>
              <w:top w:val="single" w:sz="4" w:space="0" w:color="auto"/>
              <w:bottom w:val="nil"/>
            </w:tcBorders>
            <w:shd w:val="clear" w:color="auto" w:fill="auto"/>
            <w:vAlign w:val="center"/>
            <w:hideMark/>
          </w:tcPr>
          <w:p w14:paraId="669353FB" w14:textId="77777777" w:rsidR="009A445C" w:rsidRPr="00655E61" w:rsidRDefault="009A445C" w:rsidP="00754C37">
            <w:pPr>
              <w:pStyle w:val="MDPI42tablebody"/>
            </w:pPr>
            <w:r w:rsidRPr="00655E61">
              <w:t>entry 3</w:t>
            </w:r>
          </w:p>
        </w:tc>
        <w:tc>
          <w:tcPr>
            <w:tcW w:w="2551" w:type="dxa"/>
            <w:tcBorders>
              <w:top w:val="single" w:sz="4" w:space="0" w:color="auto"/>
              <w:bottom w:val="nil"/>
            </w:tcBorders>
            <w:shd w:val="clear" w:color="auto" w:fill="auto"/>
            <w:vAlign w:val="center"/>
            <w:hideMark/>
          </w:tcPr>
          <w:p w14:paraId="3D09BF71"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hideMark/>
          </w:tcPr>
          <w:p w14:paraId="3A02242C"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7F3288D1" w14:textId="77777777" w:rsidR="009A445C" w:rsidRPr="00655E61" w:rsidRDefault="009A445C" w:rsidP="00754C37">
            <w:pPr>
              <w:pStyle w:val="MDPI42tablebody"/>
            </w:pPr>
            <w:r w:rsidRPr="00655E61">
              <w:t>data</w:t>
            </w:r>
          </w:p>
        </w:tc>
      </w:tr>
      <w:tr w:rsidR="009A445C" w:rsidRPr="00655E61" w14:paraId="179F1EA4" w14:textId="77777777" w:rsidTr="00895895">
        <w:trPr>
          <w:jc w:val="center"/>
        </w:trPr>
        <w:tc>
          <w:tcPr>
            <w:tcW w:w="3256" w:type="dxa"/>
            <w:vMerge/>
            <w:tcBorders>
              <w:top w:val="nil"/>
              <w:bottom w:val="nil"/>
            </w:tcBorders>
            <w:shd w:val="clear" w:color="auto" w:fill="auto"/>
            <w:vAlign w:val="center"/>
            <w:hideMark/>
          </w:tcPr>
          <w:p w14:paraId="33B9F252"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7F91F892"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hideMark/>
          </w:tcPr>
          <w:p w14:paraId="1DF9EF81"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1865E216" w14:textId="77777777" w:rsidR="009A445C" w:rsidRPr="00655E61" w:rsidRDefault="009A445C" w:rsidP="00754C37">
            <w:pPr>
              <w:pStyle w:val="MDPI42tablebody"/>
            </w:pPr>
            <w:r w:rsidRPr="00655E61">
              <w:t>data</w:t>
            </w:r>
          </w:p>
        </w:tc>
      </w:tr>
      <w:tr w:rsidR="009A445C" w:rsidRPr="00655E61" w14:paraId="5D7AB1A4" w14:textId="77777777" w:rsidTr="00895895">
        <w:trPr>
          <w:jc w:val="center"/>
        </w:trPr>
        <w:tc>
          <w:tcPr>
            <w:tcW w:w="3256" w:type="dxa"/>
            <w:vMerge/>
            <w:tcBorders>
              <w:top w:val="nil"/>
              <w:bottom w:val="nil"/>
            </w:tcBorders>
            <w:shd w:val="clear" w:color="auto" w:fill="auto"/>
            <w:vAlign w:val="center"/>
            <w:hideMark/>
          </w:tcPr>
          <w:p w14:paraId="4E673957"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690FAE8C"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hideMark/>
          </w:tcPr>
          <w:p w14:paraId="19A818F0"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60D16E20" w14:textId="77777777" w:rsidR="009A445C" w:rsidRPr="00655E61" w:rsidRDefault="009A445C" w:rsidP="00754C37">
            <w:pPr>
              <w:pStyle w:val="MDPI42tablebody"/>
            </w:pPr>
            <w:r w:rsidRPr="00655E61">
              <w:t>data</w:t>
            </w:r>
          </w:p>
        </w:tc>
      </w:tr>
      <w:tr w:rsidR="009A445C" w:rsidRPr="00655E61" w14:paraId="0A28A28F" w14:textId="77777777" w:rsidTr="00895895">
        <w:trPr>
          <w:jc w:val="center"/>
        </w:trPr>
        <w:tc>
          <w:tcPr>
            <w:tcW w:w="3256" w:type="dxa"/>
            <w:vMerge/>
            <w:tcBorders>
              <w:top w:val="nil"/>
              <w:bottom w:val="single" w:sz="4" w:space="0" w:color="auto"/>
            </w:tcBorders>
            <w:shd w:val="clear" w:color="auto" w:fill="auto"/>
            <w:vAlign w:val="center"/>
            <w:hideMark/>
          </w:tcPr>
          <w:p w14:paraId="46FDCF9F"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hideMark/>
          </w:tcPr>
          <w:p w14:paraId="1212E7F2"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hideMark/>
          </w:tcPr>
          <w:p w14:paraId="7A58F8F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42532113" w14:textId="77777777" w:rsidR="009A445C" w:rsidRPr="00655E61" w:rsidRDefault="009A445C" w:rsidP="00754C37">
            <w:pPr>
              <w:pStyle w:val="MDPI42tablebody"/>
            </w:pPr>
            <w:r w:rsidRPr="00655E61">
              <w:t>data</w:t>
            </w:r>
          </w:p>
        </w:tc>
      </w:tr>
      <w:tr w:rsidR="009A445C" w:rsidRPr="00655E61" w14:paraId="10EC305F" w14:textId="77777777" w:rsidTr="00895895">
        <w:trPr>
          <w:jc w:val="center"/>
        </w:trPr>
        <w:tc>
          <w:tcPr>
            <w:tcW w:w="3256" w:type="dxa"/>
            <w:vMerge w:val="restart"/>
            <w:tcBorders>
              <w:top w:val="single" w:sz="4" w:space="0" w:color="auto"/>
              <w:bottom w:val="nil"/>
            </w:tcBorders>
            <w:shd w:val="clear" w:color="auto" w:fill="auto"/>
            <w:vAlign w:val="center"/>
          </w:tcPr>
          <w:p w14:paraId="53F0F475" w14:textId="77777777" w:rsidR="009A445C" w:rsidRPr="00655E61" w:rsidRDefault="009A445C" w:rsidP="00754C37">
            <w:pPr>
              <w:pStyle w:val="MDPI42tablebody"/>
            </w:pPr>
            <w:r w:rsidRPr="00655E61">
              <w:t>entry 4</w:t>
            </w:r>
          </w:p>
        </w:tc>
        <w:tc>
          <w:tcPr>
            <w:tcW w:w="2551" w:type="dxa"/>
            <w:tcBorders>
              <w:top w:val="single" w:sz="4" w:space="0" w:color="auto"/>
              <w:bottom w:val="nil"/>
            </w:tcBorders>
            <w:shd w:val="clear" w:color="auto" w:fill="auto"/>
            <w:vAlign w:val="center"/>
          </w:tcPr>
          <w:p w14:paraId="5DDF024C"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4F67F6A0"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626D29DF" w14:textId="77777777" w:rsidR="009A445C" w:rsidRPr="00655E61" w:rsidRDefault="009A445C" w:rsidP="00754C37">
            <w:pPr>
              <w:pStyle w:val="MDPI42tablebody"/>
            </w:pPr>
            <w:r w:rsidRPr="00655E61">
              <w:t>data</w:t>
            </w:r>
          </w:p>
        </w:tc>
      </w:tr>
      <w:tr w:rsidR="009A445C" w:rsidRPr="00655E61" w14:paraId="5DAA688E" w14:textId="77777777" w:rsidTr="00895895">
        <w:trPr>
          <w:jc w:val="center"/>
        </w:trPr>
        <w:tc>
          <w:tcPr>
            <w:tcW w:w="3256" w:type="dxa"/>
            <w:vMerge/>
            <w:tcBorders>
              <w:top w:val="nil"/>
              <w:bottom w:val="single" w:sz="4" w:space="0" w:color="auto"/>
            </w:tcBorders>
            <w:shd w:val="clear" w:color="auto" w:fill="auto"/>
            <w:vAlign w:val="center"/>
          </w:tcPr>
          <w:p w14:paraId="5008769D"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tcPr>
          <w:p w14:paraId="6FBB5786"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01199E8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4EE260DA" w14:textId="77777777" w:rsidR="009A445C" w:rsidRPr="00655E61" w:rsidRDefault="009A445C" w:rsidP="00754C37">
            <w:pPr>
              <w:pStyle w:val="MDPI42tablebody"/>
            </w:pPr>
            <w:r w:rsidRPr="00655E61">
              <w:t>data</w:t>
            </w:r>
          </w:p>
        </w:tc>
      </w:tr>
    </w:tbl>
    <w:p w14:paraId="6D7A0153" w14:textId="77777777" w:rsidR="009B312F" w:rsidRDefault="009B312F" w:rsidP="00F040BE">
      <w:pPr>
        <w:pStyle w:val="MDPI43tablefooter"/>
      </w:pPr>
      <w:r>
        <w:t>* Tables may have a footer.</w:t>
      </w:r>
    </w:p>
    <w:p w14:paraId="7C91C303" w14:textId="77777777" w:rsidR="009A445C" w:rsidRPr="00325902" w:rsidRDefault="009A445C" w:rsidP="00CA0A54">
      <w:pPr>
        <w:pStyle w:val="MDPI22heading2"/>
        <w:spacing w:before="240"/>
      </w:pPr>
      <w:r w:rsidRPr="00325902">
        <w:t>3.3. Formatting of Mathematical Components</w:t>
      </w:r>
    </w:p>
    <w:p w14:paraId="7EF33FA6" w14:textId="77777777" w:rsidR="009A445C" w:rsidRDefault="007B128A" w:rsidP="00D46C21">
      <w:pPr>
        <w:pStyle w:val="MDPI31text"/>
      </w:pPr>
      <w:r>
        <w:lastRenderedPageBreak/>
        <w:t>This is example 1 of an equation</w:t>
      </w:r>
      <w:r w:rsidR="009A445C"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9A445C" w:rsidRPr="00754C37" w14:paraId="3CBE1409" w14:textId="77777777" w:rsidTr="00754C37">
        <w:tc>
          <w:tcPr>
            <w:tcW w:w="7428" w:type="dxa"/>
          </w:tcPr>
          <w:p w14:paraId="54DDC35B" w14:textId="77777777" w:rsidR="009A445C" w:rsidRPr="003030D2" w:rsidRDefault="009A445C" w:rsidP="00754C37">
            <w:pPr>
              <w:pStyle w:val="MDPI39equation"/>
            </w:pPr>
            <w:r w:rsidRPr="003030D2">
              <w:t>a = 1,</w:t>
            </w:r>
          </w:p>
        </w:tc>
        <w:tc>
          <w:tcPr>
            <w:tcW w:w="431" w:type="dxa"/>
            <w:vAlign w:val="center"/>
          </w:tcPr>
          <w:p w14:paraId="5A9C643B" w14:textId="77777777" w:rsidR="009A445C" w:rsidRPr="003030D2" w:rsidRDefault="009A445C" w:rsidP="00754C37">
            <w:pPr>
              <w:pStyle w:val="MDPI3aequationnumber"/>
              <w:spacing w:line="260" w:lineRule="atLeast"/>
            </w:pPr>
            <w:r w:rsidRPr="003030D2">
              <w:t>(1)</w:t>
            </w:r>
          </w:p>
        </w:tc>
      </w:tr>
    </w:tbl>
    <w:p w14:paraId="6313669F" w14:textId="77777777" w:rsidR="009A445C" w:rsidRDefault="009A445C" w:rsidP="00D46C21">
      <w:pPr>
        <w:pStyle w:val="MDPI32textnoindent"/>
      </w:pPr>
      <w:proofErr w:type="gramStart"/>
      <w:r w:rsidRPr="007F5918">
        <w:t>the</w:t>
      </w:r>
      <w:proofErr w:type="gramEnd"/>
      <w:r w:rsidRPr="007F5918">
        <w:t xml:space="preserve"> text following an equation need not be a new paragraph. Please punctuate equations as regular text.</w:t>
      </w:r>
    </w:p>
    <w:p w14:paraId="7A54DB4B" w14:textId="77777777" w:rsidR="009A445C" w:rsidRDefault="007B128A" w:rsidP="00D46C21">
      <w:pPr>
        <w:pStyle w:val="MDPI31text"/>
      </w:pPr>
      <w:r>
        <w:t>This is example 2 of an equation</w:t>
      </w:r>
      <w:r w:rsidR="009A445C">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9A445C" w:rsidRPr="00754C37" w14:paraId="376E9B40" w14:textId="77777777" w:rsidTr="00754C37">
        <w:trPr>
          <w:jc w:val="center"/>
        </w:trPr>
        <w:tc>
          <w:tcPr>
            <w:tcW w:w="10036" w:type="dxa"/>
          </w:tcPr>
          <w:p w14:paraId="246DBDEA" w14:textId="77777777" w:rsidR="009A445C" w:rsidRPr="003030D2" w:rsidRDefault="009A445C" w:rsidP="00754C37">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211B829E" w14:textId="77777777" w:rsidR="009A445C" w:rsidRPr="003030D2" w:rsidRDefault="009A445C" w:rsidP="00754C37">
            <w:pPr>
              <w:pStyle w:val="MDPI3aequationnumber"/>
              <w:spacing w:line="260" w:lineRule="atLeast"/>
            </w:pPr>
            <w:r w:rsidRPr="003030D2">
              <w:t>(</w:t>
            </w:r>
            <w:r>
              <w:t>2</w:t>
            </w:r>
            <w:r w:rsidRPr="003030D2">
              <w:t>)</w:t>
            </w:r>
          </w:p>
        </w:tc>
      </w:tr>
    </w:tbl>
    <w:p w14:paraId="2946B467" w14:textId="77777777" w:rsidR="00762893" w:rsidRDefault="009A445C" w:rsidP="00D46C21">
      <w:pPr>
        <w:pStyle w:val="MDPI32textnoindent"/>
      </w:pPr>
      <w:proofErr w:type="gramStart"/>
      <w:r w:rsidRPr="007F5918">
        <w:t>the</w:t>
      </w:r>
      <w:proofErr w:type="gramEnd"/>
      <w:r w:rsidRPr="007F5918">
        <w:t xml:space="preserve"> text following an equation need not be a new paragraph. Please punctuate equations as regular text.</w:t>
      </w:r>
    </w:p>
    <w:p w14:paraId="18839834" w14:textId="77777777" w:rsidR="00762893" w:rsidRPr="005E4148" w:rsidRDefault="00762893" w:rsidP="00D46C21">
      <w:pPr>
        <w:pStyle w:val="MDPI31text"/>
      </w:pPr>
      <w:r w:rsidRPr="005E4148">
        <w:t xml:space="preserve">Theorem-type environments (including propositions, lemmas, corollaries </w:t>
      </w:r>
      <w:r w:rsidRPr="00172493">
        <w:t>etc.</w:t>
      </w:r>
      <w:r w:rsidRPr="005E4148">
        <w:t>) can be formatted as follows:</w:t>
      </w:r>
    </w:p>
    <w:p w14:paraId="0B72D2FE" w14:textId="77777777" w:rsidR="00762893" w:rsidRPr="005E4148" w:rsidRDefault="00762893" w:rsidP="00762893">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62893">
        <w:rPr>
          <w:w w:val="97"/>
          <w:fitText w:val="7938" w:id="-1942189305"/>
        </w:rPr>
        <w:t xml:space="preserve">but should be numbered separately, so a document may contain Theorem 1, Remark </w:t>
      </w:r>
      <w:proofErr w:type="gramStart"/>
      <w:r w:rsidRPr="00762893">
        <w:rPr>
          <w:w w:val="97"/>
          <w:fitText w:val="7938" w:id="-1942189305"/>
        </w:rPr>
        <w:t>1</w:t>
      </w:r>
      <w:proofErr w:type="gramEnd"/>
      <w:r w:rsidRPr="00762893">
        <w:rPr>
          <w:w w:val="97"/>
          <w:fitText w:val="7938" w:id="-1942189305"/>
        </w:rPr>
        <w:t xml:space="preserve"> and Example 1</w:t>
      </w:r>
      <w:r w:rsidRPr="00762893">
        <w:rPr>
          <w:spacing w:val="30"/>
          <w:w w:val="97"/>
          <w:fitText w:val="7938" w:id="-1942189305"/>
        </w:rPr>
        <w:t>.</w:t>
      </w:r>
    </w:p>
    <w:p w14:paraId="4F15146B" w14:textId="77777777" w:rsidR="00762893" w:rsidRPr="005E4148" w:rsidRDefault="00762893" w:rsidP="00D46C21">
      <w:pPr>
        <w:pStyle w:val="MDPI31text"/>
      </w:pPr>
      <w:r w:rsidRPr="005E4148">
        <w:t>The text continues here. Proofs must be formatted as follows:</w:t>
      </w:r>
    </w:p>
    <w:p w14:paraId="76BD24E9" w14:textId="77777777" w:rsidR="00762893" w:rsidRPr="005E4148" w:rsidRDefault="00762893" w:rsidP="004462DA">
      <w:pPr>
        <w:pStyle w:val="MDPI82proof"/>
        <w:spacing w:before="240" w:after="240"/>
      </w:pPr>
      <w:r w:rsidRPr="005E4148">
        <w:rPr>
          <w:b/>
        </w:rPr>
        <w:t>Proof of Theorem 1.</w:t>
      </w:r>
      <w:r w:rsidRPr="005E4148">
        <w:t xml:space="preserve"> Text of the proof. </w:t>
      </w:r>
      <w:r w:rsidR="007B128A">
        <w:t xml:space="preserve">Note that the phrase “of Theorem 1” is optional if it is </w:t>
      </w:r>
      <w:r w:rsidR="00AE033C">
        <w:t>clear which theorem is being re</w:t>
      </w:r>
      <w:r w:rsidR="007B128A">
        <w:t>ferred to</w:t>
      </w:r>
      <w:r w:rsidRPr="005E4148">
        <w:t xml:space="preserve">. Always finish </w:t>
      </w:r>
      <w:proofErr w:type="gramStart"/>
      <w:r w:rsidRPr="005E4148">
        <w:t>a proof</w:t>
      </w:r>
      <w:proofErr w:type="gramEnd"/>
      <w:r w:rsidRPr="005E4148">
        <w:t xml:space="preserve"> with the following symbol. □</w:t>
      </w:r>
    </w:p>
    <w:p w14:paraId="513DE8E4" w14:textId="77777777" w:rsidR="00762893" w:rsidRPr="007F5918" w:rsidRDefault="00762893" w:rsidP="00D46C21">
      <w:pPr>
        <w:pStyle w:val="MDPI31text"/>
      </w:pPr>
      <w:r w:rsidRPr="005E4148">
        <w:t>The text continues here.</w:t>
      </w:r>
    </w:p>
    <w:p w14:paraId="4F1C628C" w14:textId="77777777" w:rsidR="009A445C" w:rsidRPr="00325902" w:rsidRDefault="009A445C" w:rsidP="009A445C">
      <w:pPr>
        <w:pStyle w:val="MDPI21heading1"/>
      </w:pPr>
      <w:r w:rsidRPr="00325902">
        <w:t>4. Discussion</w:t>
      </w:r>
    </w:p>
    <w:p w14:paraId="0EFD6808" w14:textId="77777777" w:rsidR="009A445C" w:rsidRPr="00325902" w:rsidRDefault="009A445C" w:rsidP="00D46C21">
      <w:pPr>
        <w:pStyle w:val="MDPI31text"/>
      </w:pPr>
      <w:r w:rsidRPr="00325902">
        <w:t xml:space="preserve">Authors should discuss the results and how they can be </w:t>
      </w:r>
      <w:r w:rsidR="007B128A">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2A8CC636" w14:textId="77777777" w:rsidR="009A445C" w:rsidRPr="00325902" w:rsidRDefault="009A445C" w:rsidP="00762893">
      <w:pPr>
        <w:pStyle w:val="MDPI21heading1"/>
      </w:pPr>
      <w:r>
        <w:t>5. Conclusions</w:t>
      </w:r>
    </w:p>
    <w:p w14:paraId="759CCE25" w14:textId="77777777" w:rsidR="009A445C" w:rsidRDefault="009A445C" w:rsidP="00D46C21">
      <w:pPr>
        <w:pStyle w:val="MDPI31text"/>
      </w:pPr>
      <w:r w:rsidRPr="00325902">
        <w:t xml:space="preserve">This section is </w:t>
      </w:r>
      <w:r w:rsidR="007B128A">
        <w:t xml:space="preserve">not mandatory but </w:t>
      </w:r>
      <w:r w:rsidRPr="00325902">
        <w:t>can be added to the manuscript if the discussion is unusually long or complex.</w:t>
      </w:r>
    </w:p>
    <w:p w14:paraId="1B9D5B0D" w14:textId="77777777" w:rsidR="009A445C" w:rsidRDefault="009A445C" w:rsidP="009A445C">
      <w:pPr>
        <w:pStyle w:val="MDPI21heading1"/>
      </w:pPr>
      <w:r>
        <w:t>6. Patents</w:t>
      </w:r>
    </w:p>
    <w:p w14:paraId="7EBAD411" w14:textId="77777777" w:rsidR="009A445C" w:rsidRDefault="009A445C" w:rsidP="00D46C21">
      <w:pPr>
        <w:pStyle w:val="MDPI31text"/>
      </w:pPr>
      <w:r>
        <w:t xml:space="preserve">This section is </w:t>
      </w:r>
      <w:r w:rsidR="007B128A">
        <w:t xml:space="preserve">not mandatory but </w:t>
      </w:r>
      <w:r>
        <w:t>may be added if there are patents resulting from the work reported in this manuscript.</w:t>
      </w:r>
    </w:p>
    <w:p w14:paraId="606681EA" w14:textId="77777777" w:rsidR="009A445C" w:rsidRDefault="009A445C" w:rsidP="00CA0A54">
      <w:pPr>
        <w:pStyle w:val="MDPI62BackMatter"/>
        <w:spacing w:before="240"/>
      </w:pPr>
      <w:r w:rsidRPr="00FA04F1">
        <w:rPr>
          <w:b/>
        </w:rPr>
        <w:t>Supplementary Materials:</w:t>
      </w:r>
      <w:r w:rsidR="00F040BE">
        <w:rPr>
          <w:b/>
        </w:rPr>
        <w:t xml:space="preserve"> </w:t>
      </w:r>
      <w:r w:rsidR="00B25A63">
        <w:t>The following supporting information can be downloaded at: www.mdpi.com/xxx/s1, Figure S1: title; Table S1: title; Video S1: title.</w:t>
      </w:r>
    </w:p>
    <w:p w14:paraId="5792E405" w14:textId="77777777" w:rsidR="009A445C" w:rsidRPr="00613B31" w:rsidRDefault="009A445C" w:rsidP="009A445C">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7B128A">
        <w:t xml:space="preserve"> </w:t>
      </w:r>
      <w:r w:rsidR="009E1707">
        <w:t xml:space="preserve">Please turn to the </w:t>
      </w:r>
      <w:hyperlink r:id="rId21" w:history="1">
        <w:proofErr w:type="spellStart"/>
        <w:r w:rsidR="008E5D61">
          <w:rPr>
            <w:rStyle w:val="Hyperlink"/>
          </w:rPr>
          <w:t>CRediT</w:t>
        </w:r>
        <w:proofErr w:type="spellEnd"/>
        <w:r w:rsidR="008E5D61">
          <w:rPr>
            <w:rStyle w:val="Hyperlink"/>
          </w:rPr>
          <w:t xml:space="preserve"> taxonomy</w:t>
        </w:r>
      </w:hyperlink>
      <w:r w:rsidR="009E1707">
        <w:t xml:space="preserve"> </w:t>
      </w:r>
      <w:r w:rsidRPr="00613B31">
        <w:t>for the term explanation. Authorship must be limited to those who have contributed substantially to the work reported.</w:t>
      </w:r>
    </w:p>
    <w:p w14:paraId="394270E1" w14:textId="77777777" w:rsidR="009A445C" w:rsidRPr="00613B31" w:rsidRDefault="009A445C" w:rsidP="009A445C">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7B128A">
        <w:t xml:space="preserve">funding. </w:t>
      </w:r>
      <w:r w:rsidR="009E1707">
        <w:t xml:space="preserve">Any errors may affect your future </w:t>
      </w:r>
      <w:r w:rsidRPr="00613B31">
        <w:t>funding.</w:t>
      </w:r>
    </w:p>
    <w:p w14:paraId="44F13224" w14:textId="77777777" w:rsidR="00BE2DB1" w:rsidRPr="00B27433" w:rsidRDefault="00BE2DB1" w:rsidP="00BE2DB1">
      <w:pPr>
        <w:pStyle w:val="MDPI62BackMatter"/>
        <w:rPr>
          <w:b/>
        </w:rPr>
      </w:pPr>
      <w:bookmarkStart w:id="4" w:name="_Hlk89945590"/>
      <w:bookmarkStart w:id="5" w:name="_Hlk60054323"/>
      <w:r w:rsidRPr="00B27433">
        <w:rPr>
          <w:b/>
        </w:rPr>
        <w:lastRenderedPageBreak/>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w:t>
      </w:r>
      <w:proofErr w:type="gramStart"/>
      <w:r w:rsidRPr="00B27433">
        <w:t>Helsinki, and</w:t>
      </w:r>
      <w:proofErr w:type="gramEnd"/>
      <w:r w:rsidRPr="00B27433">
        <w:t xml:space="preserve"> approved by the Institutional Review Board (or Ethics Committee) of NAME OF INSTITUTE (protocol code XXX and date of approval).” for studies involving humans. OR “The animal study </w:t>
      </w:r>
      <w:r w:rsidR="00F040BE">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4"/>
    <w:p w14:paraId="741D7713" w14:textId="77777777" w:rsidR="00B92231" w:rsidRPr="007D75A8" w:rsidRDefault="00B92231" w:rsidP="00B92231">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6173E7">
        <w:t>Not applicable.</w:t>
      </w:r>
      <w:r w:rsidRPr="007D75A8">
        <w:t>” for studies not involving humans. You might also choose to exclude this statement if the study did not involve humans.</w:t>
      </w:r>
    </w:p>
    <w:p w14:paraId="296E189A" w14:textId="77777777" w:rsidR="00B92231" w:rsidRPr="007D75A8" w:rsidRDefault="00B92231" w:rsidP="00B92231">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5"/>
    <w:p w14:paraId="7FB299CB" w14:textId="77777777" w:rsidR="00277C90" w:rsidRPr="00277C90" w:rsidRDefault="00277C90" w:rsidP="00277C90">
      <w:pPr>
        <w:pStyle w:val="MDPI62BackMatter"/>
      </w:pPr>
      <w:r w:rsidRPr="00277C90">
        <w:rPr>
          <w:b/>
        </w:rPr>
        <w:t>Data Availability Statement:</w:t>
      </w:r>
      <w:r w:rsidRPr="00277C90">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t>
      </w:r>
      <w:proofErr w:type="gramStart"/>
      <w:r w:rsidRPr="00277C90">
        <w:t>were</w:t>
      </w:r>
      <w:proofErr w:type="gramEnd"/>
      <w:r w:rsidRPr="00277C90">
        <w:t xml:space="preserve"> created, or where data is unavailable due to privacy or ethical restrictions, a statement is still required. Suggested Data Availability Statements are available in section “MDPI Research Data Policies” at https://www.mdpi.com/ethics.</w:t>
      </w:r>
    </w:p>
    <w:p w14:paraId="01C2F663" w14:textId="77777777" w:rsidR="009A445C" w:rsidRPr="00613B31" w:rsidRDefault="009A445C" w:rsidP="009A445C">
      <w:pPr>
        <w:pStyle w:val="MDPI62BackMatter"/>
      </w:pPr>
      <w:r w:rsidRPr="00613B31">
        <w:rPr>
          <w:b/>
        </w:rPr>
        <w:t>Acknowledgments:</w:t>
      </w:r>
      <w:r w:rsidRPr="00613B31">
        <w:t xml:space="preserve"> </w:t>
      </w:r>
      <w:r w:rsidR="007B128A">
        <w:t xml:space="preserve">In this section, you can acknowledge </w:t>
      </w:r>
      <w:r w:rsidRPr="00613B31">
        <w:t xml:space="preserve">any support given which is not covered by the </w:t>
      </w:r>
      <w:proofErr w:type="gramStart"/>
      <w:r w:rsidRPr="00613B31">
        <w:t>author</w:t>
      </w:r>
      <w:proofErr w:type="gramEnd"/>
      <w:r w:rsidRPr="00613B31">
        <w:t xml:space="preserve"> contribution or funding sections. This may include administrative and technical support, or donations in kind (e.g., materials used for experiments).</w:t>
      </w:r>
    </w:p>
    <w:p w14:paraId="2F72EE56" w14:textId="77777777" w:rsidR="009A445C" w:rsidRPr="00613B31" w:rsidRDefault="009A445C" w:rsidP="009A445C">
      <w:pPr>
        <w:pStyle w:val="MDPI62BackMatter"/>
      </w:pPr>
      <w:r w:rsidRPr="00613B31">
        <w:rPr>
          <w:b/>
        </w:rPr>
        <w:t>Conflicts of Interest:</w:t>
      </w:r>
      <w:r w:rsidRPr="00613B31">
        <w:t xml:space="preserve"> Declare conflicts of interest or state “The </w:t>
      </w:r>
      <w:r w:rsidR="00221439">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CC17F1">
        <w:t xml:space="preserve">Any role of the funders in the design of the study; in the collection, </w:t>
      </w:r>
      <w:proofErr w:type="gramStart"/>
      <w:r w:rsidR="00CC17F1">
        <w:t>analyses</w:t>
      </w:r>
      <w:proofErr w:type="gramEnd"/>
      <w:r w:rsidR="00CC17F1">
        <w:t xml:space="preserve"> or interpretation of data; in the writing of the manuscript; or in the decision to publish the results must be declared in this section</w:t>
      </w:r>
      <w:r w:rsidRPr="00613B31">
        <w:t>. If there is no role, please state “</w:t>
      </w:r>
      <w:r w:rsidR="00EB0170">
        <w:t>The funders had no role in the design of the study; in the collection, analyses, or interpretation of data; in the writing of the manuscript; or in the decision to publish the results</w:t>
      </w:r>
      <w:r w:rsidRPr="00613B31">
        <w:t>”.</w:t>
      </w:r>
    </w:p>
    <w:p w14:paraId="672E1FD3" w14:textId="77777777" w:rsidR="009A445C" w:rsidRPr="00613B31" w:rsidRDefault="009A445C" w:rsidP="009A445C">
      <w:pPr>
        <w:adjustRightInd w:val="0"/>
        <w:snapToGrid w:val="0"/>
        <w:spacing w:before="240" w:after="60" w:line="228" w:lineRule="auto"/>
        <w:ind w:left="2608"/>
        <w:rPr>
          <w:b/>
          <w:bCs/>
          <w:szCs w:val="18"/>
          <w:lang w:bidi="en-US"/>
        </w:rPr>
      </w:pPr>
      <w:commentRangeStart w:id="6"/>
      <w:commentRangeStart w:id="7"/>
      <w:r w:rsidRPr="00613B31">
        <w:rPr>
          <w:b/>
          <w:bCs/>
          <w:szCs w:val="18"/>
          <w:lang w:bidi="en-US"/>
        </w:rPr>
        <w:t>Appendix A</w:t>
      </w:r>
      <w:commentRangeEnd w:id="6"/>
      <w:r w:rsidR="00B17922">
        <w:rPr>
          <w:rStyle w:val="CommentReference"/>
        </w:rPr>
        <w:commentReference w:id="6"/>
      </w:r>
      <w:commentRangeEnd w:id="7"/>
      <w:r w:rsidR="00371A05">
        <w:rPr>
          <w:rStyle w:val="CommentReference"/>
        </w:rPr>
        <w:commentReference w:id="7"/>
      </w:r>
    </w:p>
    <w:p w14:paraId="6F87D68A" w14:textId="77777777" w:rsidR="009A445C" w:rsidRPr="00613B31" w:rsidRDefault="009A445C" w:rsidP="00D46C21">
      <w:pPr>
        <w:pStyle w:val="MDPI31text"/>
      </w:pPr>
      <w:r w:rsidRPr="00613B31">
        <w:t>The appendix is an optional section that can contain details and data supplemental to the main text</w:t>
      </w:r>
      <w:r w:rsidR="009E1707">
        <w:t xml:space="preserve">—for example, explanations of experimental </w:t>
      </w:r>
      <w:r w:rsidR="007B128A">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93E53C2" w14:textId="77777777" w:rsidR="009A445C" w:rsidRPr="00613B31" w:rsidRDefault="009A445C" w:rsidP="00762893">
      <w:pPr>
        <w:adjustRightInd w:val="0"/>
        <w:snapToGrid w:val="0"/>
        <w:spacing w:before="240" w:after="60" w:line="228" w:lineRule="auto"/>
        <w:ind w:left="2608"/>
        <w:rPr>
          <w:b/>
          <w:bCs/>
          <w:szCs w:val="18"/>
          <w:lang w:bidi="en-US"/>
        </w:rPr>
      </w:pPr>
      <w:r w:rsidRPr="00613B31">
        <w:rPr>
          <w:b/>
          <w:bCs/>
          <w:szCs w:val="18"/>
          <w:lang w:bidi="en-US"/>
        </w:rPr>
        <w:t>Appendix B</w:t>
      </w:r>
    </w:p>
    <w:p w14:paraId="77201B68" w14:textId="77777777" w:rsidR="009A445C" w:rsidRPr="00613B31" w:rsidRDefault="009A445C" w:rsidP="00D46C21">
      <w:pPr>
        <w:pStyle w:val="MDPI31text"/>
      </w:pPr>
      <w:r w:rsidRPr="00613B31">
        <w:t xml:space="preserve">All appendix sections must </w:t>
      </w:r>
      <w:r w:rsidR="007B128A">
        <w:t>be cited in the main text. In the appendices, Figures, Tables, etc. should be labeled starting with “A”—e.g., Figure A1, Figure A2, etc.</w:t>
      </w:r>
    </w:p>
    <w:p w14:paraId="25C84E22" w14:textId="77777777" w:rsidR="009A445C" w:rsidRPr="00FA04F1" w:rsidRDefault="009A445C" w:rsidP="00CA0A54">
      <w:pPr>
        <w:pStyle w:val="MDPI21heading1"/>
        <w:ind w:left="0"/>
      </w:pPr>
      <w:r w:rsidRPr="00FA04F1">
        <w:t>References</w:t>
      </w:r>
    </w:p>
    <w:p w14:paraId="106A30D1" w14:textId="77777777" w:rsidR="009A445C" w:rsidRPr="00325902" w:rsidRDefault="009A445C" w:rsidP="008E5D61">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54DF79D2" w14:textId="77777777" w:rsidR="009A445C" w:rsidRPr="00325902" w:rsidRDefault="009A445C" w:rsidP="008E5D61">
      <w:pPr>
        <w:pStyle w:val="MDPI71References"/>
        <w:numPr>
          <w:ilvl w:val="0"/>
          <w:numId w:val="0"/>
        </w:numPr>
        <w:ind w:left="425"/>
      </w:pPr>
    </w:p>
    <w:p w14:paraId="1C515A76" w14:textId="77777777" w:rsidR="009A445C" w:rsidRPr="00325902" w:rsidRDefault="0057478D" w:rsidP="008E5D61">
      <w:pPr>
        <w:pStyle w:val="MDPI71References"/>
        <w:numPr>
          <w:ilvl w:val="0"/>
          <w:numId w:val="0"/>
        </w:numPr>
        <w:ind w:left="425"/>
      </w:pPr>
      <w:r>
        <w:t>Citations and references in the Supplementary Materials</w:t>
      </w:r>
      <w:r w:rsidR="007B128A">
        <w:t xml:space="preserve"> are permitted </w:t>
      </w:r>
      <w:proofErr w:type="gramStart"/>
      <w:r w:rsidR="009A445C" w:rsidRPr="00325902">
        <w:t>provided that</w:t>
      </w:r>
      <w:proofErr w:type="gramEnd"/>
      <w:r w:rsidR="009A445C" w:rsidRPr="00325902">
        <w:t xml:space="preserve"> they also appear in the reference list here. </w:t>
      </w:r>
    </w:p>
    <w:p w14:paraId="78082D4A" w14:textId="77777777" w:rsidR="009A445C" w:rsidRPr="00325902" w:rsidRDefault="009A445C" w:rsidP="008E5D61">
      <w:pPr>
        <w:pStyle w:val="MDPI71References"/>
        <w:numPr>
          <w:ilvl w:val="0"/>
          <w:numId w:val="0"/>
        </w:numPr>
        <w:ind w:left="425"/>
      </w:pPr>
    </w:p>
    <w:p w14:paraId="6CBE7A93" w14:textId="77777777" w:rsidR="009A445C" w:rsidRPr="00325902" w:rsidRDefault="009A445C" w:rsidP="008E5D61">
      <w:pPr>
        <w:pStyle w:val="MDPI71References"/>
        <w:numPr>
          <w:ilvl w:val="0"/>
          <w:numId w:val="0"/>
        </w:numPr>
        <w:ind w:left="425"/>
      </w:pPr>
      <w:r w:rsidRPr="00325902">
        <w:lastRenderedPageBreak/>
        <w:t xml:space="preserve">In the text, reference numbers should be placed in square brackets </w:t>
      </w:r>
      <w:proofErr w:type="gramStart"/>
      <w:r w:rsidRPr="00325902">
        <w:t>[ ]</w:t>
      </w:r>
      <w:proofErr w:type="gramEnd"/>
      <w:r w:rsidR="007B128A">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62713BA2" w14:textId="77777777" w:rsidR="009A445C" w:rsidRPr="00325902" w:rsidRDefault="009A445C" w:rsidP="008E5D61">
      <w:pPr>
        <w:pStyle w:val="MDPI71References"/>
        <w:numPr>
          <w:ilvl w:val="0"/>
          <w:numId w:val="0"/>
        </w:numPr>
        <w:ind w:left="425"/>
      </w:pPr>
    </w:p>
    <w:p w14:paraId="617BE8C5" w14:textId="1615D2F4" w:rsidR="001E1B4F" w:rsidRDefault="001E1B4F" w:rsidP="009A445C">
      <w:pPr>
        <w:pStyle w:val="MDPI71References"/>
        <w:numPr>
          <w:ilvl w:val="0"/>
          <w:numId w:val="4"/>
        </w:numPr>
        <w:ind w:left="425" w:hanging="425"/>
      </w:pPr>
      <w:proofErr w:type="spellStart"/>
      <w:r w:rsidRPr="001E1B4F">
        <w:t>Phlips</w:t>
      </w:r>
      <w:proofErr w:type="spellEnd"/>
      <w:r w:rsidRPr="001E1B4F">
        <w:t xml:space="preserve">, E.J.; Love, N.; </w:t>
      </w:r>
      <w:proofErr w:type="spellStart"/>
      <w:r w:rsidRPr="001E1B4F">
        <w:t>Badylak</w:t>
      </w:r>
      <w:proofErr w:type="spellEnd"/>
      <w:r w:rsidRPr="001E1B4F">
        <w:t xml:space="preserve">, S.; Hansen, P.; Lockwood, J.; John, C.V.; Gleeson, R. A </w:t>
      </w:r>
      <w:r>
        <w:t xml:space="preserve">Comparison of Water Quality and Hydrodynamic Characteristics of the Guana Tolomato Matanzas National Estuarine Research Reserve and the Indian River Lagoon of Florida. </w:t>
      </w:r>
      <w:r>
        <w:rPr>
          <w:i/>
          <w:iCs/>
        </w:rPr>
        <w:t>J. Coast. Res.</w:t>
      </w:r>
      <w:r>
        <w:t xml:space="preserve"> </w:t>
      </w:r>
      <w:r>
        <w:rPr>
          <w:b/>
          <w:bCs/>
        </w:rPr>
        <w:t>2004</w:t>
      </w:r>
      <w:r>
        <w:t xml:space="preserve">, </w:t>
      </w:r>
      <w:r>
        <w:rPr>
          <w:i/>
          <w:iCs/>
        </w:rPr>
        <w:t>SI 45</w:t>
      </w:r>
      <w:r>
        <w:t>, 93-109.</w:t>
      </w:r>
      <w:r w:rsidR="007366DB">
        <w:t xml:space="preserve"> doi:</w:t>
      </w:r>
      <w:hyperlink r:id="rId22" w:history="1">
        <w:r w:rsidR="007366DB">
          <w:rPr>
            <w:rStyle w:val="Hyperlink"/>
          </w:rPr>
          <w:t>10.2112/SI45-093.1</w:t>
        </w:r>
      </w:hyperlink>
      <w:r w:rsidR="007366DB">
        <w:t>.</w:t>
      </w:r>
    </w:p>
    <w:p w14:paraId="02295799" w14:textId="1014B6DE" w:rsidR="001E1B4F" w:rsidRDefault="001E1B4F" w:rsidP="009A445C">
      <w:pPr>
        <w:pStyle w:val="MDPI71References"/>
        <w:numPr>
          <w:ilvl w:val="0"/>
          <w:numId w:val="4"/>
        </w:numPr>
        <w:ind w:left="425" w:hanging="425"/>
      </w:pPr>
      <w:r>
        <w:t xml:space="preserve">Sheng, Y.P.; Tutak, B.; Davis, J.R.; </w:t>
      </w:r>
      <w:proofErr w:type="spellStart"/>
      <w:r>
        <w:t>Paramygin</w:t>
      </w:r>
      <w:proofErr w:type="spellEnd"/>
      <w:r>
        <w:t xml:space="preserve">, V. Circulation and Flushing in the Lagoonal System of the Guana Tolomato Matanzas National Estuarine Research Reserve (GTMNERR), Florida. </w:t>
      </w:r>
      <w:r>
        <w:rPr>
          <w:i/>
          <w:iCs/>
        </w:rPr>
        <w:t>J. Coast. Res.</w:t>
      </w:r>
      <w:r>
        <w:t xml:space="preserve"> </w:t>
      </w:r>
      <w:r>
        <w:rPr>
          <w:b/>
          <w:bCs/>
        </w:rPr>
        <w:t>2008</w:t>
      </w:r>
      <w:r>
        <w:t xml:space="preserve">, </w:t>
      </w:r>
      <w:r w:rsidR="007366DB">
        <w:rPr>
          <w:i/>
          <w:iCs/>
        </w:rPr>
        <w:t>100</w:t>
      </w:r>
      <w:r>
        <w:rPr>
          <w:i/>
          <w:iCs/>
        </w:rPr>
        <w:t>55</w:t>
      </w:r>
      <w:r>
        <w:t>, 9-25.</w:t>
      </w:r>
      <w:r w:rsidR="007366DB">
        <w:t xml:space="preserve"> doi:</w:t>
      </w:r>
      <w:hyperlink r:id="rId23" w:history="1">
        <w:r w:rsidR="007366DB">
          <w:rPr>
            <w:rStyle w:val="Hyperlink"/>
          </w:rPr>
          <w:t>10.2112/SI55-002.1</w:t>
        </w:r>
      </w:hyperlink>
      <w:r w:rsidR="007366DB">
        <w:t xml:space="preserve"> </w:t>
      </w:r>
    </w:p>
    <w:p w14:paraId="07EFB954" w14:textId="77777777" w:rsidR="009D4A0A" w:rsidRDefault="007D4C3D" w:rsidP="009D4A0A">
      <w:pPr>
        <w:pStyle w:val="MDPI71References"/>
        <w:numPr>
          <w:ilvl w:val="0"/>
          <w:numId w:val="4"/>
        </w:numPr>
        <w:ind w:left="425" w:hanging="425"/>
      </w:pPr>
      <w:r>
        <w:t xml:space="preserve">Gray, M.W.; </w:t>
      </w:r>
      <w:proofErr w:type="spellStart"/>
      <w:r>
        <w:t>Pinton</w:t>
      </w:r>
      <w:proofErr w:type="spellEnd"/>
      <w:r>
        <w:t>, D.; Canestrelli, A.; Dix, N.; Marcum, P.; Kimbro, D.; Grizzle, R. Beyond Residence Time: Quantifying Factors that Drive the Spatially Explicit Filtration Services of and Abundant Native Oyster Population.</w:t>
      </w:r>
      <w:r>
        <w:rPr>
          <w:i/>
          <w:iCs/>
        </w:rPr>
        <w:t xml:space="preserve"> Estuaries and Coasts</w:t>
      </w:r>
      <w:r>
        <w:t xml:space="preserve">. </w:t>
      </w:r>
      <w:r w:rsidR="007366DB">
        <w:rPr>
          <w:b/>
          <w:bCs/>
        </w:rPr>
        <w:t>2022</w:t>
      </w:r>
      <w:r w:rsidR="007366DB">
        <w:t xml:space="preserve">, </w:t>
      </w:r>
      <w:r w:rsidR="007366DB">
        <w:rPr>
          <w:i/>
          <w:iCs/>
        </w:rPr>
        <w:t>45</w:t>
      </w:r>
      <w:r w:rsidR="007366DB">
        <w:t>, 1343–1360, doi:</w:t>
      </w:r>
      <w:hyperlink r:id="rId24" w:history="1">
        <w:r w:rsidR="007366DB">
          <w:rPr>
            <w:rStyle w:val="Hyperlink"/>
          </w:rPr>
          <w:t>10.1007/s12237-021-01017-x</w:t>
        </w:r>
      </w:hyperlink>
      <w:r w:rsidR="007366DB">
        <w:t>.</w:t>
      </w:r>
    </w:p>
    <w:p w14:paraId="56EAC1E9" w14:textId="0061E436" w:rsidR="00D67368" w:rsidRDefault="00D67368" w:rsidP="009D4A0A">
      <w:pPr>
        <w:pStyle w:val="MDPI71References"/>
        <w:numPr>
          <w:ilvl w:val="0"/>
          <w:numId w:val="4"/>
        </w:numPr>
        <w:ind w:left="425" w:hanging="425"/>
      </w:pPr>
      <w:r w:rsidRPr="00D67368">
        <w:t xml:space="preserve">Marcum, P.; Dix, N.; Monroe, M. Guana Tolomato Matanzas National Estuarine Research Reserve 2014-2016 Oyster Monitoring Summary; Guana </w:t>
      </w:r>
      <w:proofErr w:type="spellStart"/>
      <w:r w:rsidRPr="00D67368">
        <w:t>Tolomoto</w:t>
      </w:r>
      <w:proofErr w:type="spellEnd"/>
      <w:r w:rsidRPr="00D67368">
        <w:t xml:space="preserve"> Matanzas National Estuarine Research Reserve, </w:t>
      </w:r>
      <w:r w:rsidRPr="00D67368">
        <w:rPr>
          <w:b/>
          <w:bCs/>
        </w:rPr>
        <w:t>2018</w:t>
      </w:r>
      <w:r w:rsidRPr="00D67368">
        <w:t xml:space="preserve">; p. </w:t>
      </w:r>
      <w:proofErr w:type="gramStart"/>
      <w:r w:rsidRPr="00D67368">
        <w:t>32;.</w:t>
      </w:r>
      <w:proofErr w:type="gramEnd"/>
    </w:p>
    <w:p w14:paraId="2660F7AF" w14:textId="0B84FA2D" w:rsidR="00D67368" w:rsidRDefault="00D67368" w:rsidP="009D4A0A">
      <w:pPr>
        <w:pStyle w:val="MDPI71References"/>
        <w:numPr>
          <w:ilvl w:val="0"/>
          <w:numId w:val="4"/>
        </w:numPr>
        <w:ind w:left="425" w:hanging="425"/>
      </w:pPr>
      <w:r>
        <w:t>NOAA National Estuarine Research Reserve System (NERRS)</w:t>
      </w:r>
      <w:r w:rsidRPr="00D67368">
        <w:t xml:space="preserve">. System-Wide Monitoring Program Data Management Manual, v6.7. Centralized Data Management Office </w:t>
      </w:r>
      <w:r w:rsidRPr="00D67368">
        <w:rPr>
          <w:b/>
          <w:bCs/>
        </w:rPr>
        <w:t>2022</w:t>
      </w:r>
      <w:r w:rsidRPr="00D67368">
        <w:t>, 201.</w:t>
      </w:r>
      <w:r w:rsidR="007C027B">
        <w:t xml:space="preserve"> </w:t>
      </w:r>
      <w:hyperlink r:id="rId25" w:history="1">
        <w:r w:rsidR="007C027B" w:rsidRPr="008F4B40">
          <w:rPr>
            <w:rStyle w:val="Hyperlink"/>
          </w:rPr>
          <w:t>https://cdmo.baruch.sc.edu</w:t>
        </w:r>
      </w:hyperlink>
      <w:r w:rsidR="004E1B69">
        <w:t xml:space="preserve"> </w:t>
      </w:r>
    </w:p>
    <w:p w14:paraId="51DF8065" w14:textId="4C493048" w:rsidR="00D314C8" w:rsidRDefault="00D314C8" w:rsidP="00CA7E44">
      <w:pPr>
        <w:pStyle w:val="MDPI71References"/>
        <w:numPr>
          <w:ilvl w:val="0"/>
          <w:numId w:val="4"/>
        </w:numPr>
        <w:ind w:left="425" w:hanging="425"/>
      </w:pPr>
      <w:r>
        <w:t xml:space="preserve">NOAA National Estuarine Research Reserve System (NERRS). System-Wide Monitoring Program. Centralized Data Management Office. </w:t>
      </w:r>
      <w:r w:rsidR="007C027B">
        <w:t xml:space="preserve">Available on </w:t>
      </w:r>
      <w:hyperlink r:id="rId26" w:history="1">
        <w:r w:rsidR="007C027B" w:rsidRPr="008F4B40">
          <w:rPr>
            <w:rStyle w:val="Hyperlink"/>
          </w:rPr>
          <w:t>https://cdmo.baruch.sc.edu</w:t>
        </w:r>
      </w:hyperlink>
      <w:r w:rsidR="007C027B">
        <w:t xml:space="preserve"> </w:t>
      </w:r>
      <w:r>
        <w:t>(accessed on 31 January 2024)</w:t>
      </w:r>
    </w:p>
    <w:p w14:paraId="783446B4" w14:textId="6DD2FA76" w:rsidR="00CA7E44" w:rsidRDefault="00CA7E44" w:rsidP="00CA7E44">
      <w:pPr>
        <w:pStyle w:val="MDPI71References"/>
        <w:numPr>
          <w:ilvl w:val="0"/>
          <w:numId w:val="4"/>
        </w:numPr>
        <w:ind w:left="425" w:hanging="425"/>
      </w:pPr>
      <w:r w:rsidRPr="007870DA">
        <w:t xml:space="preserve">Rice, E.W.; Baird, R.B.; Eaton, A.D.; Clesceri, L.S. 10200 Chlorophyll. In Standard Methods </w:t>
      </w:r>
      <w:proofErr w:type="gramStart"/>
      <w:r w:rsidRPr="007870DA">
        <w:t>For</w:t>
      </w:r>
      <w:proofErr w:type="gramEnd"/>
      <w:r w:rsidRPr="007870DA">
        <w:t xml:space="preserve"> The Examination of Water and Wastewater; American Public Health Association, American Water Works Association, Water Environment Federation: Port City Press, Baltimore, Maryland, 2012; p. 1496 ISBN 978-0-87553-013-0.</w:t>
      </w:r>
    </w:p>
    <w:p w14:paraId="447BAB54" w14:textId="474E4AB4" w:rsidR="00CA7E44" w:rsidRDefault="00CA7E44" w:rsidP="00CA7E44">
      <w:pPr>
        <w:pStyle w:val="MDPI71References"/>
        <w:numPr>
          <w:ilvl w:val="0"/>
          <w:numId w:val="4"/>
        </w:numPr>
        <w:ind w:left="425" w:hanging="425"/>
      </w:pPr>
      <w:r>
        <w:t xml:space="preserve">R Core Team. R: A Language and Environment for Statistical Computing. </w:t>
      </w:r>
      <w:r w:rsidRPr="00D314C8">
        <w:t>R Foundation</w:t>
      </w:r>
      <w:r w:rsidR="00D314C8" w:rsidRPr="00D314C8">
        <w:t xml:space="preserve"> for Statistical Computing</w:t>
      </w:r>
      <w:r w:rsidR="00D314C8">
        <w:t>: Vienna, Austria, 2023 (</w:t>
      </w:r>
      <w:hyperlink r:id="rId27" w:history="1">
        <w:r w:rsidR="00D314C8" w:rsidRPr="008F4B40">
          <w:rPr>
            <w:rStyle w:val="Hyperlink"/>
          </w:rPr>
          <w:t>https://www.R-project.org/</w:t>
        </w:r>
      </w:hyperlink>
      <w:r w:rsidR="00D314C8">
        <w:t xml:space="preserve">) </w:t>
      </w:r>
    </w:p>
    <w:p w14:paraId="04297F6B" w14:textId="2311AD0A" w:rsidR="00751D1B" w:rsidRDefault="00751D1B" w:rsidP="00751D1B">
      <w:pPr>
        <w:pStyle w:val="MDPI71References"/>
        <w:numPr>
          <w:ilvl w:val="0"/>
          <w:numId w:val="4"/>
        </w:numPr>
        <w:ind w:left="425" w:hanging="425"/>
      </w:pPr>
      <w:r>
        <w:t xml:space="preserve">Beck, M.W. </w:t>
      </w:r>
      <w:proofErr w:type="spellStart"/>
      <w:r>
        <w:t>SWMPr</w:t>
      </w:r>
      <w:proofErr w:type="spellEnd"/>
      <w:r>
        <w:t xml:space="preserve">: An R Package for Retrieving, Organizing, and Analyzing Environmental Data for Estuaries. </w:t>
      </w:r>
      <w:r>
        <w:rPr>
          <w:i/>
          <w:iCs/>
        </w:rPr>
        <w:t>The R Journal</w:t>
      </w:r>
      <w:r>
        <w:t xml:space="preserve"> </w:t>
      </w:r>
      <w:r>
        <w:rPr>
          <w:b/>
          <w:bCs/>
        </w:rPr>
        <w:t>2016</w:t>
      </w:r>
      <w:r>
        <w:rPr>
          <w:i/>
          <w:iCs/>
        </w:rPr>
        <w:t xml:space="preserve">, 8, </w:t>
      </w:r>
      <w:r>
        <w:t xml:space="preserve">219-232. </w:t>
      </w:r>
      <w:proofErr w:type="spellStart"/>
      <w:r>
        <w:t>doi</w:t>
      </w:r>
      <w:proofErr w:type="spellEnd"/>
      <w:r>
        <w:t>:</w:t>
      </w:r>
      <w:r w:rsidRPr="00A52053">
        <w:t xml:space="preserve"> </w:t>
      </w:r>
      <w:hyperlink r:id="rId28" w:history="1">
        <w:r w:rsidRPr="00A52053">
          <w:rPr>
            <w:rStyle w:val="Hyperlink"/>
          </w:rPr>
          <w:t>10.32614/RJ-2016-015</w:t>
        </w:r>
      </w:hyperlink>
    </w:p>
    <w:p w14:paraId="479A8AE7" w14:textId="6DED7123" w:rsidR="009D4A0A" w:rsidRPr="009D4A0A" w:rsidRDefault="009D4A0A" w:rsidP="009D4A0A">
      <w:pPr>
        <w:pStyle w:val="MDPI71References"/>
        <w:numPr>
          <w:ilvl w:val="0"/>
          <w:numId w:val="4"/>
        </w:numPr>
        <w:ind w:left="425" w:hanging="425"/>
      </w:pPr>
      <w:r>
        <w:t xml:space="preserve">Moore, J.F.; Pine, W.E.; Frederick, P.C.; Beck, S.; Moreno, M.; Dodrill, M.J.; Boone, M.; Sturmer, L.; Yurek, S. Trends in Oyster Populations in the Northeastern Gulf of Mexico: An Assessment of River Discharge and Fishing Effects over Time and Space. </w:t>
      </w:r>
      <w:r w:rsidRPr="009D4A0A">
        <w:rPr>
          <w:i/>
          <w:iCs/>
        </w:rPr>
        <w:t>Mar Coast Fish</w:t>
      </w:r>
      <w:r>
        <w:t xml:space="preserve"> </w:t>
      </w:r>
      <w:r w:rsidRPr="009D4A0A">
        <w:rPr>
          <w:b/>
          <w:bCs/>
        </w:rPr>
        <w:t>2020</w:t>
      </w:r>
      <w:r>
        <w:t xml:space="preserve">, </w:t>
      </w:r>
      <w:r w:rsidRPr="009D4A0A">
        <w:rPr>
          <w:i/>
          <w:iCs/>
        </w:rPr>
        <w:t>12</w:t>
      </w:r>
      <w:r>
        <w:t>, 191–204, doi:</w:t>
      </w:r>
      <w:hyperlink r:id="rId29" w:history="1">
        <w:r>
          <w:rPr>
            <w:rStyle w:val="Hyperlink"/>
          </w:rPr>
          <w:t>10.1002/mcf2.10117</w:t>
        </w:r>
      </w:hyperlink>
      <w:r>
        <w:t>.</w:t>
      </w:r>
    </w:p>
    <w:p w14:paraId="537F2FD9" w14:textId="5720AF8B" w:rsidR="009D4A0A" w:rsidRDefault="000E0D82" w:rsidP="009A445C">
      <w:pPr>
        <w:pStyle w:val="MDPI71References"/>
        <w:numPr>
          <w:ilvl w:val="0"/>
          <w:numId w:val="4"/>
        </w:numPr>
        <w:ind w:left="425" w:hanging="425"/>
      </w:pPr>
      <w:r w:rsidRPr="000E0D82">
        <w:t xml:space="preserve">Burnham, K.P.; Anderson, D.R. Model Selection and </w:t>
      </w:r>
      <w:proofErr w:type="spellStart"/>
      <w:r w:rsidRPr="000E0D82">
        <w:t>Multimodel</w:t>
      </w:r>
      <w:proofErr w:type="spellEnd"/>
      <w:r w:rsidRPr="000E0D82">
        <w:t xml:space="preserve"> Inference: A Practical Information-Theoretic Approach; 2nd ed.; Springer</w:t>
      </w:r>
      <w:r>
        <w:t>:</w:t>
      </w:r>
      <w:r w:rsidRPr="000E0D82">
        <w:t xml:space="preserve"> New York, NY,</w:t>
      </w:r>
      <w:r>
        <w:t xml:space="preserve"> USA,</w:t>
      </w:r>
      <w:r w:rsidRPr="000E0D82">
        <w:t xml:space="preserve"> 2002; </w:t>
      </w:r>
      <w:r>
        <w:t xml:space="preserve">pp. 488 </w:t>
      </w:r>
      <w:r w:rsidRPr="000E0D82">
        <w:t>ISBN 978-0-387-95364-9.</w:t>
      </w:r>
    </w:p>
    <w:p w14:paraId="09585828" w14:textId="77777777" w:rsidR="003406F3" w:rsidRDefault="00A47F7F" w:rsidP="003406F3">
      <w:pPr>
        <w:pStyle w:val="MDPI71References"/>
        <w:numPr>
          <w:ilvl w:val="0"/>
          <w:numId w:val="4"/>
        </w:numPr>
        <w:ind w:left="425" w:hanging="425"/>
      </w:pPr>
      <w:r>
        <w:t xml:space="preserve">Brooks, M.E.; Kristensen, K.; van Benthem, K.J.; Magnusson, A.; Berg, C.W.; Nielsen, A.; Skaug, H.J.; </w:t>
      </w:r>
      <w:proofErr w:type="spellStart"/>
      <w:r>
        <w:t>Maechler</w:t>
      </w:r>
      <w:proofErr w:type="spellEnd"/>
      <w:r>
        <w:t xml:space="preserve">, M.; Bolker, B.M. </w:t>
      </w:r>
      <w:proofErr w:type="spellStart"/>
      <w:r>
        <w:t>glmmTMB</w:t>
      </w:r>
      <w:proofErr w:type="spellEnd"/>
      <w:r>
        <w:t xml:space="preserve"> Balances Speed and Flexibility Among Packages for Zero-Inflated Generalized Linear Mixed Modeling. </w:t>
      </w:r>
      <w:r w:rsidRPr="00A47F7F">
        <w:rPr>
          <w:i/>
          <w:iCs/>
        </w:rPr>
        <w:t>The R Journal</w:t>
      </w:r>
      <w:r>
        <w:t xml:space="preserve"> </w:t>
      </w:r>
      <w:r w:rsidRPr="00A47F7F">
        <w:rPr>
          <w:b/>
          <w:bCs/>
        </w:rPr>
        <w:t>2017</w:t>
      </w:r>
      <w:r>
        <w:t xml:space="preserve">, </w:t>
      </w:r>
      <w:r w:rsidRPr="00A47F7F">
        <w:rPr>
          <w:i/>
          <w:iCs/>
        </w:rPr>
        <w:t>9</w:t>
      </w:r>
      <w:r>
        <w:t>, 378–400, doi:</w:t>
      </w:r>
      <w:hyperlink r:id="rId30" w:history="1">
        <w:r>
          <w:rPr>
            <w:rStyle w:val="Hyperlink"/>
          </w:rPr>
          <w:t>10.32614/RJ-2017-066</w:t>
        </w:r>
      </w:hyperlink>
      <w:r>
        <w:t>.</w:t>
      </w:r>
    </w:p>
    <w:p w14:paraId="5654EEB8" w14:textId="77777777" w:rsidR="003B6124" w:rsidRDefault="003406F3" w:rsidP="003406F3">
      <w:pPr>
        <w:pStyle w:val="MDPI71References"/>
        <w:numPr>
          <w:ilvl w:val="0"/>
          <w:numId w:val="4"/>
        </w:numPr>
        <w:ind w:left="425" w:hanging="425"/>
      </w:pPr>
      <w:r w:rsidRPr="003406F3">
        <w:t xml:space="preserve">Lenth, R. </w:t>
      </w:r>
      <w:proofErr w:type="spellStart"/>
      <w:r>
        <w:t>e</w:t>
      </w:r>
      <w:r w:rsidRPr="003406F3">
        <w:t>mmeans</w:t>
      </w:r>
      <w:proofErr w:type="spellEnd"/>
      <w:r w:rsidRPr="003406F3">
        <w:t>: Estimated Marginal Means, Aka Least-Squares Means.</w:t>
      </w:r>
      <w:r>
        <w:t xml:space="preserve"> [R Package </w:t>
      </w:r>
      <w:proofErr w:type="spellStart"/>
      <w:r>
        <w:t>emmeans</w:t>
      </w:r>
      <w:proofErr w:type="spellEnd"/>
      <w:r>
        <w:t xml:space="preserve"> Version 1.10.0]. Available online: </w:t>
      </w:r>
      <w:hyperlink r:id="rId31" w:history="1">
        <w:r w:rsidRPr="00255BC4">
          <w:rPr>
            <w:rStyle w:val="Hyperlink"/>
          </w:rPr>
          <w:t>https://CRAN.R-project.org/package=emmeans</w:t>
        </w:r>
      </w:hyperlink>
      <w:r>
        <w:t xml:space="preserve"> (accessed on 02 February 2024)</w:t>
      </w:r>
    </w:p>
    <w:p w14:paraId="7A4E3C0E" w14:textId="5AF96B81" w:rsidR="003406F3" w:rsidRPr="003406F3" w:rsidRDefault="00A52053" w:rsidP="00A52053">
      <w:pPr>
        <w:pStyle w:val="MDPI71References"/>
        <w:numPr>
          <w:ilvl w:val="0"/>
          <w:numId w:val="4"/>
        </w:numPr>
        <w:ind w:left="425" w:hanging="425"/>
      </w:pPr>
      <w:r>
        <w:t xml:space="preserve"> </w:t>
      </w:r>
    </w:p>
    <w:p w14:paraId="1F1768EB" w14:textId="77777777" w:rsidR="00A47F7F" w:rsidRDefault="00A47F7F" w:rsidP="003406F3">
      <w:pPr>
        <w:pStyle w:val="MDPI71References"/>
        <w:numPr>
          <w:ilvl w:val="0"/>
          <w:numId w:val="0"/>
        </w:numPr>
        <w:ind w:left="425" w:hanging="425"/>
      </w:pPr>
    </w:p>
    <w:p w14:paraId="201A57E7" w14:textId="77777777" w:rsidR="007D4C3D" w:rsidRDefault="007D4C3D" w:rsidP="007D4C3D">
      <w:pPr>
        <w:pStyle w:val="MDPI71References"/>
        <w:numPr>
          <w:ilvl w:val="0"/>
          <w:numId w:val="0"/>
        </w:numPr>
        <w:ind w:left="425" w:hanging="425"/>
      </w:pPr>
    </w:p>
    <w:p w14:paraId="1328C832" w14:textId="553A9518" w:rsidR="007D4C3D" w:rsidRDefault="007D4C3D" w:rsidP="007D4C3D">
      <w:pPr>
        <w:pStyle w:val="MDPI71References"/>
        <w:numPr>
          <w:ilvl w:val="0"/>
          <w:numId w:val="0"/>
        </w:numPr>
        <w:ind w:left="425" w:hanging="425"/>
      </w:pPr>
      <w:r>
        <w:t>EXAMPLES</w:t>
      </w:r>
    </w:p>
    <w:p w14:paraId="2D0994CA" w14:textId="6E8F1519" w:rsidR="009A445C" w:rsidRDefault="009A445C" w:rsidP="009A445C">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639DC22D" w14:textId="77777777" w:rsidR="009A445C" w:rsidRDefault="009A445C" w:rsidP="009A445C">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362F2C6A" w14:textId="77777777" w:rsidR="009A445C" w:rsidRDefault="009A445C" w:rsidP="009A445C">
      <w:pPr>
        <w:pStyle w:val="MDPI71References"/>
        <w:numPr>
          <w:ilvl w:val="0"/>
          <w:numId w:val="4"/>
        </w:numPr>
        <w:ind w:left="425" w:hanging="425"/>
      </w:pPr>
      <w:r>
        <w:t xml:space="preserve">Author 1, A.; Author 2, B. </w:t>
      </w:r>
      <w:r>
        <w:rPr>
          <w:i/>
        </w:rPr>
        <w:t>Book Title</w:t>
      </w:r>
      <w:r>
        <w:t>, 3rd ed.; Publisher: Publisher Location, Country, 2008; pp. 154–196.</w:t>
      </w:r>
    </w:p>
    <w:p w14:paraId="4AC79FD8" w14:textId="77777777" w:rsidR="009A445C" w:rsidRPr="00325902" w:rsidRDefault="009A445C" w:rsidP="009A445C">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B25A63">
        <w:t>year,</w:t>
      </w:r>
      <w:r w:rsidR="00B25A63">
        <w:rPr>
          <w:i/>
        </w:rPr>
        <w:t xml:space="preserve"> phrase indicating stage of publication (submitted; accepted; in press)</w:t>
      </w:r>
      <w:r w:rsidRPr="00325902">
        <w:t>.</w:t>
      </w:r>
    </w:p>
    <w:p w14:paraId="674C0A4B" w14:textId="77777777" w:rsidR="009A445C" w:rsidRPr="00325902" w:rsidRDefault="009A445C" w:rsidP="009A445C">
      <w:pPr>
        <w:pStyle w:val="MDPI71References"/>
        <w:numPr>
          <w:ilvl w:val="0"/>
          <w:numId w:val="3"/>
        </w:numPr>
        <w:ind w:left="425" w:hanging="425"/>
      </w:pPr>
      <w:r w:rsidRPr="00325902">
        <w:t>Author 1, A.B. (University, City, State, Country); Author 2, C. (Institute, City, State, Country). Personal communication, 2012.</w:t>
      </w:r>
    </w:p>
    <w:p w14:paraId="6B33BD81" w14:textId="77777777" w:rsidR="009A445C" w:rsidRPr="00325902" w:rsidRDefault="009A445C" w:rsidP="009A445C">
      <w:pPr>
        <w:pStyle w:val="MDPI71References"/>
        <w:numPr>
          <w:ilvl w:val="0"/>
          <w:numId w:val="3"/>
        </w:numPr>
        <w:ind w:left="425" w:hanging="425"/>
      </w:pPr>
      <w:r w:rsidRPr="00325902">
        <w:t xml:space="preserve">Author 1, A.B.; Author 2, C.D.; Author 3, E.F. Title of Presentation. </w:t>
      </w:r>
      <w:r w:rsidR="00B25A63">
        <w:t>In Proceedings of the Name of the Conference, Location of Conference, Country, Date of Conference (Day Month Year).</w:t>
      </w:r>
    </w:p>
    <w:p w14:paraId="3AF9EB09" w14:textId="77777777" w:rsidR="009A445C" w:rsidRPr="00325902" w:rsidRDefault="009A445C" w:rsidP="009A445C">
      <w:pPr>
        <w:pStyle w:val="MDPI71References"/>
        <w:numPr>
          <w:ilvl w:val="0"/>
          <w:numId w:val="3"/>
        </w:numPr>
        <w:ind w:left="425" w:hanging="425"/>
      </w:pPr>
      <w:r w:rsidRPr="00325902">
        <w:t>Author 1, A.B. Title of Thesis. Level of Thesis, Degree-Granting University, Location of University, Date of Completion.</w:t>
      </w:r>
    </w:p>
    <w:p w14:paraId="20BA84C6" w14:textId="77777777" w:rsidR="00277C90" w:rsidRDefault="009A445C" w:rsidP="009A445C">
      <w:pPr>
        <w:pStyle w:val="MDPI71References"/>
        <w:numPr>
          <w:ilvl w:val="0"/>
          <w:numId w:val="3"/>
        </w:numPr>
        <w:ind w:left="425" w:hanging="425"/>
      </w:pPr>
      <w:r w:rsidRPr="00325902">
        <w:t>Title of Site. Available online: URL (accessed on Day Month Year).</w:t>
      </w:r>
    </w:p>
    <w:p w14:paraId="2E8464DD" w14:textId="77777777" w:rsidR="009A445C" w:rsidRDefault="00277C90" w:rsidP="00277C90">
      <w:pPr>
        <w:pStyle w:val="MDPI63Notes"/>
      </w:pPr>
      <w:r w:rsidRPr="00277C90">
        <w:rPr>
          <w:b/>
        </w:rPr>
        <w:t>Disclaimer/Publisher’s Note:</w:t>
      </w:r>
      <w:r w:rsidRPr="00277C90">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277C90">
        <w:t>instructions</w:t>
      </w:r>
      <w:proofErr w:type="gramEnd"/>
      <w:r w:rsidRPr="00277C90">
        <w:t xml:space="preserve"> or products referred to in the content.</w:t>
      </w:r>
    </w:p>
    <w:p w14:paraId="61FDD8C4" w14:textId="77777777" w:rsidR="007366DB" w:rsidRDefault="007366DB" w:rsidP="00277C90">
      <w:pPr>
        <w:pStyle w:val="MDPI63Notes"/>
      </w:pPr>
    </w:p>
    <w:p w14:paraId="594875FA" w14:textId="77777777" w:rsidR="007366DB" w:rsidRDefault="007366DB" w:rsidP="007366DB">
      <w:pPr>
        <w:spacing w:line="240" w:lineRule="auto"/>
        <w:jc w:val="right"/>
        <w:rPr>
          <w:rFonts w:ascii="Times New Roman" w:hAnsi="Times New Roman"/>
          <w:color w:val="auto"/>
        </w:rPr>
      </w:pPr>
      <w:r>
        <w:t xml:space="preserve">1. </w:t>
      </w:r>
    </w:p>
    <w:p w14:paraId="5CDD8D3E" w14:textId="77777777" w:rsidR="007366DB" w:rsidRPr="00277C90" w:rsidRDefault="007366DB" w:rsidP="00277C90">
      <w:pPr>
        <w:pStyle w:val="MDPI63Notes"/>
      </w:pPr>
    </w:p>
    <w:sectPr w:rsidR="007366DB" w:rsidRPr="00277C90" w:rsidSect="00D32685">
      <w:headerReference w:type="even" r:id="rId32"/>
      <w:headerReference w:type="default" r:id="rId33"/>
      <w:footerReference w:type="default" r:id="rId34"/>
      <w:headerReference w:type="first" r:id="rId35"/>
      <w:footerReference w:type="first" r:id="rId3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w:date="2024-02-01T16:31:00Z" w:initials="S">
    <w:p w14:paraId="74B75BD9" w14:textId="77777777" w:rsidR="00B00050" w:rsidRDefault="00B00050" w:rsidP="00B00050">
      <w:pPr>
        <w:pStyle w:val="CommentText"/>
        <w:jc w:val="left"/>
      </w:pPr>
      <w:r>
        <w:rPr>
          <w:rStyle w:val="CommentReference"/>
        </w:rPr>
        <w:annotationRef/>
      </w:r>
      <w:r>
        <w:t>This is where we should add the map of the tree locations and water quality stations</w:t>
      </w:r>
    </w:p>
  </w:comment>
  <w:comment w:id="1" w:author="Shannon" w:date="2024-02-01T16:40:00Z" w:initials="S">
    <w:p w14:paraId="1FC4FA92" w14:textId="77777777" w:rsidR="00A433F2" w:rsidRDefault="00A433F2" w:rsidP="00A433F2">
      <w:pPr>
        <w:pStyle w:val="CommentText"/>
        <w:jc w:val="left"/>
      </w:pPr>
      <w:r>
        <w:rPr>
          <w:rStyle w:val="CommentReference"/>
        </w:rPr>
        <w:annotationRef/>
      </w:r>
      <w:r>
        <w:t>This is where we should put either a diagram or picture of the spat collector</w:t>
      </w:r>
    </w:p>
  </w:comment>
  <w:comment w:id="2" w:author="Dunnigan, Shannon" w:date="2024-02-01T15:33:00Z" w:initials="SD">
    <w:p w14:paraId="0D7AFF26" w14:textId="51896A18" w:rsidR="00D31EEC" w:rsidRDefault="00D31EEC" w:rsidP="00D31EEC">
      <w:pPr>
        <w:pStyle w:val="CommentText"/>
        <w:jc w:val="left"/>
      </w:pPr>
      <w:r>
        <w:rPr>
          <w:rStyle w:val="CommentReference"/>
        </w:rPr>
        <w:annotationRef/>
      </w:r>
      <w:r>
        <w:t>Need to discuss why. Shortest was October 2017 and longest was January 2017</w:t>
      </w:r>
    </w:p>
  </w:comment>
  <w:comment w:id="6" w:author="Shannon" w:date="2024-02-02T15:07:00Z" w:initials="S">
    <w:p w14:paraId="2622FFD1" w14:textId="77777777" w:rsidR="00B17922" w:rsidRDefault="00B17922" w:rsidP="00B17922">
      <w:pPr>
        <w:pStyle w:val="CommentText"/>
        <w:jc w:val="left"/>
      </w:pPr>
      <w:r>
        <w:rPr>
          <w:rStyle w:val="CommentReference"/>
        </w:rPr>
        <w:annotationRef/>
      </w:r>
      <w:r>
        <w:t>Should we put the ANOVA/Post-hoc tables here?</w:t>
      </w:r>
    </w:p>
  </w:comment>
  <w:comment w:id="7" w:author="Prevost, Hans" w:date="2024-02-06T15:22:00Z" w:initials="HP">
    <w:p w14:paraId="495FBA85" w14:textId="77777777" w:rsidR="00371A05" w:rsidRDefault="00371A05" w:rsidP="00371A05">
      <w:pPr>
        <w:pStyle w:val="CommentText"/>
        <w:jc w:val="left"/>
      </w:pPr>
      <w:r>
        <w:rPr>
          <w:rStyle w:val="CommentReference"/>
        </w:rPr>
        <w:annotationRef/>
      </w:r>
      <w:r>
        <w:t>Yes, that’s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B75BD9" w15:done="0"/>
  <w15:commentEx w15:paraId="1FC4FA92" w15:done="0"/>
  <w15:commentEx w15:paraId="0D7AFF26" w15:done="0"/>
  <w15:commentEx w15:paraId="2622FFD1" w15:done="0"/>
  <w15:commentEx w15:paraId="495FBA85" w15:paraIdParent="2622F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794FE" w16cex:dateUtc="2024-02-01T21:31:00Z"/>
  <w16cex:commentExtensible w16cex:durableId="6959D44C" w16cex:dateUtc="2024-02-01T21:40:00Z"/>
  <w16cex:commentExtensible w16cex:durableId="633F0833" w16cex:dateUtc="2024-02-01T20:33:00Z"/>
  <w16cex:commentExtensible w16cex:durableId="0E0AE1AF" w16cex:dateUtc="2024-02-02T20:07:00Z"/>
  <w16cex:commentExtensible w16cex:durableId="42BDC84E" w16cex:dateUtc="2024-02-06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B75BD9" w16cid:durableId="290794FE"/>
  <w16cid:commentId w16cid:paraId="1FC4FA92" w16cid:durableId="6959D44C"/>
  <w16cid:commentId w16cid:paraId="0D7AFF26" w16cid:durableId="633F0833"/>
  <w16cid:commentId w16cid:paraId="2622FFD1" w16cid:durableId="0E0AE1AF"/>
  <w16cid:commentId w16cid:paraId="495FBA85" w16cid:durableId="42BDC8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E7E0" w14:textId="77777777" w:rsidR="00D32685" w:rsidRDefault="00D32685">
      <w:pPr>
        <w:spacing w:line="240" w:lineRule="auto"/>
      </w:pPr>
      <w:r>
        <w:separator/>
      </w:r>
    </w:p>
  </w:endnote>
  <w:endnote w:type="continuationSeparator" w:id="0">
    <w:p w14:paraId="2E13B215" w14:textId="77777777" w:rsidR="00D32685" w:rsidRDefault="00D32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E4F0"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E900" w14:textId="77777777" w:rsidR="007B21D2" w:rsidRDefault="007B21D2" w:rsidP="00E14897">
    <w:pPr>
      <w:pBdr>
        <w:top w:val="single" w:sz="4" w:space="0" w:color="000000"/>
      </w:pBdr>
      <w:tabs>
        <w:tab w:val="right" w:pos="8844"/>
      </w:tabs>
      <w:adjustRightInd w:val="0"/>
      <w:snapToGrid w:val="0"/>
      <w:spacing w:before="480" w:line="100" w:lineRule="exact"/>
      <w:jc w:val="left"/>
      <w:rPr>
        <w:i/>
        <w:sz w:val="16"/>
        <w:szCs w:val="16"/>
        <w:lang w:val="it-IT"/>
      </w:rPr>
    </w:pPr>
  </w:p>
  <w:p w14:paraId="4C7182F6" w14:textId="77777777" w:rsidR="00FA6861" w:rsidRPr="00372FCD" w:rsidRDefault="00FA6861" w:rsidP="002B6EA5">
    <w:pPr>
      <w:tabs>
        <w:tab w:val="right" w:pos="10466"/>
      </w:tabs>
      <w:adjustRightInd w:val="0"/>
      <w:snapToGrid w:val="0"/>
      <w:spacing w:line="240" w:lineRule="auto"/>
      <w:rPr>
        <w:sz w:val="16"/>
        <w:szCs w:val="16"/>
        <w:lang w:val="fr-CH"/>
      </w:rPr>
    </w:pPr>
    <w:r w:rsidRPr="00A53BAD">
      <w:rPr>
        <w:i/>
        <w:sz w:val="16"/>
        <w:szCs w:val="16"/>
        <w:lang w:val="it-IT"/>
      </w:rPr>
      <w:t xml:space="preserve">J. Mar. Sci. Eng. </w:t>
    </w:r>
    <w:r w:rsidR="005E42B8">
      <w:rPr>
        <w:b/>
        <w:bCs/>
        <w:iCs/>
        <w:sz w:val="16"/>
        <w:szCs w:val="16"/>
        <w:lang w:val="it-IT"/>
      </w:rPr>
      <w:t>2024</w:t>
    </w:r>
    <w:r w:rsidR="00812671" w:rsidRPr="00812671">
      <w:rPr>
        <w:bCs/>
        <w:iCs/>
        <w:sz w:val="16"/>
        <w:szCs w:val="16"/>
        <w:lang w:val="it-IT"/>
      </w:rPr>
      <w:t>,</w:t>
    </w:r>
    <w:r w:rsidR="005E42B8">
      <w:rPr>
        <w:bCs/>
        <w:i/>
        <w:iCs/>
        <w:sz w:val="16"/>
        <w:szCs w:val="16"/>
        <w:lang w:val="it-IT"/>
      </w:rPr>
      <w:t xml:space="preserve"> 12</w:t>
    </w:r>
    <w:r w:rsidR="00812671" w:rsidRPr="00812671">
      <w:rPr>
        <w:bCs/>
        <w:iCs/>
        <w:sz w:val="16"/>
        <w:szCs w:val="16"/>
        <w:lang w:val="it-IT"/>
      </w:rPr>
      <w:t xml:space="preserve">, </w:t>
    </w:r>
    <w:r w:rsidR="00F7266F">
      <w:rPr>
        <w:bCs/>
        <w:iCs/>
        <w:sz w:val="16"/>
        <w:szCs w:val="16"/>
        <w:lang w:val="it-IT"/>
      </w:rPr>
      <w:t>x</w:t>
    </w:r>
    <w:r w:rsidR="007B21D2">
      <w:rPr>
        <w:bCs/>
        <w:iCs/>
        <w:sz w:val="16"/>
        <w:szCs w:val="16"/>
        <w:lang w:val="it-IT"/>
      </w:rPr>
      <w:t>. https://doi.org/10.3390/xxxxx</w:t>
    </w:r>
    <w:r w:rsidR="002B6EA5" w:rsidRPr="00372FCD">
      <w:rPr>
        <w:sz w:val="16"/>
        <w:szCs w:val="16"/>
        <w:lang w:val="fr-CH"/>
      </w:rPr>
      <w:tab/>
    </w:r>
    <w:r w:rsidRPr="00372FCD">
      <w:rPr>
        <w:sz w:val="16"/>
        <w:szCs w:val="16"/>
        <w:lang w:val="fr-CH"/>
      </w:rPr>
      <w:t>www.mdpi.com/journal/</w:t>
    </w:r>
    <w:r w:rsidRPr="00A53BAD">
      <w:rPr>
        <w:sz w:val="16"/>
        <w:szCs w:val="16"/>
        <w:lang w:val="it-IT"/>
      </w:rPr>
      <w:t>jmse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E4128" w14:textId="77777777" w:rsidR="00D32685" w:rsidRDefault="00D32685">
      <w:pPr>
        <w:spacing w:line="240" w:lineRule="auto"/>
      </w:pPr>
      <w:r>
        <w:separator/>
      </w:r>
    </w:p>
  </w:footnote>
  <w:footnote w:type="continuationSeparator" w:id="0">
    <w:p w14:paraId="1D953627" w14:textId="77777777" w:rsidR="00D32685" w:rsidRDefault="00D326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CB3F"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E1132" w14:textId="77777777" w:rsidR="007B21D2" w:rsidRDefault="00FA6861" w:rsidP="002B6EA5">
    <w:pPr>
      <w:tabs>
        <w:tab w:val="right" w:pos="10466"/>
      </w:tabs>
      <w:adjustRightInd w:val="0"/>
      <w:snapToGrid w:val="0"/>
      <w:spacing w:line="240" w:lineRule="auto"/>
      <w:rPr>
        <w:sz w:val="16"/>
      </w:rPr>
    </w:pPr>
    <w:r>
      <w:rPr>
        <w:i/>
        <w:sz w:val="16"/>
      </w:rPr>
      <w:t xml:space="preserve">J. Mar. Sci. Eng. </w:t>
    </w:r>
    <w:r w:rsidR="005E42B8">
      <w:rPr>
        <w:b/>
        <w:sz w:val="16"/>
      </w:rPr>
      <w:t>2024</w:t>
    </w:r>
    <w:r w:rsidR="00812671" w:rsidRPr="00812671">
      <w:rPr>
        <w:sz w:val="16"/>
      </w:rPr>
      <w:t>,</w:t>
    </w:r>
    <w:r w:rsidR="005E42B8">
      <w:rPr>
        <w:i/>
        <w:sz w:val="16"/>
      </w:rPr>
      <w:t xml:space="preserve"> 12</w:t>
    </w:r>
    <w:r w:rsidR="00F7266F">
      <w:rPr>
        <w:sz w:val="16"/>
      </w:rPr>
      <w:t>, x FOR PEER REVIEW</w:t>
    </w:r>
    <w:r w:rsidR="002B6EA5">
      <w:rPr>
        <w:sz w:val="16"/>
      </w:rPr>
      <w:tab/>
    </w:r>
    <w:r w:rsidR="00F7266F">
      <w:rPr>
        <w:sz w:val="16"/>
      </w:rPr>
      <w:fldChar w:fldCharType="begin"/>
    </w:r>
    <w:r w:rsidR="00F7266F">
      <w:rPr>
        <w:sz w:val="16"/>
      </w:rPr>
      <w:instrText xml:space="preserve"> PAGE   \* MERGEFORMAT </w:instrText>
    </w:r>
    <w:r w:rsidR="00F7266F">
      <w:rPr>
        <w:sz w:val="16"/>
      </w:rPr>
      <w:fldChar w:fldCharType="separate"/>
    </w:r>
    <w:r w:rsidR="00AE033C">
      <w:rPr>
        <w:sz w:val="16"/>
      </w:rPr>
      <w:t>5</w:t>
    </w:r>
    <w:r w:rsidR="00F7266F">
      <w:rPr>
        <w:sz w:val="16"/>
      </w:rPr>
      <w:fldChar w:fldCharType="end"/>
    </w:r>
    <w:r w:rsidR="00F7266F">
      <w:rPr>
        <w:sz w:val="16"/>
      </w:rPr>
      <w:t xml:space="preserve"> of </w:t>
    </w:r>
    <w:r w:rsidR="00F7266F">
      <w:rPr>
        <w:sz w:val="16"/>
      </w:rPr>
      <w:fldChar w:fldCharType="begin"/>
    </w:r>
    <w:r w:rsidR="00F7266F">
      <w:rPr>
        <w:sz w:val="16"/>
      </w:rPr>
      <w:instrText xml:space="preserve"> NUMPAGES   \* MERGEFORMAT </w:instrText>
    </w:r>
    <w:r w:rsidR="00F7266F">
      <w:rPr>
        <w:sz w:val="16"/>
      </w:rPr>
      <w:fldChar w:fldCharType="separate"/>
    </w:r>
    <w:r w:rsidR="00AE033C">
      <w:rPr>
        <w:sz w:val="16"/>
      </w:rPr>
      <w:t>5</w:t>
    </w:r>
    <w:r w:rsidR="00F7266F">
      <w:rPr>
        <w:sz w:val="16"/>
      </w:rPr>
      <w:fldChar w:fldCharType="end"/>
    </w:r>
  </w:p>
  <w:p w14:paraId="1436A3A7" w14:textId="77777777" w:rsidR="00FA6861" w:rsidRPr="00E74B43" w:rsidRDefault="00FA6861" w:rsidP="00E1489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7B21D2" w:rsidRPr="002B6EA5" w14:paraId="6AFFAB2F" w14:textId="77777777" w:rsidTr="008F54E3">
      <w:trPr>
        <w:trHeight w:val="686"/>
      </w:trPr>
      <w:tc>
        <w:tcPr>
          <w:tcW w:w="3679" w:type="dxa"/>
          <w:shd w:val="clear" w:color="auto" w:fill="auto"/>
          <w:vAlign w:val="center"/>
        </w:tcPr>
        <w:p w14:paraId="5FF2616F" w14:textId="77777777" w:rsidR="007B21D2" w:rsidRPr="00754C37" w:rsidRDefault="00D30391" w:rsidP="002B6EA5">
          <w:pPr>
            <w:pStyle w:val="Header"/>
            <w:pBdr>
              <w:bottom w:val="none" w:sz="0" w:space="0" w:color="auto"/>
            </w:pBdr>
            <w:jc w:val="left"/>
            <w:rPr>
              <w:rFonts w:eastAsia="DengXian"/>
              <w:b/>
              <w:bCs/>
            </w:rPr>
          </w:pPr>
          <w:r w:rsidRPr="00754C37">
            <w:rPr>
              <w:rFonts w:eastAsia="DengXian"/>
              <w:b/>
              <w:bCs/>
            </w:rPr>
            <w:drawing>
              <wp:inline distT="0" distB="0" distL="0" distR="0" wp14:anchorId="5416E8F3" wp14:editId="0DF3A286">
                <wp:extent cx="1503045" cy="436245"/>
                <wp:effectExtent l="0" t="0" r="0" b="0"/>
                <wp:docPr id="1" name="Picture 3" descr="C:\Users\home\AppData\Local\Temp\HZ$D.082.3337\JM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37\JMS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436245"/>
                        </a:xfrm>
                        <a:prstGeom prst="rect">
                          <a:avLst/>
                        </a:prstGeom>
                        <a:noFill/>
                        <a:ln>
                          <a:noFill/>
                        </a:ln>
                      </pic:spPr>
                    </pic:pic>
                  </a:graphicData>
                </a:graphic>
              </wp:inline>
            </w:drawing>
          </w:r>
        </w:p>
      </w:tc>
      <w:tc>
        <w:tcPr>
          <w:tcW w:w="4535" w:type="dxa"/>
          <w:shd w:val="clear" w:color="auto" w:fill="auto"/>
          <w:vAlign w:val="center"/>
        </w:tcPr>
        <w:p w14:paraId="7090B7A9" w14:textId="77777777" w:rsidR="007B21D2" w:rsidRPr="00754C37" w:rsidRDefault="007B21D2" w:rsidP="002B6EA5">
          <w:pPr>
            <w:pStyle w:val="Header"/>
            <w:pBdr>
              <w:bottom w:val="none" w:sz="0" w:space="0" w:color="auto"/>
            </w:pBdr>
            <w:rPr>
              <w:rFonts w:eastAsia="DengXian"/>
              <w:b/>
              <w:bCs/>
            </w:rPr>
          </w:pPr>
        </w:p>
      </w:tc>
      <w:tc>
        <w:tcPr>
          <w:tcW w:w="2273" w:type="dxa"/>
          <w:shd w:val="clear" w:color="auto" w:fill="auto"/>
          <w:vAlign w:val="center"/>
        </w:tcPr>
        <w:p w14:paraId="7AE2D483" w14:textId="77777777" w:rsidR="007B21D2" w:rsidRPr="00754C37" w:rsidRDefault="008F54E3" w:rsidP="008F54E3">
          <w:pPr>
            <w:pStyle w:val="Header"/>
            <w:pBdr>
              <w:bottom w:val="none" w:sz="0" w:space="0" w:color="auto"/>
            </w:pBdr>
            <w:jc w:val="right"/>
            <w:rPr>
              <w:rFonts w:eastAsia="DengXian"/>
              <w:b/>
              <w:bCs/>
            </w:rPr>
          </w:pPr>
          <w:r>
            <w:rPr>
              <w:rFonts w:eastAsia="DengXian"/>
              <w:b/>
              <w:bCs/>
            </w:rPr>
            <w:drawing>
              <wp:inline distT="0" distB="0" distL="0" distR="0" wp14:anchorId="56AEA5E7" wp14:editId="051F63BE">
                <wp:extent cx="540000" cy="360000"/>
                <wp:effectExtent l="0" t="0" r="0" b="2540"/>
                <wp:docPr id="1202156626" name="Picture 1"/>
                <wp:cNvGraphicFramePr/>
                <a:graphic xmlns:a="http://schemas.openxmlformats.org/drawingml/2006/main">
                  <a:graphicData uri="http://schemas.openxmlformats.org/drawingml/2006/picture">
                    <pic:pic xmlns:pic="http://schemas.openxmlformats.org/drawingml/2006/picture">
                      <pic:nvPicPr>
                        <pic:cNvPr id="1202156626" name=""/>
                        <pic:cNvPicPr/>
                      </pic:nvPicPr>
                      <pic:blipFill>
                        <a:blip r:embed="rId2"/>
                        <a:stretch>
                          <a:fillRect/>
                        </a:stretch>
                      </pic:blipFill>
                      <pic:spPr>
                        <a:xfrm>
                          <a:off x="0" y="0"/>
                          <a:ext cx="540000" cy="360000"/>
                        </a:xfrm>
                        <a:prstGeom prst="rect">
                          <a:avLst/>
                        </a:prstGeom>
                      </pic:spPr>
                    </pic:pic>
                  </a:graphicData>
                </a:graphic>
              </wp:inline>
            </w:drawing>
          </w:r>
        </w:p>
      </w:tc>
    </w:tr>
  </w:tbl>
  <w:p w14:paraId="6D57252E" w14:textId="77777777" w:rsidR="00FA6861" w:rsidRPr="007B21D2" w:rsidRDefault="00FA6861" w:rsidP="00E1489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BAB69230"/>
    <w:lvl w:ilvl="0" w:tplc="3E34B0E4">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36A34"/>
    <w:multiLevelType w:val="hybridMultilevel"/>
    <w:tmpl w:val="D314209E"/>
    <w:lvl w:ilvl="0" w:tplc="B56091CC">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F4BCF"/>
    <w:multiLevelType w:val="hybridMultilevel"/>
    <w:tmpl w:val="2B3E4D74"/>
    <w:lvl w:ilvl="0" w:tplc="D4B0164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E5E35AC"/>
    <w:multiLevelType w:val="hybridMultilevel"/>
    <w:tmpl w:val="CAFCBE8E"/>
    <w:lvl w:ilvl="0" w:tplc="A4B06AE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567365">
    <w:abstractNumId w:val="4"/>
  </w:num>
  <w:num w:numId="2" w16cid:durableId="28604010">
    <w:abstractNumId w:val="6"/>
  </w:num>
  <w:num w:numId="3" w16cid:durableId="1503427616">
    <w:abstractNumId w:val="3"/>
  </w:num>
  <w:num w:numId="4" w16cid:durableId="114565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8028208">
    <w:abstractNumId w:val="5"/>
  </w:num>
  <w:num w:numId="6" w16cid:durableId="2109616495">
    <w:abstractNumId w:val="8"/>
  </w:num>
  <w:num w:numId="7" w16cid:durableId="2092582088">
    <w:abstractNumId w:val="2"/>
  </w:num>
  <w:num w:numId="8" w16cid:durableId="693649069">
    <w:abstractNumId w:val="8"/>
  </w:num>
  <w:num w:numId="9" w16cid:durableId="1885829198">
    <w:abstractNumId w:val="2"/>
  </w:num>
  <w:num w:numId="10" w16cid:durableId="843517836">
    <w:abstractNumId w:val="8"/>
  </w:num>
  <w:num w:numId="11" w16cid:durableId="2038071124">
    <w:abstractNumId w:val="2"/>
  </w:num>
  <w:num w:numId="12" w16cid:durableId="2072843954">
    <w:abstractNumId w:val="9"/>
  </w:num>
  <w:num w:numId="13" w16cid:durableId="1425030251">
    <w:abstractNumId w:val="8"/>
  </w:num>
  <w:num w:numId="14" w16cid:durableId="526798446">
    <w:abstractNumId w:val="2"/>
  </w:num>
  <w:num w:numId="15" w16cid:durableId="1390154235">
    <w:abstractNumId w:val="0"/>
  </w:num>
  <w:num w:numId="16" w16cid:durableId="383481933">
    <w:abstractNumId w:val="7"/>
  </w:num>
  <w:num w:numId="17" w16cid:durableId="614948703">
    <w:abstractNumId w:val="0"/>
  </w:num>
  <w:num w:numId="18" w16cid:durableId="1386636012">
    <w:abstractNumId w:val="8"/>
  </w:num>
  <w:num w:numId="19" w16cid:durableId="671419058">
    <w:abstractNumId w:val="2"/>
  </w:num>
  <w:num w:numId="20" w16cid:durableId="641731949">
    <w:abstractNumId w:val="0"/>
  </w:num>
  <w:num w:numId="21" w16cid:durableId="485436203">
    <w:abstractNumId w:val="1"/>
  </w:num>
  <w:num w:numId="22" w16cid:durableId="1140613643">
    <w:abstractNumId w:val="10"/>
  </w:num>
  <w:num w:numId="23" w16cid:durableId="5283012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w15:presenceInfo w15:providerId="AD" w15:userId="S::Shannon.Dunnigan@dep.state.fl.us::855a10f4-c4e6-4438-a479-e9d285e8a5dc"/>
  </w15:person>
  <w15:person w15:author="Dunnigan, Shannon">
    <w15:presenceInfo w15:providerId="AD" w15:userId="S::Shannon.Dunnigan@dep.state.fl.us::855a10f4-c4e6-4438-a479-e9d285e8a5dc"/>
  </w15:person>
  <w15:person w15:author="Prevost, Hans">
    <w15:presenceInfo w15:providerId="AD" w15:userId="S::Hans.Prevost@FloridaDEP.gov::da75cd18-ea4d-4d9d-8aa9-f0136c9af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FD"/>
    <w:rsid w:val="000075B7"/>
    <w:rsid w:val="00010F28"/>
    <w:rsid w:val="0002547D"/>
    <w:rsid w:val="0005725A"/>
    <w:rsid w:val="000652DC"/>
    <w:rsid w:val="00067BD3"/>
    <w:rsid w:val="000C2A24"/>
    <w:rsid w:val="000C7742"/>
    <w:rsid w:val="000E0D82"/>
    <w:rsid w:val="000F45E8"/>
    <w:rsid w:val="0010747B"/>
    <w:rsid w:val="001143BB"/>
    <w:rsid w:val="0012334A"/>
    <w:rsid w:val="00131BFE"/>
    <w:rsid w:val="00132795"/>
    <w:rsid w:val="00157E7C"/>
    <w:rsid w:val="00177126"/>
    <w:rsid w:val="001838B0"/>
    <w:rsid w:val="001A774C"/>
    <w:rsid w:val="001B4AC4"/>
    <w:rsid w:val="001B776C"/>
    <w:rsid w:val="001B7C04"/>
    <w:rsid w:val="001D00F2"/>
    <w:rsid w:val="001E1B4F"/>
    <w:rsid w:val="001E2AEB"/>
    <w:rsid w:val="001E7677"/>
    <w:rsid w:val="001F193B"/>
    <w:rsid w:val="00217165"/>
    <w:rsid w:val="00221439"/>
    <w:rsid w:val="00226532"/>
    <w:rsid w:val="00226D97"/>
    <w:rsid w:val="00234EF2"/>
    <w:rsid w:val="00237590"/>
    <w:rsid w:val="00276E3A"/>
    <w:rsid w:val="00277C90"/>
    <w:rsid w:val="00282A3D"/>
    <w:rsid w:val="002A4156"/>
    <w:rsid w:val="002A7E0A"/>
    <w:rsid w:val="002B6EA5"/>
    <w:rsid w:val="002D036E"/>
    <w:rsid w:val="002D2B70"/>
    <w:rsid w:val="0030257D"/>
    <w:rsid w:val="00310C53"/>
    <w:rsid w:val="00326141"/>
    <w:rsid w:val="00326F2B"/>
    <w:rsid w:val="00333072"/>
    <w:rsid w:val="003406F3"/>
    <w:rsid w:val="00371A05"/>
    <w:rsid w:val="00391D47"/>
    <w:rsid w:val="00394831"/>
    <w:rsid w:val="003B1A90"/>
    <w:rsid w:val="003B6124"/>
    <w:rsid w:val="003C39A9"/>
    <w:rsid w:val="003C764D"/>
    <w:rsid w:val="003D1449"/>
    <w:rsid w:val="003D2CFE"/>
    <w:rsid w:val="003F4DA0"/>
    <w:rsid w:val="00401D30"/>
    <w:rsid w:val="00405C5A"/>
    <w:rsid w:val="004157AD"/>
    <w:rsid w:val="004462DA"/>
    <w:rsid w:val="004565C6"/>
    <w:rsid w:val="004612D1"/>
    <w:rsid w:val="00461643"/>
    <w:rsid w:val="00466576"/>
    <w:rsid w:val="004750A2"/>
    <w:rsid w:val="0048252C"/>
    <w:rsid w:val="004A144E"/>
    <w:rsid w:val="004A4A3D"/>
    <w:rsid w:val="004C7B4D"/>
    <w:rsid w:val="004E1B69"/>
    <w:rsid w:val="004E4638"/>
    <w:rsid w:val="005332DA"/>
    <w:rsid w:val="00534E89"/>
    <w:rsid w:val="00545F27"/>
    <w:rsid w:val="0057478D"/>
    <w:rsid w:val="00576FD6"/>
    <w:rsid w:val="005865FF"/>
    <w:rsid w:val="005A5FAD"/>
    <w:rsid w:val="005B795A"/>
    <w:rsid w:val="005D144C"/>
    <w:rsid w:val="005E1C78"/>
    <w:rsid w:val="005E42B8"/>
    <w:rsid w:val="005F3142"/>
    <w:rsid w:val="005F7DC2"/>
    <w:rsid w:val="006173E7"/>
    <w:rsid w:val="00634F8A"/>
    <w:rsid w:val="006449F0"/>
    <w:rsid w:val="00647BC3"/>
    <w:rsid w:val="006702E5"/>
    <w:rsid w:val="006722E5"/>
    <w:rsid w:val="00672FC2"/>
    <w:rsid w:val="00692393"/>
    <w:rsid w:val="006A6CEC"/>
    <w:rsid w:val="006C006D"/>
    <w:rsid w:val="006C5F26"/>
    <w:rsid w:val="006C6312"/>
    <w:rsid w:val="006D43FD"/>
    <w:rsid w:val="0070389B"/>
    <w:rsid w:val="00715ADB"/>
    <w:rsid w:val="00717805"/>
    <w:rsid w:val="00721B5A"/>
    <w:rsid w:val="00724C95"/>
    <w:rsid w:val="00726EB1"/>
    <w:rsid w:val="00727027"/>
    <w:rsid w:val="007278EE"/>
    <w:rsid w:val="007366DB"/>
    <w:rsid w:val="00744DDF"/>
    <w:rsid w:val="007451D3"/>
    <w:rsid w:val="00751D1B"/>
    <w:rsid w:val="00754C37"/>
    <w:rsid w:val="007555F2"/>
    <w:rsid w:val="00762893"/>
    <w:rsid w:val="00773E68"/>
    <w:rsid w:val="007824CC"/>
    <w:rsid w:val="00783C5D"/>
    <w:rsid w:val="007870DA"/>
    <w:rsid w:val="0078794A"/>
    <w:rsid w:val="007907E9"/>
    <w:rsid w:val="00792B0D"/>
    <w:rsid w:val="007B128A"/>
    <w:rsid w:val="007B21D2"/>
    <w:rsid w:val="007B6A78"/>
    <w:rsid w:val="007C027B"/>
    <w:rsid w:val="007D2F12"/>
    <w:rsid w:val="007D4C3D"/>
    <w:rsid w:val="007E46E6"/>
    <w:rsid w:val="007F4507"/>
    <w:rsid w:val="007F6D61"/>
    <w:rsid w:val="008055CC"/>
    <w:rsid w:val="00812671"/>
    <w:rsid w:val="00815517"/>
    <w:rsid w:val="00834436"/>
    <w:rsid w:val="00894302"/>
    <w:rsid w:val="00895433"/>
    <w:rsid w:val="00895895"/>
    <w:rsid w:val="008965CE"/>
    <w:rsid w:val="008A58CA"/>
    <w:rsid w:val="008D277A"/>
    <w:rsid w:val="008E4521"/>
    <w:rsid w:val="008E5D61"/>
    <w:rsid w:val="008F54E3"/>
    <w:rsid w:val="00904381"/>
    <w:rsid w:val="00926CDC"/>
    <w:rsid w:val="00926E8F"/>
    <w:rsid w:val="009349DC"/>
    <w:rsid w:val="00946F7C"/>
    <w:rsid w:val="00962632"/>
    <w:rsid w:val="0098020D"/>
    <w:rsid w:val="00982766"/>
    <w:rsid w:val="009A445C"/>
    <w:rsid w:val="009B312F"/>
    <w:rsid w:val="009D3ACF"/>
    <w:rsid w:val="009D4A0A"/>
    <w:rsid w:val="009D7400"/>
    <w:rsid w:val="009E1707"/>
    <w:rsid w:val="009F70E6"/>
    <w:rsid w:val="00A05D40"/>
    <w:rsid w:val="00A17F6A"/>
    <w:rsid w:val="00A433F2"/>
    <w:rsid w:val="00A443D9"/>
    <w:rsid w:val="00A47F7F"/>
    <w:rsid w:val="00A52053"/>
    <w:rsid w:val="00A76B6D"/>
    <w:rsid w:val="00A873FA"/>
    <w:rsid w:val="00A9758F"/>
    <w:rsid w:val="00AC595D"/>
    <w:rsid w:val="00AE033C"/>
    <w:rsid w:val="00AF2548"/>
    <w:rsid w:val="00B00050"/>
    <w:rsid w:val="00B155F3"/>
    <w:rsid w:val="00B17922"/>
    <w:rsid w:val="00B25A63"/>
    <w:rsid w:val="00B42085"/>
    <w:rsid w:val="00B55159"/>
    <w:rsid w:val="00B75DB3"/>
    <w:rsid w:val="00B7663B"/>
    <w:rsid w:val="00B80854"/>
    <w:rsid w:val="00B873A6"/>
    <w:rsid w:val="00B92231"/>
    <w:rsid w:val="00B97E6A"/>
    <w:rsid w:val="00BA09E3"/>
    <w:rsid w:val="00BC1B34"/>
    <w:rsid w:val="00BD070C"/>
    <w:rsid w:val="00BE2DB1"/>
    <w:rsid w:val="00C21ED6"/>
    <w:rsid w:val="00C26592"/>
    <w:rsid w:val="00C27A85"/>
    <w:rsid w:val="00C33D99"/>
    <w:rsid w:val="00C5613C"/>
    <w:rsid w:val="00CA0A54"/>
    <w:rsid w:val="00CA7DF9"/>
    <w:rsid w:val="00CA7E44"/>
    <w:rsid w:val="00CC17F1"/>
    <w:rsid w:val="00CC7616"/>
    <w:rsid w:val="00CD2B43"/>
    <w:rsid w:val="00CD5EBE"/>
    <w:rsid w:val="00CF3E5E"/>
    <w:rsid w:val="00CF5B95"/>
    <w:rsid w:val="00D05994"/>
    <w:rsid w:val="00D154A3"/>
    <w:rsid w:val="00D15FAC"/>
    <w:rsid w:val="00D30391"/>
    <w:rsid w:val="00D314C8"/>
    <w:rsid w:val="00D31EEC"/>
    <w:rsid w:val="00D32494"/>
    <w:rsid w:val="00D32685"/>
    <w:rsid w:val="00D32C43"/>
    <w:rsid w:val="00D46C21"/>
    <w:rsid w:val="00D47AB6"/>
    <w:rsid w:val="00D67368"/>
    <w:rsid w:val="00D77B5F"/>
    <w:rsid w:val="00D8479D"/>
    <w:rsid w:val="00D870BC"/>
    <w:rsid w:val="00D931AA"/>
    <w:rsid w:val="00D95B91"/>
    <w:rsid w:val="00DB5A3C"/>
    <w:rsid w:val="00DE076D"/>
    <w:rsid w:val="00DE1187"/>
    <w:rsid w:val="00DE2D43"/>
    <w:rsid w:val="00DF3B95"/>
    <w:rsid w:val="00E14897"/>
    <w:rsid w:val="00E20F8A"/>
    <w:rsid w:val="00E468FC"/>
    <w:rsid w:val="00E60986"/>
    <w:rsid w:val="00E6444E"/>
    <w:rsid w:val="00E71EA8"/>
    <w:rsid w:val="00E90660"/>
    <w:rsid w:val="00E939AE"/>
    <w:rsid w:val="00EA760A"/>
    <w:rsid w:val="00EB0170"/>
    <w:rsid w:val="00EC1E80"/>
    <w:rsid w:val="00EC434A"/>
    <w:rsid w:val="00ED10B4"/>
    <w:rsid w:val="00F040BE"/>
    <w:rsid w:val="00F118F3"/>
    <w:rsid w:val="00F15E1D"/>
    <w:rsid w:val="00F2618B"/>
    <w:rsid w:val="00F7266F"/>
    <w:rsid w:val="00F77548"/>
    <w:rsid w:val="00F80ABE"/>
    <w:rsid w:val="00F963E8"/>
    <w:rsid w:val="00F9793E"/>
    <w:rsid w:val="00FA24C3"/>
    <w:rsid w:val="00FA6861"/>
    <w:rsid w:val="00FF41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255086"/>
  <w15:chartTrackingRefBased/>
  <w15:docId w15:val="{75F22F47-0B4C-4BFF-8918-761B5B6D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45C"/>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9A445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9A445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9A445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9A445C"/>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9A445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9A445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9A445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9A445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A445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A445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A445C"/>
    <w:rPr>
      <w:rFonts w:ascii="Palatino Linotype" w:hAnsi="Palatino Linotype"/>
      <w:noProof/>
      <w:color w:val="000000"/>
      <w:szCs w:val="18"/>
    </w:rPr>
  </w:style>
  <w:style w:type="paragraph" w:styleId="Header">
    <w:name w:val="header"/>
    <w:basedOn w:val="Normal"/>
    <w:link w:val="HeaderChar"/>
    <w:uiPriority w:val="99"/>
    <w:rsid w:val="009A445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A445C"/>
    <w:rPr>
      <w:rFonts w:ascii="Palatino Linotype" w:hAnsi="Palatino Linotype"/>
      <w:noProof/>
      <w:color w:val="000000"/>
      <w:szCs w:val="18"/>
    </w:rPr>
  </w:style>
  <w:style w:type="paragraph" w:customStyle="1" w:styleId="MDPIheaderjournallogo">
    <w:name w:val="MDPI_header_journal_logo"/>
    <w:qFormat/>
    <w:rsid w:val="009A445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9A445C"/>
    <w:pPr>
      <w:ind w:firstLine="0"/>
    </w:pPr>
  </w:style>
  <w:style w:type="paragraph" w:customStyle="1" w:styleId="MDPI31text">
    <w:name w:val="MDPI_3.1_text"/>
    <w:qFormat/>
    <w:rsid w:val="0012334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9A445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9A445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9A445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6C006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6C006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9A445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9A445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9A445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154A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9A445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9A445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9A445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9A445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9A445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9A445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E5D61"/>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A445C"/>
    <w:rPr>
      <w:rFonts w:cs="Tahoma"/>
      <w:szCs w:val="18"/>
    </w:rPr>
  </w:style>
  <w:style w:type="character" w:customStyle="1" w:styleId="BalloonTextChar">
    <w:name w:val="Balloon Text Char"/>
    <w:link w:val="BalloonText"/>
    <w:uiPriority w:val="99"/>
    <w:rsid w:val="009A445C"/>
    <w:rPr>
      <w:rFonts w:ascii="Palatino Linotype" w:hAnsi="Palatino Linotype" w:cs="Tahoma"/>
      <w:noProof/>
      <w:color w:val="000000"/>
      <w:szCs w:val="18"/>
    </w:rPr>
  </w:style>
  <w:style w:type="character" w:styleId="LineNumber">
    <w:name w:val="line number"/>
    <w:uiPriority w:val="99"/>
    <w:rsid w:val="00895895"/>
    <w:rPr>
      <w:rFonts w:ascii="Palatino Linotype" w:hAnsi="Palatino Linotype"/>
      <w:sz w:val="16"/>
    </w:rPr>
  </w:style>
  <w:style w:type="table" w:customStyle="1" w:styleId="MDPI41threelinetable">
    <w:name w:val="MDPI_4.1_three_line_table"/>
    <w:basedOn w:val="TableNormal"/>
    <w:uiPriority w:val="99"/>
    <w:rsid w:val="009A445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A445C"/>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9A445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9A445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9A445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9A445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9A445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9A445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9B312F"/>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9A445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9A445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9A445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C5F2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9A445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9A445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9A445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9A445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9A445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9A445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9A445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9A445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9A445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9A445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A445C"/>
  </w:style>
  <w:style w:type="paragraph" w:styleId="Bibliography">
    <w:name w:val="Bibliography"/>
    <w:basedOn w:val="Normal"/>
    <w:next w:val="Normal"/>
    <w:uiPriority w:val="37"/>
    <w:semiHidden/>
    <w:unhideWhenUsed/>
    <w:rsid w:val="009A445C"/>
  </w:style>
  <w:style w:type="paragraph" w:styleId="BodyText">
    <w:name w:val="Body Text"/>
    <w:link w:val="BodyTextChar"/>
    <w:rsid w:val="009A445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A445C"/>
    <w:rPr>
      <w:rFonts w:ascii="Palatino Linotype" w:hAnsi="Palatino Linotype"/>
      <w:color w:val="000000"/>
      <w:sz w:val="24"/>
      <w:lang w:eastAsia="de-DE"/>
    </w:rPr>
  </w:style>
  <w:style w:type="character" w:styleId="CommentReference">
    <w:name w:val="annotation reference"/>
    <w:rsid w:val="009A445C"/>
    <w:rPr>
      <w:sz w:val="21"/>
      <w:szCs w:val="21"/>
    </w:rPr>
  </w:style>
  <w:style w:type="paragraph" w:styleId="CommentText">
    <w:name w:val="annotation text"/>
    <w:basedOn w:val="Normal"/>
    <w:link w:val="CommentTextChar"/>
    <w:rsid w:val="009A445C"/>
  </w:style>
  <w:style w:type="character" w:customStyle="1" w:styleId="CommentTextChar">
    <w:name w:val="Comment Text Char"/>
    <w:link w:val="CommentText"/>
    <w:rsid w:val="009A445C"/>
    <w:rPr>
      <w:rFonts w:ascii="Palatino Linotype" w:hAnsi="Palatino Linotype"/>
      <w:noProof/>
      <w:color w:val="000000"/>
    </w:rPr>
  </w:style>
  <w:style w:type="paragraph" w:styleId="CommentSubject">
    <w:name w:val="annotation subject"/>
    <w:basedOn w:val="CommentText"/>
    <w:next w:val="CommentText"/>
    <w:link w:val="CommentSubjectChar"/>
    <w:rsid w:val="009A445C"/>
    <w:rPr>
      <w:b/>
      <w:bCs/>
    </w:rPr>
  </w:style>
  <w:style w:type="character" w:customStyle="1" w:styleId="CommentSubjectChar">
    <w:name w:val="Comment Subject Char"/>
    <w:link w:val="CommentSubject"/>
    <w:rsid w:val="009A445C"/>
    <w:rPr>
      <w:rFonts w:ascii="Palatino Linotype" w:hAnsi="Palatino Linotype"/>
      <w:b/>
      <w:bCs/>
      <w:noProof/>
      <w:color w:val="000000"/>
    </w:rPr>
  </w:style>
  <w:style w:type="character" w:styleId="EndnoteReference">
    <w:name w:val="endnote reference"/>
    <w:rsid w:val="009A445C"/>
    <w:rPr>
      <w:vertAlign w:val="superscript"/>
    </w:rPr>
  </w:style>
  <w:style w:type="paragraph" w:styleId="EndnoteText">
    <w:name w:val="endnote text"/>
    <w:basedOn w:val="Normal"/>
    <w:link w:val="EndnoteTextChar"/>
    <w:semiHidden/>
    <w:unhideWhenUsed/>
    <w:rsid w:val="009A445C"/>
    <w:pPr>
      <w:spacing w:line="240" w:lineRule="auto"/>
    </w:pPr>
  </w:style>
  <w:style w:type="character" w:customStyle="1" w:styleId="EndnoteTextChar">
    <w:name w:val="Endnote Text Char"/>
    <w:link w:val="EndnoteText"/>
    <w:semiHidden/>
    <w:rsid w:val="009A445C"/>
    <w:rPr>
      <w:rFonts w:ascii="Palatino Linotype" w:hAnsi="Palatino Linotype"/>
      <w:noProof/>
      <w:color w:val="000000"/>
    </w:rPr>
  </w:style>
  <w:style w:type="character" w:styleId="FollowedHyperlink">
    <w:name w:val="FollowedHyperlink"/>
    <w:rsid w:val="009A445C"/>
    <w:rPr>
      <w:color w:val="954F72"/>
      <w:u w:val="single"/>
    </w:rPr>
  </w:style>
  <w:style w:type="paragraph" w:styleId="FootnoteText">
    <w:name w:val="footnote text"/>
    <w:basedOn w:val="Normal"/>
    <w:link w:val="FootnoteTextChar"/>
    <w:semiHidden/>
    <w:unhideWhenUsed/>
    <w:rsid w:val="009A445C"/>
    <w:pPr>
      <w:spacing w:line="240" w:lineRule="auto"/>
    </w:pPr>
  </w:style>
  <w:style w:type="character" w:customStyle="1" w:styleId="FootnoteTextChar">
    <w:name w:val="Footnote Text Char"/>
    <w:link w:val="FootnoteText"/>
    <w:semiHidden/>
    <w:rsid w:val="009A445C"/>
    <w:rPr>
      <w:rFonts w:ascii="Palatino Linotype" w:hAnsi="Palatino Linotype"/>
      <w:noProof/>
      <w:color w:val="000000"/>
    </w:rPr>
  </w:style>
  <w:style w:type="paragraph" w:styleId="NormalWeb">
    <w:name w:val="Normal (Web)"/>
    <w:basedOn w:val="Normal"/>
    <w:uiPriority w:val="99"/>
    <w:rsid w:val="009A445C"/>
    <w:rPr>
      <w:szCs w:val="24"/>
    </w:rPr>
  </w:style>
  <w:style w:type="paragraph" w:customStyle="1" w:styleId="MsoFootnoteText0">
    <w:name w:val="MsoFootnoteText"/>
    <w:basedOn w:val="NormalWeb"/>
    <w:qFormat/>
    <w:rsid w:val="009A445C"/>
    <w:rPr>
      <w:rFonts w:ascii="Times New Roman" w:hAnsi="Times New Roman"/>
    </w:rPr>
  </w:style>
  <w:style w:type="character" w:styleId="PageNumber">
    <w:name w:val="page number"/>
    <w:rsid w:val="009A445C"/>
  </w:style>
  <w:style w:type="character" w:styleId="PlaceholderText">
    <w:name w:val="Placeholder Text"/>
    <w:uiPriority w:val="99"/>
    <w:semiHidden/>
    <w:rsid w:val="009A445C"/>
    <w:rPr>
      <w:color w:val="808080"/>
    </w:rPr>
  </w:style>
  <w:style w:type="paragraph" w:customStyle="1" w:styleId="MDPI71FootNotes">
    <w:name w:val="MDPI_7.1_FootNotes"/>
    <w:qFormat/>
    <w:rsid w:val="00BE2DB1"/>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9D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5754">
      <w:bodyDiv w:val="1"/>
      <w:marLeft w:val="0"/>
      <w:marRight w:val="0"/>
      <w:marTop w:val="0"/>
      <w:marBottom w:val="0"/>
      <w:divBdr>
        <w:top w:val="none" w:sz="0" w:space="0" w:color="auto"/>
        <w:left w:val="none" w:sz="0" w:space="0" w:color="auto"/>
        <w:bottom w:val="none" w:sz="0" w:space="0" w:color="auto"/>
        <w:right w:val="none" w:sz="0" w:space="0" w:color="auto"/>
      </w:divBdr>
    </w:div>
    <w:div w:id="272134196">
      <w:bodyDiv w:val="1"/>
      <w:marLeft w:val="0"/>
      <w:marRight w:val="0"/>
      <w:marTop w:val="0"/>
      <w:marBottom w:val="0"/>
      <w:divBdr>
        <w:top w:val="none" w:sz="0" w:space="0" w:color="auto"/>
        <w:left w:val="none" w:sz="0" w:space="0" w:color="auto"/>
        <w:bottom w:val="none" w:sz="0" w:space="0" w:color="auto"/>
        <w:right w:val="none" w:sz="0" w:space="0" w:color="auto"/>
      </w:divBdr>
      <w:divsChild>
        <w:div w:id="11803523">
          <w:marLeft w:val="0"/>
          <w:marRight w:val="0"/>
          <w:marTop w:val="0"/>
          <w:marBottom w:val="0"/>
          <w:divBdr>
            <w:top w:val="none" w:sz="0" w:space="0" w:color="auto"/>
            <w:left w:val="none" w:sz="0" w:space="0" w:color="auto"/>
            <w:bottom w:val="none" w:sz="0" w:space="0" w:color="auto"/>
            <w:right w:val="none" w:sz="0" w:space="0" w:color="auto"/>
          </w:divBdr>
          <w:divsChild>
            <w:div w:id="652639844">
              <w:marLeft w:val="0"/>
              <w:marRight w:val="0"/>
              <w:marTop w:val="0"/>
              <w:marBottom w:val="0"/>
              <w:divBdr>
                <w:top w:val="none" w:sz="0" w:space="0" w:color="auto"/>
                <w:left w:val="none" w:sz="0" w:space="0" w:color="auto"/>
                <w:bottom w:val="none" w:sz="0" w:space="0" w:color="auto"/>
                <w:right w:val="none" w:sz="0" w:space="0" w:color="auto"/>
              </w:divBdr>
              <w:divsChild>
                <w:div w:id="19133947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6353440">
      <w:bodyDiv w:val="1"/>
      <w:marLeft w:val="0"/>
      <w:marRight w:val="0"/>
      <w:marTop w:val="0"/>
      <w:marBottom w:val="0"/>
      <w:divBdr>
        <w:top w:val="none" w:sz="0" w:space="0" w:color="auto"/>
        <w:left w:val="none" w:sz="0" w:space="0" w:color="auto"/>
        <w:bottom w:val="none" w:sz="0" w:space="0" w:color="auto"/>
        <w:right w:val="none" w:sz="0" w:space="0" w:color="auto"/>
      </w:divBdr>
    </w:div>
    <w:div w:id="385833243">
      <w:bodyDiv w:val="1"/>
      <w:marLeft w:val="0"/>
      <w:marRight w:val="0"/>
      <w:marTop w:val="0"/>
      <w:marBottom w:val="0"/>
      <w:divBdr>
        <w:top w:val="none" w:sz="0" w:space="0" w:color="auto"/>
        <w:left w:val="none" w:sz="0" w:space="0" w:color="auto"/>
        <w:bottom w:val="none" w:sz="0" w:space="0" w:color="auto"/>
        <w:right w:val="none" w:sz="0" w:space="0" w:color="auto"/>
      </w:divBdr>
      <w:divsChild>
        <w:div w:id="1804959443">
          <w:marLeft w:val="0"/>
          <w:marRight w:val="0"/>
          <w:marTop w:val="0"/>
          <w:marBottom w:val="0"/>
          <w:divBdr>
            <w:top w:val="none" w:sz="0" w:space="0" w:color="auto"/>
            <w:left w:val="none" w:sz="0" w:space="0" w:color="auto"/>
            <w:bottom w:val="none" w:sz="0" w:space="0" w:color="auto"/>
            <w:right w:val="none" w:sz="0" w:space="0" w:color="auto"/>
          </w:divBdr>
          <w:divsChild>
            <w:div w:id="999962197">
              <w:marLeft w:val="0"/>
              <w:marRight w:val="0"/>
              <w:marTop w:val="0"/>
              <w:marBottom w:val="0"/>
              <w:divBdr>
                <w:top w:val="none" w:sz="0" w:space="0" w:color="auto"/>
                <w:left w:val="none" w:sz="0" w:space="0" w:color="auto"/>
                <w:bottom w:val="none" w:sz="0" w:space="0" w:color="auto"/>
                <w:right w:val="none" w:sz="0" w:space="0" w:color="auto"/>
              </w:divBdr>
              <w:divsChild>
                <w:div w:id="1899781742">
                  <w:marLeft w:val="360"/>
                  <w:marRight w:val="96"/>
                  <w:marTop w:val="0"/>
                  <w:marBottom w:val="0"/>
                  <w:divBdr>
                    <w:top w:val="none" w:sz="0" w:space="0" w:color="auto"/>
                    <w:left w:val="none" w:sz="0" w:space="0" w:color="auto"/>
                    <w:bottom w:val="none" w:sz="0" w:space="0" w:color="auto"/>
                    <w:right w:val="none" w:sz="0" w:space="0" w:color="auto"/>
                  </w:divBdr>
                </w:div>
              </w:divsChild>
            </w:div>
            <w:div w:id="28726336">
              <w:marLeft w:val="0"/>
              <w:marRight w:val="0"/>
              <w:marTop w:val="0"/>
              <w:marBottom w:val="0"/>
              <w:divBdr>
                <w:top w:val="none" w:sz="0" w:space="0" w:color="auto"/>
                <w:left w:val="none" w:sz="0" w:space="0" w:color="auto"/>
                <w:bottom w:val="none" w:sz="0" w:space="0" w:color="auto"/>
                <w:right w:val="none" w:sz="0" w:space="0" w:color="auto"/>
              </w:divBdr>
              <w:divsChild>
                <w:div w:id="2044285611">
                  <w:marLeft w:val="360"/>
                  <w:marRight w:val="96"/>
                  <w:marTop w:val="0"/>
                  <w:marBottom w:val="0"/>
                  <w:divBdr>
                    <w:top w:val="none" w:sz="0" w:space="0" w:color="auto"/>
                    <w:left w:val="none" w:sz="0" w:space="0" w:color="auto"/>
                    <w:bottom w:val="none" w:sz="0" w:space="0" w:color="auto"/>
                    <w:right w:val="none" w:sz="0" w:space="0" w:color="auto"/>
                  </w:divBdr>
                </w:div>
              </w:divsChild>
            </w:div>
            <w:div w:id="1356229072">
              <w:marLeft w:val="0"/>
              <w:marRight w:val="0"/>
              <w:marTop w:val="0"/>
              <w:marBottom w:val="0"/>
              <w:divBdr>
                <w:top w:val="none" w:sz="0" w:space="0" w:color="auto"/>
                <w:left w:val="none" w:sz="0" w:space="0" w:color="auto"/>
                <w:bottom w:val="none" w:sz="0" w:space="0" w:color="auto"/>
                <w:right w:val="none" w:sz="0" w:space="0" w:color="auto"/>
              </w:divBdr>
              <w:divsChild>
                <w:div w:id="8152932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5707399">
      <w:bodyDiv w:val="1"/>
      <w:marLeft w:val="0"/>
      <w:marRight w:val="0"/>
      <w:marTop w:val="0"/>
      <w:marBottom w:val="0"/>
      <w:divBdr>
        <w:top w:val="none" w:sz="0" w:space="0" w:color="auto"/>
        <w:left w:val="none" w:sz="0" w:space="0" w:color="auto"/>
        <w:bottom w:val="none" w:sz="0" w:space="0" w:color="auto"/>
        <w:right w:val="none" w:sz="0" w:space="0" w:color="auto"/>
      </w:divBdr>
    </w:div>
    <w:div w:id="488864275">
      <w:bodyDiv w:val="1"/>
      <w:marLeft w:val="0"/>
      <w:marRight w:val="0"/>
      <w:marTop w:val="0"/>
      <w:marBottom w:val="0"/>
      <w:divBdr>
        <w:top w:val="none" w:sz="0" w:space="0" w:color="auto"/>
        <w:left w:val="none" w:sz="0" w:space="0" w:color="auto"/>
        <w:bottom w:val="none" w:sz="0" w:space="0" w:color="auto"/>
        <w:right w:val="none" w:sz="0" w:space="0" w:color="auto"/>
      </w:divBdr>
      <w:divsChild>
        <w:div w:id="1178272579">
          <w:marLeft w:val="0"/>
          <w:marRight w:val="0"/>
          <w:marTop w:val="0"/>
          <w:marBottom w:val="0"/>
          <w:divBdr>
            <w:top w:val="none" w:sz="0" w:space="0" w:color="auto"/>
            <w:left w:val="none" w:sz="0" w:space="0" w:color="auto"/>
            <w:bottom w:val="none" w:sz="0" w:space="0" w:color="auto"/>
            <w:right w:val="none" w:sz="0" w:space="0" w:color="auto"/>
          </w:divBdr>
          <w:divsChild>
            <w:div w:id="509295472">
              <w:marLeft w:val="0"/>
              <w:marRight w:val="0"/>
              <w:marTop w:val="0"/>
              <w:marBottom w:val="0"/>
              <w:divBdr>
                <w:top w:val="none" w:sz="0" w:space="0" w:color="auto"/>
                <w:left w:val="none" w:sz="0" w:space="0" w:color="auto"/>
                <w:bottom w:val="none" w:sz="0" w:space="0" w:color="auto"/>
                <w:right w:val="none" w:sz="0" w:space="0" w:color="auto"/>
              </w:divBdr>
              <w:divsChild>
                <w:div w:id="19044866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6148175">
      <w:bodyDiv w:val="1"/>
      <w:marLeft w:val="0"/>
      <w:marRight w:val="0"/>
      <w:marTop w:val="0"/>
      <w:marBottom w:val="0"/>
      <w:divBdr>
        <w:top w:val="none" w:sz="0" w:space="0" w:color="auto"/>
        <w:left w:val="none" w:sz="0" w:space="0" w:color="auto"/>
        <w:bottom w:val="none" w:sz="0" w:space="0" w:color="auto"/>
        <w:right w:val="none" w:sz="0" w:space="0" w:color="auto"/>
      </w:divBdr>
      <w:divsChild>
        <w:div w:id="28115633">
          <w:marLeft w:val="0"/>
          <w:marRight w:val="0"/>
          <w:marTop w:val="0"/>
          <w:marBottom w:val="0"/>
          <w:divBdr>
            <w:top w:val="none" w:sz="0" w:space="0" w:color="auto"/>
            <w:left w:val="none" w:sz="0" w:space="0" w:color="auto"/>
            <w:bottom w:val="none" w:sz="0" w:space="0" w:color="auto"/>
            <w:right w:val="none" w:sz="0" w:space="0" w:color="auto"/>
          </w:divBdr>
          <w:divsChild>
            <w:div w:id="1088238108">
              <w:marLeft w:val="0"/>
              <w:marRight w:val="0"/>
              <w:marTop w:val="0"/>
              <w:marBottom w:val="0"/>
              <w:divBdr>
                <w:top w:val="none" w:sz="0" w:space="0" w:color="auto"/>
                <w:left w:val="none" w:sz="0" w:space="0" w:color="auto"/>
                <w:bottom w:val="none" w:sz="0" w:space="0" w:color="auto"/>
                <w:right w:val="none" w:sz="0" w:space="0" w:color="auto"/>
              </w:divBdr>
              <w:divsChild>
                <w:div w:id="140090656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8597196">
      <w:bodyDiv w:val="1"/>
      <w:marLeft w:val="0"/>
      <w:marRight w:val="0"/>
      <w:marTop w:val="0"/>
      <w:marBottom w:val="0"/>
      <w:divBdr>
        <w:top w:val="none" w:sz="0" w:space="0" w:color="auto"/>
        <w:left w:val="none" w:sz="0" w:space="0" w:color="auto"/>
        <w:bottom w:val="none" w:sz="0" w:space="0" w:color="auto"/>
        <w:right w:val="none" w:sz="0" w:space="0" w:color="auto"/>
      </w:divBdr>
      <w:divsChild>
        <w:div w:id="1423649049">
          <w:marLeft w:val="0"/>
          <w:marRight w:val="0"/>
          <w:marTop w:val="0"/>
          <w:marBottom w:val="0"/>
          <w:divBdr>
            <w:top w:val="none" w:sz="0" w:space="0" w:color="auto"/>
            <w:left w:val="none" w:sz="0" w:space="0" w:color="auto"/>
            <w:bottom w:val="none" w:sz="0" w:space="0" w:color="auto"/>
            <w:right w:val="none" w:sz="0" w:space="0" w:color="auto"/>
          </w:divBdr>
          <w:divsChild>
            <w:div w:id="1063676677">
              <w:marLeft w:val="0"/>
              <w:marRight w:val="0"/>
              <w:marTop w:val="0"/>
              <w:marBottom w:val="0"/>
              <w:divBdr>
                <w:top w:val="none" w:sz="0" w:space="0" w:color="auto"/>
                <w:left w:val="none" w:sz="0" w:space="0" w:color="auto"/>
                <w:bottom w:val="none" w:sz="0" w:space="0" w:color="auto"/>
                <w:right w:val="none" w:sz="0" w:space="0" w:color="auto"/>
              </w:divBdr>
              <w:divsChild>
                <w:div w:id="21386423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1979641">
      <w:bodyDiv w:val="1"/>
      <w:marLeft w:val="0"/>
      <w:marRight w:val="0"/>
      <w:marTop w:val="0"/>
      <w:marBottom w:val="0"/>
      <w:divBdr>
        <w:top w:val="none" w:sz="0" w:space="0" w:color="auto"/>
        <w:left w:val="none" w:sz="0" w:space="0" w:color="auto"/>
        <w:bottom w:val="none" w:sz="0" w:space="0" w:color="auto"/>
        <w:right w:val="none" w:sz="0" w:space="0" w:color="auto"/>
      </w:divBdr>
    </w:div>
    <w:div w:id="1682125786">
      <w:bodyDiv w:val="1"/>
      <w:marLeft w:val="0"/>
      <w:marRight w:val="0"/>
      <w:marTop w:val="0"/>
      <w:marBottom w:val="0"/>
      <w:divBdr>
        <w:top w:val="none" w:sz="0" w:space="0" w:color="auto"/>
        <w:left w:val="none" w:sz="0" w:space="0" w:color="auto"/>
        <w:bottom w:val="none" w:sz="0" w:space="0" w:color="auto"/>
        <w:right w:val="none" w:sz="0" w:space="0" w:color="auto"/>
      </w:divBdr>
      <w:divsChild>
        <w:div w:id="273830757">
          <w:marLeft w:val="0"/>
          <w:marRight w:val="0"/>
          <w:marTop w:val="0"/>
          <w:marBottom w:val="0"/>
          <w:divBdr>
            <w:top w:val="none" w:sz="0" w:space="0" w:color="auto"/>
            <w:left w:val="none" w:sz="0" w:space="0" w:color="auto"/>
            <w:bottom w:val="none" w:sz="0" w:space="0" w:color="auto"/>
            <w:right w:val="none" w:sz="0" w:space="0" w:color="auto"/>
          </w:divBdr>
          <w:divsChild>
            <w:div w:id="2133285167">
              <w:marLeft w:val="0"/>
              <w:marRight w:val="0"/>
              <w:marTop w:val="0"/>
              <w:marBottom w:val="0"/>
              <w:divBdr>
                <w:top w:val="none" w:sz="0" w:space="0" w:color="auto"/>
                <w:left w:val="none" w:sz="0" w:space="0" w:color="auto"/>
                <w:bottom w:val="none" w:sz="0" w:space="0" w:color="auto"/>
                <w:right w:val="none" w:sz="0" w:space="0" w:color="auto"/>
              </w:divBdr>
              <w:divsChild>
                <w:div w:id="17744765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non.Dunnigan@dep.state.fl.us" TargetMode="External"/><Relationship Id="rId13" Type="http://schemas.openxmlformats.org/officeDocument/2006/relationships/image" Target="media/image2.png"/><Relationship Id="rId18" Type="http://schemas.openxmlformats.org/officeDocument/2006/relationships/image" Target="media/image3.jpg"/><Relationship Id="rId26" Type="http://schemas.openxmlformats.org/officeDocument/2006/relationships/hyperlink" Target="https://cdmo.baruch.sc.ed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mg.mdpi.org/data/contributor-role-instruction.pdf"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Nikki.Dix@dep.state.us" TargetMode="External"/><Relationship Id="rId17" Type="http://schemas.microsoft.com/office/2018/08/relationships/commentsExtensible" Target="commentsExtensible.xml"/><Relationship Id="rId25" Type="http://schemas.openxmlformats.org/officeDocument/2006/relationships/hyperlink" Target="https://cdmo.baruch.sc.edu" TargetMode="External"/><Relationship Id="rId33" Type="http://schemas.openxmlformats.org/officeDocument/2006/relationships/header" Target="header2.xml"/><Relationship Id="rId38" Type="http://schemas.microsoft.com/office/2011/relationships/people" Target="peop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hyperlink" Target="https://doi.org/10.1002/mcf2.101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cump@dnr.sc.gov" TargetMode="External"/><Relationship Id="rId24" Type="http://schemas.openxmlformats.org/officeDocument/2006/relationships/hyperlink" Target="https://doi.org/10.1007/s12237-021-01017-x"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doi.org/10.2112/SI55-002.1" TargetMode="External"/><Relationship Id="rId28" Type="http://schemas.openxmlformats.org/officeDocument/2006/relationships/hyperlink" Target="https://doi.org/10.32614/RJ-2016-015" TargetMode="External"/><Relationship Id="rId36" Type="http://schemas.openxmlformats.org/officeDocument/2006/relationships/footer" Target="footer2.xml"/><Relationship Id="rId10" Type="http://schemas.openxmlformats.org/officeDocument/2006/relationships/hyperlink" Target="mailto:AKnoell@hotmail.com" TargetMode="External"/><Relationship Id="rId19" Type="http://schemas.openxmlformats.org/officeDocument/2006/relationships/image" Target="media/image4.png"/><Relationship Id="rId31" Type="http://schemas.openxmlformats.org/officeDocument/2006/relationships/hyperlink" Target="https://CRAN.R-project.org/package=emmeans" TargetMode="External"/><Relationship Id="rId4" Type="http://schemas.openxmlformats.org/officeDocument/2006/relationships/webSettings" Target="webSettings.xml"/><Relationship Id="rId9" Type="http://schemas.openxmlformats.org/officeDocument/2006/relationships/hyperlink" Target="mailto:Hans.Prevost@dep.state.fl.us" TargetMode="External"/><Relationship Id="rId14" Type="http://schemas.openxmlformats.org/officeDocument/2006/relationships/comments" Target="comments.xml"/><Relationship Id="rId22" Type="http://schemas.openxmlformats.org/officeDocument/2006/relationships/hyperlink" Target="https://doi.org/10.2112/SI45-093.1" TargetMode="External"/><Relationship Id="rId27" Type="http://schemas.openxmlformats.org/officeDocument/2006/relationships/hyperlink" Target="https://www.R-project.org/" TargetMode="External"/><Relationship Id="rId30" Type="http://schemas.openxmlformats.org/officeDocument/2006/relationships/hyperlink" Target="https://doi.org/10.32614/RJ-2017-066" TargetMode="External"/><Relationship Id="rId35"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nnigan_s\Downloads\jms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jmse-template (1)</Template>
  <TotalTime>4</TotalTime>
  <Pages>11</Pages>
  <Words>5223</Words>
  <Characters>29773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Dunnigan K, Shannon</dc:creator>
  <cp:keywords/>
  <dc:description/>
  <cp:lastModifiedBy>Dunnigan, Shannon</cp:lastModifiedBy>
  <cp:revision>2</cp:revision>
  <dcterms:created xsi:type="dcterms:W3CDTF">2024-02-07T21:42:00Z</dcterms:created>
  <dcterms:modified xsi:type="dcterms:W3CDTF">2024-02-07T21:42:00Z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id="HnXRXqS0"/&gt;&lt;style id="" hasBibliography="0" bibliographyStyleHasBeenSet="0"/&gt;&lt;prefs/&gt;&lt;/data&gt;</vt:lpwstr>
  </property>
</Properties>
</file>