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02D6" w14:textId="68729A48" w:rsidR="00A25BCE" w:rsidRDefault="00A25BCE" w:rsidP="00A25BCE">
      <w:pPr>
        <w:pStyle w:val="MDPI41tablecaption"/>
      </w:pPr>
      <w:r>
        <w:rPr>
          <w:b/>
        </w:rPr>
        <w:t>Table 1.</w:t>
      </w:r>
      <w:r>
        <w:t xml:space="preserve"> </w:t>
      </w:r>
      <w:r>
        <w:t>Summary information for spat settlement in regions in the Guana Tolomato Matanzas estuary. Metrics include number of spat collector devices deployed, average monthly and total annual spat settlement (</w:t>
      </w:r>
      <w:r>
        <w:rPr>
          <w:b/>
        </w:rPr>
        <w:t>±</w:t>
      </w:r>
      <w:r>
        <w:rPr>
          <w:b/>
        </w:rPr>
        <w:t xml:space="preserve"> </w:t>
      </w:r>
      <w:r w:rsidRPr="00A25BCE">
        <w:t>standard error), maximum monthly settlement for the study period, and the recruitment period for spat settlement in each region</w:t>
      </w:r>
      <w:r>
        <w:t>.</w:t>
      </w:r>
    </w:p>
    <w:tbl>
      <w:tblPr>
        <w:tblW w:w="7224" w:type="dxa"/>
        <w:tblInd w:w="2608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"/>
        <w:gridCol w:w="1204"/>
        <w:gridCol w:w="1204"/>
        <w:gridCol w:w="1204"/>
        <w:gridCol w:w="1204"/>
        <w:gridCol w:w="1204"/>
      </w:tblGrid>
      <w:tr w:rsidR="00A25BCE" w14:paraId="6F6E92DD" w14:textId="48B5E8C5" w:rsidTr="00A07A6A">
        <w:trPr>
          <w:trHeight w:val="283"/>
        </w:trPr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61B2B1" w14:textId="24BF64F5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Region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11202C" w14:textId="320F1CFF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No. of Collectors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20BF2CE" w14:textId="3169E301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Average Monthly Settlement (±SE)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956C62" w14:textId="77777777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Average</w:t>
            </w:r>
          </w:p>
          <w:p w14:paraId="7DD19777" w14:textId="4E2DD17A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Total Annual Settlement (</w:t>
            </w:r>
            <w:r>
              <w:rPr>
                <w:b/>
              </w:rPr>
              <w:t>±SE</w:t>
            </w:r>
            <w:r>
              <w:rPr>
                <w:b/>
              </w:rPr>
              <w:t>)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90287C" w14:textId="08D8294C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Maximum Monthly Settlement</w:t>
            </w:r>
          </w:p>
        </w:tc>
        <w:tc>
          <w:tcPr>
            <w:tcW w:w="120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F9CD8" w14:textId="3ABC8085" w:rsidR="00A25BCE" w:rsidRDefault="00A25BCE">
            <w:pPr>
              <w:pStyle w:val="MDPI42tablebody"/>
              <w:spacing w:line="240" w:lineRule="auto"/>
              <w:rPr>
                <w:b/>
              </w:rPr>
            </w:pPr>
            <w:r>
              <w:rPr>
                <w:b/>
              </w:rPr>
              <w:t>Recruitment Period</w:t>
            </w:r>
          </w:p>
        </w:tc>
      </w:tr>
      <w:tr w:rsidR="00A25BCE" w14:paraId="78EFADD4" w14:textId="3D20C4B0" w:rsidTr="00A07A6A">
        <w:trPr>
          <w:trHeight w:val="28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13D0" w14:textId="36339D6B" w:rsidR="00A25BCE" w:rsidRDefault="00A25BCE">
            <w:pPr>
              <w:pStyle w:val="MDPI42tablebody"/>
              <w:spacing w:line="240" w:lineRule="auto"/>
            </w:pPr>
            <w:r>
              <w:t>Tolomato River (TR)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D5B8D9" w14:textId="29E74A59" w:rsidR="00A25BCE" w:rsidRDefault="00A25BCE">
            <w:pPr>
              <w:pStyle w:val="MDPI42tablebody"/>
              <w:spacing w:line="240" w:lineRule="auto"/>
            </w:pPr>
            <w:r>
              <w:t>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15611" w14:textId="77777777" w:rsidR="00A25BCE" w:rsidRDefault="00A25BCE">
            <w:pPr>
              <w:pStyle w:val="MDPI42tablebody"/>
              <w:spacing w:line="240" w:lineRule="auto"/>
            </w:pPr>
            <w:r>
              <w:t>data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5E8213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581DC24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D2672F3" w14:textId="77777777" w:rsidR="00A25BCE" w:rsidRDefault="00A25BCE">
            <w:pPr>
              <w:pStyle w:val="MDPI42tablebody"/>
              <w:spacing w:line="240" w:lineRule="auto"/>
            </w:pPr>
          </w:p>
        </w:tc>
      </w:tr>
      <w:tr w:rsidR="00A25BCE" w14:paraId="02A4119A" w14:textId="3714940B" w:rsidTr="00A07A6A">
        <w:trPr>
          <w:trHeight w:val="28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C8E56" w14:textId="3CE8D21A" w:rsidR="00A25BCE" w:rsidRDefault="00A25BCE">
            <w:pPr>
              <w:pStyle w:val="MDPI42tablebody"/>
              <w:spacing w:line="240" w:lineRule="auto"/>
            </w:pPr>
            <w:r>
              <w:t>Guana River (GR)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D3783" w14:textId="30D02340" w:rsidR="00A25BCE" w:rsidRDefault="00A25BCE">
            <w:pPr>
              <w:pStyle w:val="MDPI42tablebody"/>
              <w:spacing w:line="240" w:lineRule="auto"/>
            </w:pPr>
            <w: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E74DE4" w14:textId="77777777" w:rsidR="00A25BCE" w:rsidRDefault="00A25BCE">
            <w:pPr>
              <w:pStyle w:val="MDPI42tablebody"/>
              <w:spacing w:line="240" w:lineRule="auto"/>
            </w:pPr>
            <w:r>
              <w:t xml:space="preserve">data </w:t>
            </w:r>
            <w:r>
              <w:rPr>
                <w:vertAlign w:val="superscript"/>
              </w:rPr>
              <w:t>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001007C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9610DD6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B803394" w14:textId="77777777" w:rsidR="00A25BCE" w:rsidRDefault="00A25BCE">
            <w:pPr>
              <w:pStyle w:val="MDPI42tablebody"/>
              <w:spacing w:line="240" w:lineRule="auto"/>
            </w:pPr>
          </w:p>
        </w:tc>
      </w:tr>
      <w:tr w:rsidR="00A25BCE" w14:paraId="57EA2D8B" w14:textId="77777777" w:rsidTr="00A07A6A">
        <w:trPr>
          <w:trHeight w:val="28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7E4E4" w14:textId="367D93D5" w:rsidR="00A25BCE" w:rsidRDefault="00A25BCE" w:rsidP="00A25BCE">
            <w:pPr>
              <w:pStyle w:val="MDPI42tablebody"/>
              <w:spacing w:line="240" w:lineRule="auto"/>
            </w:pPr>
            <w:r>
              <w:t>St. Augustine (SA)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4BE37" w14:textId="3BE515A8" w:rsidR="00A25BCE" w:rsidRDefault="00A25BCE">
            <w:pPr>
              <w:pStyle w:val="MDPI42tablebody"/>
              <w:spacing w:line="240" w:lineRule="auto"/>
            </w:pPr>
            <w:r>
              <w:t>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23773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BC5E6CF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234573B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036FF1" w14:textId="77777777" w:rsidR="00A25BCE" w:rsidRDefault="00A25BCE">
            <w:pPr>
              <w:pStyle w:val="MDPI42tablebody"/>
              <w:spacing w:line="240" w:lineRule="auto"/>
            </w:pPr>
          </w:p>
        </w:tc>
      </w:tr>
      <w:tr w:rsidR="00A25BCE" w14:paraId="3A27B839" w14:textId="77777777" w:rsidTr="00A07A6A">
        <w:trPr>
          <w:trHeight w:val="283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6646B" w14:textId="73A3970E" w:rsidR="00A25BCE" w:rsidRDefault="00A25BCE">
            <w:pPr>
              <w:pStyle w:val="MDPI42tablebody"/>
              <w:spacing w:line="240" w:lineRule="auto"/>
            </w:pPr>
            <w:r>
              <w:t>Salt Run (SR)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72C85" w14:textId="5E7CABD7" w:rsidR="00A25BCE" w:rsidRDefault="00A25BCE">
            <w:pPr>
              <w:pStyle w:val="MDPI42tablebody"/>
              <w:spacing w:line="240" w:lineRule="auto"/>
            </w:pPr>
            <w: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3C760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E949EA3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96E195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558C91B" w14:textId="77777777" w:rsidR="00A25BCE" w:rsidRDefault="00A25BCE">
            <w:pPr>
              <w:pStyle w:val="MDPI42tablebody"/>
              <w:spacing w:line="240" w:lineRule="auto"/>
            </w:pPr>
          </w:p>
        </w:tc>
      </w:tr>
      <w:tr w:rsidR="00A25BCE" w14:paraId="1AC4B2AE" w14:textId="77777777" w:rsidTr="00A07A6A">
        <w:trPr>
          <w:trHeight w:val="283"/>
        </w:trPr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6CEDA6" w14:textId="55354BE4" w:rsidR="00A25BCE" w:rsidRDefault="00A25BCE">
            <w:pPr>
              <w:pStyle w:val="MDPI42tablebody"/>
              <w:spacing w:line="240" w:lineRule="auto"/>
            </w:pPr>
            <w:r>
              <w:t>Fort Matanzas (FM)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E5B2C6" w14:textId="6FD940D4" w:rsidR="00A25BCE" w:rsidRDefault="00A25BCE">
            <w:pPr>
              <w:pStyle w:val="MDPI42tablebody"/>
              <w:spacing w:line="240" w:lineRule="auto"/>
            </w:pPr>
            <w:r>
              <w:t>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83BFC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F1F529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56EBBA" w14:textId="77777777" w:rsidR="00A25BCE" w:rsidRDefault="00A25BCE">
            <w:pPr>
              <w:pStyle w:val="MDPI42tablebody"/>
              <w:spacing w:line="240" w:lineRule="auto"/>
            </w:pP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19E2380" w14:textId="77777777" w:rsidR="00A25BCE" w:rsidRDefault="00A25BCE">
            <w:pPr>
              <w:pStyle w:val="MDPI42tablebody"/>
              <w:spacing w:line="240" w:lineRule="auto"/>
            </w:pPr>
          </w:p>
        </w:tc>
      </w:tr>
    </w:tbl>
    <w:p w14:paraId="6B43F864" w14:textId="77777777" w:rsidR="00A25BCE" w:rsidRDefault="00A25BCE" w:rsidP="00A25BCE">
      <w:pPr>
        <w:pStyle w:val="MDPI43tablefooter"/>
      </w:pPr>
      <w:r>
        <w:rPr>
          <w:vertAlign w:val="superscript"/>
        </w:rPr>
        <w:t>1</w:t>
      </w:r>
      <w:r>
        <w:t xml:space="preserve"> Tables may have a footer.</w:t>
      </w:r>
    </w:p>
    <w:p w14:paraId="3DF5D6E2" w14:textId="77777777" w:rsidR="00A25BCE" w:rsidRPr="00A25BCE" w:rsidRDefault="00A25BCE" w:rsidP="00A25BCE"/>
    <w:sectPr w:rsidR="00A25BCE" w:rsidRPr="00A25BCE" w:rsidSect="00276FCC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9F"/>
    <w:rsid w:val="00276FCC"/>
    <w:rsid w:val="00432858"/>
    <w:rsid w:val="0063599F"/>
    <w:rsid w:val="009D12AB"/>
    <w:rsid w:val="00A07A6A"/>
    <w:rsid w:val="00A25BCE"/>
    <w:rsid w:val="00C90E72"/>
    <w:rsid w:val="00D4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C80D"/>
  <w15:chartTrackingRefBased/>
  <w15:docId w15:val="{89FC861A-E21F-4F56-A109-6FCBACBE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BCE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A25BCE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paragraph" w:customStyle="1" w:styleId="MDPI42tablebody">
    <w:name w:val="MDPI_4.2_table_body"/>
    <w:qFormat/>
    <w:rsid w:val="00A25BCE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 w:bidi="en-US"/>
      <w14:ligatures w14:val="none"/>
    </w:rPr>
  </w:style>
  <w:style w:type="paragraph" w:customStyle="1" w:styleId="MDPI43tablefooter">
    <w:name w:val="MDPI_4.3_table_footer"/>
    <w:next w:val="Normal"/>
    <w:qFormat/>
    <w:rsid w:val="00A25BCE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Dunnigan, Shannon</dc:creator>
  <cp:keywords/>
  <dc:description/>
  <cp:lastModifiedBy>Dunnigan, Shannon</cp:lastModifiedBy>
  <cp:revision>2</cp:revision>
  <dcterms:created xsi:type="dcterms:W3CDTF">2024-01-31T14:25:00Z</dcterms:created>
  <dcterms:modified xsi:type="dcterms:W3CDTF">2024-01-31T17:49:00Z</dcterms:modified>
</cp:coreProperties>
</file>