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ind w:firstLineChars="0" w:leftChars="0" w:left="0"/>
        <w:spacing w:line="240" w:lineRule="auto" w:before="0" w:after="240"/>
      </w:pPr>
      <w:r>
        <w:rPr>
          <w:rFonts w:ascii="Times New Roman" w:hAnsi="Times New Roman" w:eastAsia="仿宋" w:cs="Times New Roman"/>
          <w:b/>
          <w:i w:val="0"/>
          <w:color w:val="000000"/>
          <w:sz w:val="36"/>
          <w:u w:val="none"/>
        </w:rPr>
        <w:t>关于开展 2026 年度市级预算事前绩效评估工作的通知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各区县（市）财政局、市级有关单位：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为进一步提高财政资源配置效率，现将 2026 年度市级预算事前绩效评估有关事项通知如下。</w:t>
      </w:r>
    </w:p>
    <w:p>
      <w:pPr>
        <w:pStyle w:val="Heading1"/>
        <w:jc w:val="center"/>
        <w:ind w:firstLineChars="0" w:leftChars="0" w:left="0"/>
        <w:spacing w:line="240" w:lineRule="auto" w:before="480" w:after="36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一、评估范围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本次评估涵盖市级部门申报的 </w:t>
      </w:r>
      <w:r>
        <w:rPr>
          <w:rFonts w:ascii="Times New Roman" w:hAnsi="Times New Roman" w:eastAsia="仿宋" w:cs="Times New Roman"/>
          <w:b/>
          <w:i w:val="0"/>
          <w:color w:val="000000"/>
          <w:sz w:val="24"/>
          <w:u w:val="none"/>
        </w:rPr>
        <w:t>15 个新增项目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，涉及信息化建设、设备购置、课题研究等类别。</w:t>
      </w:r>
    </w:p>
    <w:p>
      <w:pPr>
        <w:pStyle w:val="Heading2"/>
        <w:jc w:val="left"/>
        <w:ind w:firstLineChars="0" w:leftChars="0" w:left="0"/>
        <w:spacing w:line="240" w:lineRule="auto" w:before="480" w:after="120"/>
      </w:pPr>
      <w:r>
        <w:rPr>
          <w:rFonts w:ascii="Times New Roman" w:hAnsi="Times New Roman" w:eastAsia="仿宋" w:cs="Times New Roman"/>
          <w:b/>
          <w:i w:val="0"/>
          <w:color w:val="000000"/>
          <w:sz w:val="28"/>
          <w:u w:val="none"/>
        </w:rPr>
        <w:t>（一）纳入评估的项目类别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信息化建设类项目应当提供技术方案、数据接口说明及安全测评报告；设备购置类项目应当提供资产台账与报废更新说明。</w:t>
      </w:r>
    </w:p>
    <w:p>
      <w:pPr>
        <w:pStyle w:val="Heading3"/>
        <w:jc w:val="left"/>
        <w:ind w:firstLineChars="0" w:leftChars="0" w:left="0"/>
        <w:spacing w:line="240" w:lineRule="auto" w:before="240" w:after="120"/>
      </w:pPr>
      <w:r>
        <w:rPr>
          <w:rFonts w:ascii="Times New Roman" w:hAnsi="Times New Roman" w:eastAsia="仿宋" w:cs="Times New Roman"/>
          <w:b/>
          <w:i w:val="0"/>
          <w:color w:val="000000"/>
          <w:sz w:val="24"/>
          <w:u w:val="none"/>
        </w:rPr>
        <w:t>1. 信息化建设类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对涉及跨部门数据共享的项目，应当</w:t>
      </w:r>
      <w:r>
        <w:rPr>
          <w:rFonts w:ascii="Times New Roman" w:hAnsi="Times New Roman" w:eastAsia="仿宋" w:cs="Times New Roman"/>
          <w:b/>
          <w:i w:val="0"/>
          <w:color w:val="000000"/>
          <w:sz w:val="24"/>
          <w:u w:val="none"/>
        </w:rPr>
        <w:t>同步提交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数据共享目录清单。</w:t>
      </w:r>
    </w:p>
    <w:p>
      <w:pPr>
        <w:pStyle w:val="Heading4"/>
        <w:jc w:val="left"/>
        <w:ind w:firstLineChars="0" w:leftChars="0" w:left="0"/>
        <w:spacing w:line="240" w:lineRule="auto" w:before="240" w:after="12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（1）数据目录要求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目录应包含字段名、字段类型、共享条件与更新频率，未列明的字段原则上不予共享。</w:t>
      </w:r>
    </w:p>
    <w:p>
      <w:pPr>
        <w:spacing w:line="120" w:lineRule="atLeast"/>
        <w:pageBreakBefore/>
      </w:pPr>
    </w:p>
    <w:p>
      <w:pPr>
        <w:pStyle w:val="Heading1"/>
        <w:jc w:val="center"/>
        <w:ind w:firstLineChars="0" w:leftChars="0" w:left="0"/>
        <w:spacing w:line="240" w:lineRule="auto" w:before="480" w:after="36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二、工作安排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各单位应当按照下列时间节点报送材料：</w:t>
      </w:r>
    </w:p>
    <w:p>
      <w:pPr>
        <w:jc w:val="both"/>
        <w:spacing w:line="400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1.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2026 年 3 月 15 日前报送立项依据</w:t>
      </w:r>
    </w:p>
    <w:p>
      <w:pPr>
        <w:jc w:val="both"/>
        <w:spacing w:line="400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2.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2026 年 3 月 31 日前报送绩效目标表</w:t>
      </w:r>
    </w:p>
    <w:p>
      <w:pPr>
        <w:jc w:val="both"/>
        <w:spacing w:line="400" w:lineRule="exact" w:before="0" w:after="0"/>
        <w:ind w:hangingChars="200" w:hanging="480" w:leftChars="400" w:left="96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（1）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绩效指标须与年度重点工作对应</w:t>
      </w:r>
    </w:p>
    <w:p>
      <w:pPr>
        <w:jc w:val="both"/>
        <w:spacing w:line="400" w:lineRule="exact" w:before="0" w:after="0"/>
        <w:ind w:hangingChars="200" w:hanging="480" w:leftChars="400" w:left="96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（2）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指标值须可量化可考核</w:t>
      </w:r>
    </w:p>
    <w:p>
      <w:pPr>
        <w:jc w:val="both"/>
        <w:spacing w:line="400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3.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2026 年 4 月 15 日前报送专家评审材料</w:t>
      </w:r>
    </w:p>
    <w:p>
      <w:pPr>
        <w:spacing w:line="120" w:lineRule="atLeast"/>
      </w:pP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阶段性工作安排如下：</w:t>
      </w:r>
    </w:p>
    <w:p>
      <w:pPr>
        <w:jc w:val="both"/>
        <w:spacing w:line="400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—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第一阶段：材料形式审查</w:t>
      </w:r>
    </w:p>
    <w:p>
      <w:pPr>
        <w:jc w:val="both"/>
        <w:spacing w:line="400" w:lineRule="exact" w:before="0" w:after="0"/>
        <w:ind w:hangingChars="200" w:hanging="480" w:leftChars="400" w:left="96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○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审查要素完整性</w:t>
      </w:r>
    </w:p>
    <w:p>
      <w:pPr>
        <w:jc w:val="both"/>
        <w:spacing w:line="400" w:lineRule="exact" w:before="0" w:after="0"/>
        <w:ind w:hangingChars="200" w:hanging="480" w:leftChars="400" w:left="96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○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审查数据一致性</w:t>
      </w:r>
    </w:p>
    <w:p>
      <w:pPr>
        <w:jc w:val="both"/>
        <w:spacing w:line="400" w:lineRule="exact" w:before="0" w:after="0"/>
        <w:ind w:hangingChars="200" w:hanging="480" w:leftChars="200" w:left="48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 xml:space="preserve">—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第二阶段：专家集中评审</w:t>
      </w:r>
    </w:p>
    <w:p>
      <w:pPr>
        <w:spacing w:line="120" w:lineRule="atLeast"/>
      </w:pPr>
    </w:p>
    <w:p>
      <w:pPr>
        <w:spacing w:line="120" w:lineRule="atLeast"/>
        <w:pageBreakBefore/>
      </w:pPr>
    </w:p>
    <w:p>
      <w:pPr>
        <w:pStyle w:val="Heading1"/>
        <w:jc w:val="center"/>
        <w:ind w:firstLineChars="0" w:leftChars="0" w:left="0"/>
        <w:spacing w:line="240" w:lineRule="auto" w:before="480" w:after="36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三、经费预算情况</w:t>
      </w:r>
    </w:p>
    <w:p>
      <w:pPr>
        <w:pStyle w:val="Caption"/>
        <w:jc w:val="center"/>
        <w:ind w:firstLineChars="0" w:leftChars="0" w:left="0"/>
        <w:spacing w:line="240" w:lineRule="auto" w:before="120" w:after="120"/>
      </w:pPr>
      <w:r>
        <w:rPr>
          <w:rFonts w:ascii="Times New Roman" w:hAnsi="Times New Roman" w:eastAsia="仿宋" w:cs="Times New Roman"/>
          <w:b/>
          <w:i w:val="0"/>
          <w:color w:val="000000"/>
          <w:sz w:val="21"/>
          <w:u w:val="none"/>
        </w:rPr>
        <w:t xml:space="preserve">表 1 2026 </w:t>
      </w:r>
      <w:r>
        <w:rPr>
          <w:rFonts w:ascii="Times New Roman" w:hAnsi="Times New Roman" w:eastAsia="仿宋" w:cs="Times New Roman"/>
          <w:b w:val="0"/>
          <w:i w:val="0"/>
          <w:color w:val="000000"/>
          <w:sz w:val="21"/>
          <w:u w:val="none"/>
        </w:rPr>
        <w:t>年度事前绩效评估经费预算表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项目类别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项目数（个）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预算金额（万元）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备注</w:t>
            </w:r>
          </w:p>
        </w:tc>
      </w:tr>
      <w:tr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信息化建设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6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1,240.00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含安全测评费</w:t>
            </w:r>
          </w:p>
        </w:tc>
      </w:tr>
      <w:tr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设备购置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5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860.50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不含大型设备</w:t>
            </w:r>
          </w:p>
        </w:tc>
      </w:tr>
      <w:tr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课题研究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4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320.00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  <w:tr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合计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15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  <w:u w:val="none"/>
              </w:rPr>
              <w:t>2,420.50</w:t>
            </w:r>
          </w:p>
        </w:tc>
        <w:tc>
          <w:tcPr>
            <w:tcW w:type="dxa" w:w="2078"/>
            <w:vAlign w:val="center"/>
            <w:tcMar>
              <w:top w:w="28" w:type="dxa"/>
              <w:bottom w:w="28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0" w:after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</w:tbl>
    <w:p>
      <w:pPr>
        <w:spacing w:before="0" w:after="0" w:line="120" w:lineRule="atLeast"/>
      </w:pP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上述预算依据</w:t>
      </w:r>
      <w:hyperlink r:id="rId11">
        <w:r>
          <w:rPr>
            <w:rFonts w:ascii="Times New Roman" w:hAnsi="Times New Roman" w:eastAsia="仿宋" w:cs="Times New Roman"/>
            <w:b w:val="0"/>
            <w:i w:val="0"/>
            <w:color w:val="000000"/>
            <w:sz w:val="24"/>
            <w:u w:val="single"/>
          </w:rPr>
          <w:t>《宁波市预算绩效管理办法》</w:t>
        </w:r>
      </w:hyperlink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执行。</w:t>
      </w:r>
    </w:p>
    <w:p>
      <w:pPr>
        <w:jc w:val="both"/>
        <w:ind w:firstLineChars="0" w:leftChars="200" w:left="48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本通知所称"新增项目"，指 2026 年度预算中新设立且未连续安排的项目。</w:t>
      </w:r>
    </w:p>
    <w:p>
      <w:pPr>
        <w:jc w:val="left"/>
        <w:spacing w:line="300" w:lineRule="exact" w:before="0" w:after="0"/>
        <w:ind w:firstLineChars="0" w:leftChars="200" w:left="480"/>
        <w:shd w:val="clear" w:fill="F2F2F2"/>
      </w:pPr>
      <w:r>
        <w:rPr>
          <w:rFonts w:ascii="Consolas" w:hAnsi="Consolas" w:eastAsia="宋体" w:cs="Consolas"/>
          <w:b w:val="0"/>
          <w:i w:val="0"/>
          <w:color w:val="000000"/>
          <w:sz w:val="21"/>
          <w:u w:val="none"/>
        </w:rPr>
        <w:t>评估流程：受理 -&gt; 形式审查 -&gt; 专家评审 -&gt; 出具意见 -&gt; 反馈整改</w:t>
      </w:r>
    </w:p>
    <w:p>
      <w:pPr>
        <w:spacing w:line="120" w:lineRule="atLeast"/>
      </w:pP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/>
          <w:i w:val="0"/>
          <w:color w:val="000000"/>
          <w:sz w:val="24"/>
          <w:u w:val="none"/>
        </w:rPr>
        <w:t>宁波市财政局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2026 年 2 月 28 日</w:t>
      </w:r>
    </w:p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60"/>
      <w:headerReference w:type="default" r:id="rId9"/>
      <w:footerReference w:type="default"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 xmlns:w="http://schemas.openxmlformats.org/wordprocessingml/2006/main">
    <w:pPr>
      <w:jc w:val="center"/>
    </w:pPr>
    <w:r>
      <w:rPr>
        <w:rFonts w:ascii="Times New Roman" w:hAnsi="Times New Roman" w:eastAsia="宋体" w:cs="Times New Roman"/>
        <w:color w:val="000000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000000"/>
        <w:sz w:val="18"/>
        <w:szCs w:val="18"/>
      </w:rPr>
      <w:instrText xml:space="preserve"> PAGE \* MERGEFORMAT </w:instrTex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000000"/>
        <w:sz w:val="18"/>
        <w:szCs w:val="18"/>
      </w:rPr>
      <w:t>1</w: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 xmlns:w="http://schemas.openxmlformats.org/wordprocessingml/2006/main">
    <w:pPr>
      <w:pStyle w:val="Header"/>
      <w:pBdr>
        <w:bottom w:val="single" w:sz="6" w:space="1" w:color="auto"/>
      </w:pBdr>
      <w:tabs>
        <w:tab w:val="center" w:pos="4155"/>
        <w:tab w:val="right" w:pos="8311"/>
      </w:tabs>
    </w:pPr>
    <w:r>
      <w:rPr>
        <w:rFonts w:ascii="Times New Roman" w:hAnsi="Times New Roman" w:eastAsia="宋体" w:cs="Times New Roman"/>
        <w:color w:val="000000"/>
        <w:sz w:val="18"/>
        <w:szCs w:val="18"/>
      </w:rPr>
      <w:t xml:space="preserve">浙江大学学位论文</w:t>
    </w:r>
    <w:r>
      <w:rPr>
        <w:rFonts w:ascii="Times New Roman" w:hAnsi="Times New Roman" w:eastAsia="宋体" w:cs="Times New Roman"/>
        <w:color w:val="000000"/>
        <w:sz w:val="18"/>
        <w:szCs w:val="18"/>
      </w:rPr>
      <w:tab/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000000"/>
        <w:sz w:val="18"/>
        <w:szCs w:val="18"/>
      </w:rPr>
      <w:instrText xml:space="preserve"> STYLEREF "Heading 1" \* MERGEFORMAT </w:instrTex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000000"/>
        <w:sz w:val="18"/>
        <w:szCs w:val="18"/>
      </w:rPr>
      <w:t>章节标题</w: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example.gov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