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25B20" w14:textId="442E36ED" w:rsidR="002B6EDD" w:rsidRDefault="002B6EDD" w:rsidP="002B6EDD">
      <w:pPr>
        <w:jc w:val="center"/>
      </w:pPr>
    </w:p>
    <w:p w14:paraId="0BAC5D18" w14:textId="3BFDFCB9" w:rsidR="002B6EDD" w:rsidRDefault="002B6EDD" w:rsidP="002B6EDD">
      <w:pPr>
        <w:jc w:val="center"/>
      </w:pPr>
      <w:r>
        <w:rPr>
          <w:noProof/>
        </w:rPr>
        <w:drawing>
          <wp:inline distT="0" distB="0" distL="0" distR="0" wp14:anchorId="1BB8199A" wp14:editId="06B40B9D">
            <wp:extent cx="5731510" cy="4869815"/>
            <wp:effectExtent l="0" t="0" r="0" b="0"/>
            <wp:docPr id="79146699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66998" name="Grafik 791466998"/>
                    <pic:cNvPicPr/>
                  </pic:nvPicPr>
                  <pic:blipFill>
                    <a:blip r:embed="rId7">
                      <a:extLst>
                        <a:ext uri="{28A0092B-C50C-407E-A947-70E740481C1C}">
                          <a14:useLocalDpi xmlns:a14="http://schemas.microsoft.com/office/drawing/2010/main" val="0"/>
                        </a:ext>
                      </a:extLst>
                    </a:blip>
                    <a:stretch>
                      <a:fillRect/>
                    </a:stretch>
                  </pic:blipFill>
                  <pic:spPr>
                    <a:xfrm>
                      <a:off x="0" y="0"/>
                      <a:ext cx="5731510" cy="4869815"/>
                    </a:xfrm>
                    <a:prstGeom prst="rect">
                      <a:avLst/>
                    </a:prstGeom>
                  </pic:spPr>
                </pic:pic>
              </a:graphicData>
            </a:graphic>
          </wp:inline>
        </w:drawing>
      </w:r>
    </w:p>
    <w:p w14:paraId="2A1AA744" w14:textId="77777777" w:rsidR="002B6EDD" w:rsidRDefault="002B6EDD" w:rsidP="002B6EDD">
      <w:pPr>
        <w:jc w:val="center"/>
      </w:pPr>
    </w:p>
    <w:p w14:paraId="75661A85" w14:textId="77777777" w:rsidR="003378B6" w:rsidRDefault="00000000">
      <w:pPr>
        <w:spacing w:after="200"/>
        <w:jc w:val="center"/>
      </w:pPr>
      <w:r>
        <w:rPr>
          <w:b/>
          <w:bCs/>
          <w:color w:val="1B4F72"/>
          <w:sz w:val="56"/>
          <w:szCs w:val="56"/>
        </w:rPr>
        <w:t>MARKTANALYSE</w:t>
      </w:r>
    </w:p>
    <w:p w14:paraId="69144637" w14:textId="6E817756" w:rsidR="003378B6" w:rsidRDefault="00000000">
      <w:pPr>
        <w:spacing w:after="100"/>
        <w:jc w:val="center"/>
      </w:pPr>
      <w:r>
        <w:rPr>
          <w:color w:val="2E86C1"/>
          <w:sz w:val="36"/>
          <w:szCs w:val="36"/>
        </w:rPr>
        <w:t>Yachten &amp; Motorboote 8–21 Meter</w:t>
      </w:r>
    </w:p>
    <w:p w14:paraId="49D6AD62" w14:textId="77777777" w:rsidR="003378B6" w:rsidRDefault="00000000">
      <w:pPr>
        <w:spacing w:after="600"/>
        <w:jc w:val="center"/>
      </w:pPr>
      <w:r>
        <w:rPr>
          <w:color w:val="7F8C8D"/>
          <w:sz w:val="28"/>
          <w:szCs w:val="28"/>
        </w:rPr>
        <w:t>Weltweiter Markt mit Fokus Europa</w:t>
      </w:r>
    </w:p>
    <w:p w14:paraId="4BC656AD" w14:textId="77777777" w:rsidR="003378B6" w:rsidRDefault="003378B6">
      <w:pPr>
        <w:pBdr>
          <w:top w:val="single" w:sz="6" w:space="1" w:color="1B4F72"/>
        </w:pBdr>
        <w:spacing w:before="400" w:after="200"/>
        <w:jc w:val="center"/>
      </w:pPr>
    </w:p>
    <w:p w14:paraId="12F80F08" w14:textId="5CE297A8" w:rsidR="003378B6" w:rsidRDefault="00000000">
      <w:pPr>
        <w:spacing w:after="100"/>
        <w:jc w:val="center"/>
      </w:pPr>
      <w:r>
        <w:rPr>
          <w:color w:val="2C3E50"/>
          <w:sz w:val="24"/>
          <w:szCs w:val="24"/>
        </w:rPr>
        <w:t xml:space="preserve">Erstellt für: </w:t>
      </w:r>
      <w:r w:rsidR="002B6EDD">
        <w:rPr>
          <w:color w:val="2C3E50"/>
          <w:sz w:val="24"/>
          <w:szCs w:val="24"/>
        </w:rPr>
        <w:t>SKIPILY</w:t>
      </w:r>
      <w:r>
        <w:rPr>
          <w:color w:val="2C3E50"/>
          <w:sz w:val="24"/>
          <w:szCs w:val="24"/>
        </w:rPr>
        <w:t xml:space="preserve"> Pla</w:t>
      </w:r>
      <w:r w:rsidR="007224AD">
        <w:rPr>
          <w:color w:val="2C3E50"/>
          <w:sz w:val="24"/>
          <w:szCs w:val="24"/>
        </w:rPr>
        <w:t>t</w:t>
      </w:r>
      <w:r>
        <w:rPr>
          <w:color w:val="2C3E50"/>
          <w:sz w:val="24"/>
          <w:szCs w:val="24"/>
        </w:rPr>
        <w:t>tform</w:t>
      </w:r>
    </w:p>
    <w:p w14:paraId="516553C3" w14:textId="77777777" w:rsidR="003378B6" w:rsidRDefault="00000000">
      <w:pPr>
        <w:spacing w:after="100"/>
        <w:jc w:val="center"/>
      </w:pPr>
      <w:r>
        <w:rPr>
          <w:color w:val="2C3E50"/>
          <w:sz w:val="24"/>
          <w:szCs w:val="24"/>
        </w:rPr>
        <w:t>Padberg Beratung</w:t>
      </w:r>
    </w:p>
    <w:p w14:paraId="374B3FF9" w14:textId="77777777" w:rsidR="003378B6" w:rsidRDefault="00000000">
      <w:pPr>
        <w:spacing w:after="100"/>
        <w:jc w:val="center"/>
      </w:pPr>
      <w:r>
        <w:rPr>
          <w:color w:val="7F8C8D"/>
          <w:sz w:val="24"/>
          <w:szCs w:val="24"/>
        </w:rPr>
        <w:t>März 2026</w:t>
      </w:r>
    </w:p>
    <w:p w14:paraId="5CE20F05" w14:textId="77777777" w:rsidR="003378B6" w:rsidRDefault="003378B6">
      <w:pPr>
        <w:sectPr w:rsidR="003378B6">
          <w:pgSz w:w="11906" w:h="16838"/>
          <w:pgMar w:top="1440" w:right="1440" w:bottom="1440" w:left="1440" w:header="708" w:footer="708" w:gutter="0"/>
          <w:cols w:space="720"/>
          <w:docGrid w:linePitch="360"/>
        </w:sectPr>
      </w:pPr>
    </w:p>
    <w:p w14:paraId="67670B4E" w14:textId="77777777" w:rsidR="003378B6" w:rsidRDefault="00000000">
      <w:pPr>
        <w:pStyle w:val="berschrift1"/>
      </w:pPr>
      <w:r>
        <w:lastRenderedPageBreak/>
        <w:t>1. Flottengröße: Yachten 8–21 Meter</w:t>
      </w:r>
    </w:p>
    <w:p w14:paraId="77299D07" w14:textId="77777777" w:rsidR="003378B6" w:rsidRDefault="00000000">
      <w:pPr>
        <w:pStyle w:val="berschrift2"/>
      </w:pPr>
      <w:r>
        <w:t xml:space="preserve">1.1 </w:t>
      </w:r>
      <w:proofErr w:type="gramStart"/>
      <w:r>
        <w:t>Weltweit</w:t>
      </w:r>
      <w:proofErr w:type="gramEnd"/>
    </w:p>
    <w:p w14:paraId="127A12C0" w14:textId="444FB16B" w:rsidR="003378B6" w:rsidRDefault="00000000">
      <w:pPr>
        <w:spacing w:after="160"/>
      </w:pPr>
      <w:r>
        <w:rPr>
          <w:color w:val="2C3E50"/>
        </w:rPr>
        <w:t xml:space="preserve">Die globale Freizeitbootflotte umfasst nach aktuellen Schätzungen rund 30–35 Millionen registrierte Boote aller Größen. In den USA allein waren 2023 etwa 11,55 Millionen Boote registriert, wobei die Größenkategorie 16–26 Fuß (ca. 5–8 m) die häufigste ist. Im für </w:t>
      </w:r>
      <w:r w:rsidR="002B6EDD">
        <w:rPr>
          <w:color w:val="2C3E50"/>
        </w:rPr>
        <w:t>SKIPILY</w:t>
      </w:r>
      <w:r>
        <w:rPr>
          <w:color w:val="2C3E50"/>
        </w:rPr>
        <w:t xml:space="preserve"> relevanten Segment von 8–21 Metern (ca. 26–69 Fuß) schätzen Branchenanalysten die weltweite Flotte auf etwa 2–3 Millionen Einheiten, bestehend aus Motorbooten, Segelyachten und Katamaranen.</w:t>
      </w:r>
    </w:p>
    <w:p w14:paraId="702E174E" w14:textId="77777777" w:rsidR="003378B6" w:rsidRDefault="00000000">
      <w:pPr>
        <w:spacing w:after="160"/>
      </w:pPr>
      <w:r>
        <w:rPr>
          <w:color w:val="2C3E50"/>
        </w:rPr>
        <w:t>Darüber hinaus sind weltweit über 5.900 Superyachten (&gt;30 m) in Betrieb, mit über 600 weiteren im Bau (Stand Mitte 2024). Jedes Jahr werden durchschnittlich rund 171 neue Superyachten fertiggestellt, was einem Wert von ca. 4,5 Mrd. € jährlich entspricht.</w:t>
      </w:r>
    </w:p>
    <w:p w14:paraId="3340F715" w14:textId="77777777" w:rsidR="003378B6" w:rsidRDefault="00000000">
      <w:pPr>
        <w:spacing w:before="80" w:after="80"/>
      </w:pPr>
      <w:r>
        <w:rPr>
          <w:i/>
          <w:iCs/>
          <w:color w:val="7F8C8D"/>
          <w:sz w:val="18"/>
          <w:szCs w:val="18"/>
        </w:rPr>
        <w:t xml:space="preserve">Quellen: Statista / US Coast Guard (2024); DreamYachtSales.com „Yacht Industry </w:t>
      </w:r>
      <w:proofErr w:type="spellStart"/>
      <w:r>
        <w:rPr>
          <w:i/>
          <w:iCs/>
          <w:color w:val="7F8C8D"/>
          <w:sz w:val="18"/>
          <w:szCs w:val="18"/>
        </w:rPr>
        <w:t>Statistics</w:t>
      </w:r>
      <w:proofErr w:type="spellEnd"/>
      <w:r>
        <w:rPr>
          <w:i/>
          <w:iCs/>
          <w:color w:val="7F8C8D"/>
          <w:sz w:val="18"/>
          <w:szCs w:val="18"/>
        </w:rPr>
        <w:t xml:space="preserve"> 2026“; European </w:t>
      </w:r>
      <w:proofErr w:type="spellStart"/>
      <w:r>
        <w:rPr>
          <w:i/>
          <w:iCs/>
          <w:color w:val="7F8C8D"/>
          <w:sz w:val="18"/>
          <w:szCs w:val="18"/>
        </w:rPr>
        <w:t>Boating</w:t>
      </w:r>
      <w:proofErr w:type="spellEnd"/>
      <w:r>
        <w:rPr>
          <w:i/>
          <w:iCs/>
          <w:color w:val="7F8C8D"/>
          <w:sz w:val="18"/>
          <w:szCs w:val="18"/>
        </w:rPr>
        <w:t xml:space="preserve"> Industry (EBI)</w:t>
      </w:r>
    </w:p>
    <w:p w14:paraId="5E53C21C" w14:textId="77777777" w:rsidR="003378B6" w:rsidRDefault="00000000">
      <w:pPr>
        <w:pStyle w:val="berschrift2"/>
      </w:pPr>
      <w:r>
        <w:t>1.2 Europa</w:t>
      </w:r>
    </w:p>
    <w:p w14:paraId="4E4A9213" w14:textId="45B9078E" w:rsidR="003378B6" w:rsidRDefault="00000000">
      <w:pPr>
        <w:spacing w:after="160"/>
      </w:pPr>
      <w:r>
        <w:rPr>
          <w:color w:val="2C3E50"/>
        </w:rPr>
        <w:t xml:space="preserve">Laut European </w:t>
      </w:r>
      <w:proofErr w:type="spellStart"/>
      <w:r>
        <w:rPr>
          <w:color w:val="2C3E50"/>
        </w:rPr>
        <w:t>Boating</w:t>
      </w:r>
      <w:proofErr w:type="spellEnd"/>
      <w:r>
        <w:rPr>
          <w:color w:val="2C3E50"/>
        </w:rPr>
        <w:t xml:space="preserve"> Industry (EBI) befinden sich über 6,5 Millionen Boote in europäischen Gewässern. Die Mehrheit davon ist kleiner als 7,5 Meter. Im Segment 8–21 Meter – dem Kernmarkt für </w:t>
      </w:r>
      <w:r w:rsidR="002B6EDD">
        <w:rPr>
          <w:color w:val="2C3E50"/>
        </w:rPr>
        <w:t>SKIPILY</w:t>
      </w:r>
      <w:r>
        <w:rPr>
          <w:color w:val="2C3E50"/>
        </w:rPr>
        <w:t xml:space="preserve"> – ist von einer Flotte von ca. 800.000 bis 1,2 Millionen Einheiten auszugehen. Allein in Italien sind über 800.000 Boote registriert (alle Größen). Europa beherbergt 42 % der globalen Superyachtflotte.</w:t>
      </w:r>
    </w:p>
    <w:p w14:paraId="1DD2BDF1" w14:textId="77777777" w:rsidR="003378B6" w:rsidRDefault="00000000">
      <w:pPr>
        <w:spacing w:after="160"/>
      </w:pPr>
      <w:r>
        <w:rPr>
          <w:color w:val="2C3E50"/>
        </w:rPr>
        <w:t>36 Millionen Europäer nutzen regelmäßig Boote, unterstützt durch über 10.000 Marinas mit mehr als 1 Million Liegeplätzen.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126"/>
      </w:tblGrid>
      <w:tr w:rsidR="003378B6" w14:paraId="49986768" w14:textId="77777777">
        <w:tc>
          <w:tcPr>
            <w:tcW w:w="2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8CD94A0" w14:textId="77777777" w:rsidR="003378B6" w:rsidRDefault="00000000">
            <w:r>
              <w:rPr>
                <w:b/>
                <w:bCs/>
                <w:color w:val="FFFFFF"/>
                <w:sz w:val="20"/>
                <w:szCs w:val="20"/>
              </w:rPr>
              <w:t>Region</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1CBA24E" w14:textId="77777777" w:rsidR="003378B6" w:rsidRDefault="00000000">
            <w:r>
              <w:rPr>
                <w:b/>
                <w:bCs/>
                <w:color w:val="FFFFFF"/>
                <w:sz w:val="20"/>
                <w:szCs w:val="20"/>
              </w:rPr>
              <w:t>Gesamtflotte (alle Größen)</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C1E5E8E" w14:textId="77777777" w:rsidR="003378B6" w:rsidRDefault="00000000">
            <w:r>
              <w:rPr>
                <w:b/>
                <w:bCs/>
                <w:color w:val="FFFFFF"/>
                <w:sz w:val="20"/>
                <w:szCs w:val="20"/>
              </w:rPr>
              <w:t>Segment 8–21 m (Schätzung)</w:t>
            </w:r>
          </w:p>
        </w:tc>
        <w:tc>
          <w:tcPr>
            <w:tcW w:w="21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41E4DB7" w14:textId="77777777" w:rsidR="003378B6" w:rsidRDefault="00000000">
            <w:r>
              <w:rPr>
                <w:b/>
                <w:bCs/>
                <w:color w:val="FFFFFF"/>
                <w:sz w:val="20"/>
                <w:szCs w:val="20"/>
              </w:rPr>
              <w:t>Anteil Superyachten (&gt;30 m)</w:t>
            </w:r>
          </w:p>
        </w:tc>
      </w:tr>
      <w:tr w:rsidR="003378B6" w14:paraId="77409EDD" w14:textId="77777777">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6C3D945" w14:textId="77777777" w:rsidR="003378B6" w:rsidRDefault="00000000">
            <w:r>
              <w:rPr>
                <w:b/>
                <w:bCs/>
                <w:color w:val="2C3E50"/>
                <w:sz w:val="20"/>
                <w:szCs w:val="20"/>
              </w:rPr>
              <w:t>Weltweit</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27319C3" w14:textId="77777777" w:rsidR="003378B6" w:rsidRDefault="00000000">
            <w:r>
              <w:rPr>
                <w:color w:val="2C3E50"/>
                <w:sz w:val="20"/>
                <w:szCs w:val="20"/>
              </w:rPr>
              <w:t>ca. 30–35 Mio.</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4B024AF" w14:textId="77777777" w:rsidR="003378B6" w:rsidRDefault="00000000">
            <w:r>
              <w:rPr>
                <w:color w:val="2C3E50"/>
                <w:sz w:val="20"/>
                <w:szCs w:val="20"/>
              </w:rPr>
              <w:t>ca. 2–3 Mio.</w:t>
            </w:r>
          </w:p>
        </w:tc>
        <w:tc>
          <w:tcPr>
            <w:tcW w:w="21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47C150F" w14:textId="77777777" w:rsidR="003378B6" w:rsidRDefault="00000000">
            <w:r>
              <w:rPr>
                <w:color w:val="2C3E50"/>
                <w:sz w:val="20"/>
                <w:szCs w:val="20"/>
              </w:rPr>
              <w:t>ca. 6.100</w:t>
            </w:r>
          </w:p>
        </w:tc>
      </w:tr>
      <w:tr w:rsidR="003378B6" w14:paraId="332F1BC2" w14:textId="77777777">
        <w:tc>
          <w:tcPr>
            <w:tcW w:w="25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51B69E4" w14:textId="77777777" w:rsidR="003378B6" w:rsidRDefault="00000000">
            <w:r>
              <w:rPr>
                <w:b/>
                <w:bCs/>
                <w:color w:val="2C3E50"/>
                <w:sz w:val="20"/>
                <w:szCs w:val="20"/>
              </w:rPr>
              <w:t>Europa</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7BA0EFF" w14:textId="77777777" w:rsidR="003378B6" w:rsidRDefault="00000000">
            <w:r>
              <w:rPr>
                <w:color w:val="2C3E50"/>
                <w:sz w:val="20"/>
                <w:szCs w:val="20"/>
              </w:rPr>
              <w:t>über 6,5 Mio.</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7DE04D6" w14:textId="77777777" w:rsidR="003378B6" w:rsidRDefault="00000000">
            <w:r>
              <w:rPr>
                <w:color w:val="2C3E50"/>
                <w:sz w:val="20"/>
                <w:szCs w:val="20"/>
              </w:rPr>
              <w:t>ca. 800.000–1,2 Mio.</w:t>
            </w:r>
          </w:p>
        </w:tc>
        <w:tc>
          <w:tcPr>
            <w:tcW w:w="212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B6C420F" w14:textId="77777777" w:rsidR="003378B6" w:rsidRDefault="00000000">
            <w:r>
              <w:rPr>
                <w:color w:val="2C3E50"/>
                <w:sz w:val="20"/>
                <w:szCs w:val="20"/>
              </w:rPr>
              <w:t>ca. 2.800 (42 %)</w:t>
            </w:r>
          </w:p>
        </w:tc>
      </w:tr>
      <w:tr w:rsidR="003378B6" w14:paraId="2D8AB0F1" w14:textId="77777777">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148A0F1" w14:textId="77777777" w:rsidR="003378B6" w:rsidRDefault="00000000">
            <w:r>
              <w:rPr>
                <w:b/>
                <w:bCs/>
                <w:color w:val="2C3E50"/>
                <w:sz w:val="20"/>
                <w:szCs w:val="20"/>
              </w:rPr>
              <w:t>USA</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A53119F" w14:textId="77777777" w:rsidR="003378B6" w:rsidRDefault="00000000">
            <w:r>
              <w:rPr>
                <w:color w:val="2C3E50"/>
                <w:sz w:val="20"/>
                <w:szCs w:val="20"/>
              </w:rPr>
              <w:t>11,55 Mio.</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FD7D2F5" w14:textId="77777777" w:rsidR="003378B6" w:rsidRDefault="00000000">
            <w:r>
              <w:rPr>
                <w:color w:val="2C3E50"/>
                <w:sz w:val="20"/>
                <w:szCs w:val="20"/>
              </w:rPr>
              <w:t>ca. 500.000–700.000</w:t>
            </w:r>
          </w:p>
        </w:tc>
        <w:tc>
          <w:tcPr>
            <w:tcW w:w="21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5C4E4CF" w14:textId="77777777" w:rsidR="003378B6" w:rsidRDefault="00000000">
            <w:r>
              <w:rPr>
                <w:color w:val="2C3E50"/>
                <w:sz w:val="20"/>
                <w:szCs w:val="20"/>
              </w:rPr>
              <w:t>ca. 1.500 (25 %)</w:t>
            </w:r>
          </w:p>
        </w:tc>
      </w:tr>
    </w:tbl>
    <w:p w14:paraId="3CB2DBED" w14:textId="77777777" w:rsidR="003378B6" w:rsidRDefault="00000000">
      <w:pPr>
        <w:spacing w:before="80" w:after="80"/>
      </w:pPr>
      <w:r>
        <w:rPr>
          <w:i/>
          <w:iCs/>
          <w:color w:val="7F8C8D"/>
          <w:sz w:val="18"/>
          <w:szCs w:val="18"/>
        </w:rPr>
        <w:t xml:space="preserve">Quellen: European </w:t>
      </w:r>
      <w:proofErr w:type="spellStart"/>
      <w:r>
        <w:rPr>
          <w:i/>
          <w:iCs/>
          <w:color w:val="7F8C8D"/>
          <w:sz w:val="18"/>
          <w:szCs w:val="18"/>
        </w:rPr>
        <w:t>Boating</w:t>
      </w:r>
      <w:proofErr w:type="spellEnd"/>
      <w:r>
        <w:rPr>
          <w:i/>
          <w:iCs/>
          <w:color w:val="7F8C8D"/>
          <w:sz w:val="18"/>
          <w:szCs w:val="18"/>
        </w:rPr>
        <w:t xml:space="preserve"> Industry (EBI), europeanboatingindustry.eu/</w:t>
      </w:r>
      <w:proofErr w:type="spellStart"/>
      <w:r>
        <w:rPr>
          <w:i/>
          <w:iCs/>
          <w:color w:val="7F8C8D"/>
          <w:sz w:val="18"/>
          <w:szCs w:val="18"/>
        </w:rPr>
        <w:t>about-the-industry</w:t>
      </w:r>
      <w:proofErr w:type="spellEnd"/>
      <w:r>
        <w:rPr>
          <w:i/>
          <w:iCs/>
          <w:color w:val="7F8C8D"/>
          <w:sz w:val="18"/>
          <w:szCs w:val="18"/>
        </w:rPr>
        <w:t>/</w:t>
      </w:r>
      <w:proofErr w:type="spellStart"/>
      <w:r>
        <w:rPr>
          <w:i/>
          <w:iCs/>
          <w:color w:val="7F8C8D"/>
          <w:sz w:val="18"/>
          <w:szCs w:val="18"/>
        </w:rPr>
        <w:t>facts</w:t>
      </w:r>
      <w:proofErr w:type="spellEnd"/>
      <w:r>
        <w:rPr>
          <w:i/>
          <w:iCs/>
          <w:color w:val="7F8C8D"/>
          <w:sz w:val="18"/>
          <w:szCs w:val="18"/>
        </w:rPr>
        <w:t>-and-</w:t>
      </w:r>
      <w:proofErr w:type="spellStart"/>
      <w:r>
        <w:rPr>
          <w:i/>
          <w:iCs/>
          <w:color w:val="7F8C8D"/>
          <w:sz w:val="18"/>
          <w:szCs w:val="18"/>
        </w:rPr>
        <w:t>figures</w:t>
      </w:r>
      <w:proofErr w:type="spellEnd"/>
      <w:r>
        <w:rPr>
          <w:i/>
          <w:iCs/>
          <w:color w:val="7F8C8D"/>
          <w:sz w:val="18"/>
          <w:szCs w:val="18"/>
        </w:rPr>
        <w:t xml:space="preserve">; Statista „Registered </w:t>
      </w:r>
      <w:proofErr w:type="spellStart"/>
      <w:r>
        <w:rPr>
          <w:i/>
          <w:iCs/>
          <w:color w:val="7F8C8D"/>
          <w:sz w:val="18"/>
          <w:szCs w:val="18"/>
        </w:rPr>
        <w:t>recreational</w:t>
      </w:r>
      <w:proofErr w:type="spellEnd"/>
      <w:r>
        <w:rPr>
          <w:i/>
          <w:iCs/>
          <w:color w:val="7F8C8D"/>
          <w:sz w:val="18"/>
          <w:szCs w:val="18"/>
        </w:rPr>
        <w:t xml:space="preserve"> </w:t>
      </w:r>
      <w:proofErr w:type="spellStart"/>
      <w:r>
        <w:rPr>
          <w:i/>
          <w:iCs/>
          <w:color w:val="7F8C8D"/>
          <w:sz w:val="18"/>
          <w:szCs w:val="18"/>
        </w:rPr>
        <w:t>boats</w:t>
      </w:r>
      <w:proofErr w:type="spellEnd"/>
      <w:r>
        <w:rPr>
          <w:i/>
          <w:iCs/>
          <w:color w:val="7F8C8D"/>
          <w:sz w:val="18"/>
          <w:szCs w:val="18"/>
        </w:rPr>
        <w:t xml:space="preserve"> US 2024“; </w:t>
      </w:r>
      <w:proofErr w:type="spellStart"/>
      <w:r>
        <w:rPr>
          <w:i/>
          <w:iCs/>
          <w:color w:val="7F8C8D"/>
          <w:sz w:val="18"/>
          <w:szCs w:val="18"/>
        </w:rPr>
        <w:t>DreamYachtSales</w:t>
      </w:r>
      <w:proofErr w:type="spellEnd"/>
      <w:r>
        <w:rPr>
          <w:i/>
          <w:iCs/>
          <w:color w:val="7F8C8D"/>
          <w:sz w:val="18"/>
          <w:szCs w:val="18"/>
        </w:rPr>
        <w:t xml:space="preserve"> „Yacht Industry </w:t>
      </w:r>
      <w:proofErr w:type="spellStart"/>
      <w:r>
        <w:rPr>
          <w:i/>
          <w:iCs/>
          <w:color w:val="7F8C8D"/>
          <w:sz w:val="18"/>
          <w:szCs w:val="18"/>
        </w:rPr>
        <w:t>Statistics</w:t>
      </w:r>
      <w:proofErr w:type="spellEnd"/>
      <w:r>
        <w:rPr>
          <w:i/>
          <w:iCs/>
          <w:color w:val="7F8C8D"/>
          <w:sz w:val="18"/>
          <w:szCs w:val="18"/>
        </w:rPr>
        <w:t>“; PowerSys.com „2026 Superyacht Market Outlook“</w:t>
      </w:r>
    </w:p>
    <w:p w14:paraId="34ABECCA" w14:textId="77777777" w:rsidR="003378B6" w:rsidRDefault="00000000">
      <w:r>
        <w:br w:type="page"/>
      </w:r>
    </w:p>
    <w:p w14:paraId="42A7C51E" w14:textId="77777777" w:rsidR="003378B6" w:rsidRDefault="00000000">
      <w:pPr>
        <w:pStyle w:val="berschrift1"/>
      </w:pPr>
      <w:r>
        <w:lastRenderedPageBreak/>
        <w:t>2. Kapitalvolumen</w:t>
      </w:r>
    </w:p>
    <w:p w14:paraId="3941F188" w14:textId="77777777" w:rsidR="003378B6" w:rsidRDefault="00000000">
      <w:pPr>
        <w:pStyle w:val="berschrift2"/>
      </w:pPr>
      <w:r>
        <w:t>2.1 Marktwert gesamt</w:t>
      </w:r>
    </w:p>
    <w:p w14:paraId="31DBBBE2" w14:textId="77777777" w:rsidR="003378B6" w:rsidRDefault="00000000">
      <w:pPr>
        <w:spacing w:after="160"/>
      </w:pPr>
      <w:r>
        <w:rPr>
          <w:color w:val="2C3E50"/>
        </w:rPr>
        <w:t>Der globale Yachtmarkt (Neubauten, Gebrauchthandel und Refit) wird auf ca. 33 Mrd. € (rund 26 Mrd. USD) geschätzt (Stand 2023/2024). Der reine Neubaumarkt wurde 2024 auf USD 10,34–12,4 Mrd. beziffert, je nach Abgrenzung. Für den Superyacht-Sektor allein wurde 2025 ein Marktvolumen von rund USD 21,6 Mrd. ermittelt.</w:t>
      </w:r>
    </w:p>
    <w:p w14:paraId="55C39FE5" w14:textId="77777777" w:rsidR="003378B6" w:rsidRDefault="00000000">
      <w:pPr>
        <w:pStyle w:val="berschrift2"/>
      </w:pPr>
      <w:r>
        <w:t>2.2 Segment 8–21 Meter</w:t>
      </w:r>
    </w:p>
    <w:p w14:paraId="4CDA0961" w14:textId="1A982F3A" w:rsidR="003378B6" w:rsidRDefault="00000000">
      <w:pPr>
        <w:spacing w:after="160"/>
      </w:pPr>
      <w:r>
        <w:rPr>
          <w:color w:val="2C3E50"/>
        </w:rPr>
        <w:t xml:space="preserve">Für das </w:t>
      </w:r>
      <w:r w:rsidR="002B6EDD">
        <w:rPr>
          <w:color w:val="2C3E50"/>
        </w:rPr>
        <w:t>SKIPILY</w:t>
      </w:r>
      <w:r>
        <w:rPr>
          <w:color w:val="2C3E50"/>
        </w:rPr>
        <w:t>-Kernsegment (8–21 m) lässt sich das gebundene Kapital wie folgt abschätzen: Bei einem durchschnittlichen Marktwert von 150.000–300.000 € pro Yacht in dieser Größenklasse und einer geschätzten Weltflotte von 2–3 Mio. Einheiten ergibt sich ein Flottenkapitalwert von ca. 300–900 Mrd. € weltweit. In Europa liegt dieser Wert bei schätzungsweise 120–360 Mrd.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3378B6" w14:paraId="0557ECEB" w14:textId="77777777">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3A6AB5F" w14:textId="77777777" w:rsidR="003378B6" w:rsidRDefault="00000000">
            <w:r>
              <w:rPr>
                <w:b/>
                <w:bCs/>
                <w:color w:val="FFFFFF"/>
                <w:sz w:val="20"/>
                <w:szCs w:val="20"/>
              </w:rPr>
              <w:t>Kennzahl</w:t>
            </w:r>
          </w:p>
        </w:tc>
        <w:tc>
          <w:tcPr>
            <w:tcW w:w="30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C095340" w14:textId="77777777" w:rsidR="003378B6" w:rsidRDefault="00000000">
            <w:r>
              <w:rPr>
                <w:b/>
                <w:bCs/>
                <w:color w:val="FFFFFF"/>
                <w:sz w:val="20"/>
                <w:szCs w:val="20"/>
              </w:rPr>
              <w:t>Weltweit</w:t>
            </w:r>
          </w:p>
        </w:tc>
        <w:tc>
          <w:tcPr>
            <w:tcW w:w="3013"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CCB7BC4" w14:textId="77777777" w:rsidR="003378B6" w:rsidRDefault="00000000">
            <w:r>
              <w:rPr>
                <w:b/>
                <w:bCs/>
                <w:color w:val="FFFFFF"/>
                <w:sz w:val="20"/>
                <w:szCs w:val="20"/>
              </w:rPr>
              <w:t>Europa</w:t>
            </w:r>
          </w:p>
        </w:tc>
      </w:tr>
      <w:tr w:rsidR="003378B6" w14:paraId="192BDBAA" w14:textId="77777777">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9289744" w14:textId="77777777" w:rsidR="003378B6" w:rsidRDefault="00000000">
            <w:r>
              <w:rPr>
                <w:b/>
                <w:bCs/>
                <w:color w:val="2C3E50"/>
                <w:sz w:val="20"/>
                <w:szCs w:val="20"/>
              </w:rPr>
              <w:t>Gesamtmarkt (Yacht-Industrie)</w:t>
            </w:r>
          </w:p>
        </w:tc>
        <w:tc>
          <w:tcPr>
            <w:tcW w:w="30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53FBF67" w14:textId="77777777" w:rsidR="003378B6" w:rsidRDefault="00000000">
            <w:r>
              <w:rPr>
                <w:color w:val="2C3E50"/>
                <w:sz w:val="20"/>
                <w:szCs w:val="20"/>
              </w:rPr>
              <w:t>USD 10–12 Mrd. (Neubauten 2024)</w:t>
            </w:r>
          </w:p>
        </w:tc>
        <w:tc>
          <w:tcPr>
            <w:tcW w:w="30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99EB8FF" w14:textId="77777777" w:rsidR="003378B6" w:rsidRDefault="00000000">
            <w:r>
              <w:rPr>
                <w:color w:val="2C3E50"/>
                <w:sz w:val="20"/>
                <w:szCs w:val="20"/>
              </w:rPr>
              <w:t>ca. 39–44 % Anteil</w:t>
            </w:r>
          </w:p>
        </w:tc>
      </w:tr>
      <w:tr w:rsidR="003378B6" w14:paraId="26865434" w14:textId="77777777">
        <w:tc>
          <w:tcPr>
            <w:tcW w:w="3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296D81B" w14:textId="77777777" w:rsidR="003378B6" w:rsidRDefault="00000000">
            <w:r>
              <w:rPr>
                <w:b/>
                <w:bCs/>
                <w:color w:val="2C3E50"/>
                <w:sz w:val="20"/>
                <w:szCs w:val="20"/>
              </w:rPr>
              <w:t>Flottenkapital 8–21 m (Schätzung)</w:t>
            </w:r>
          </w:p>
        </w:tc>
        <w:tc>
          <w:tcPr>
            <w:tcW w:w="3013"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FED6B5C" w14:textId="77777777" w:rsidR="003378B6" w:rsidRDefault="00000000">
            <w:r>
              <w:rPr>
                <w:color w:val="2C3E50"/>
                <w:sz w:val="20"/>
                <w:szCs w:val="20"/>
              </w:rPr>
              <w:t>ca. 300–900 Mrd. €</w:t>
            </w:r>
          </w:p>
        </w:tc>
        <w:tc>
          <w:tcPr>
            <w:tcW w:w="3013"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23C834F" w14:textId="77777777" w:rsidR="003378B6" w:rsidRDefault="00000000">
            <w:r>
              <w:rPr>
                <w:color w:val="2C3E50"/>
                <w:sz w:val="20"/>
                <w:szCs w:val="20"/>
              </w:rPr>
              <w:t>ca. 120–360 Mrd. €</w:t>
            </w:r>
          </w:p>
        </w:tc>
      </w:tr>
      <w:tr w:rsidR="003378B6" w14:paraId="212B69B9" w14:textId="77777777">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5914F4" w14:textId="77777777" w:rsidR="003378B6" w:rsidRDefault="00000000">
            <w:r>
              <w:rPr>
                <w:b/>
                <w:bCs/>
                <w:color w:val="2C3E50"/>
                <w:sz w:val="20"/>
                <w:szCs w:val="20"/>
              </w:rPr>
              <w:t>Durchschn. Yachtwert 8–21 m</w:t>
            </w:r>
          </w:p>
        </w:tc>
        <w:tc>
          <w:tcPr>
            <w:tcW w:w="30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68581C0" w14:textId="77777777" w:rsidR="003378B6" w:rsidRDefault="00000000">
            <w:r>
              <w:rPr>
                <w:color w:val="2C3E50"/>
                <w:sz w:val="20"/>
                <w:szCs w:val="20"/>
              </w:rPr>
              <w:t>150.000–300.000 €</w:t>
            </w:r>
          </w:p>
        </w:tc>
        <w:tc>
          <w:tcPr>
            <w:tcW w:w="30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ACF6391" w14:textId="77777777" w:rsidR="003378B6" w:rsidRDefault="00000000">
            <w:r>
              <w:rPr>
                <w:color w:val="2C3E50"/>
                <w:sz w:val="20"/>
                <w:szCs w:val="20"/>
              </w:rPr>
              <w:t>150.000–300.000 €</w:t>
            </w:r>
          </w:p>
        </w:tc>
      </w:tr>
      <w:tr w:rsidR="003378B6" w14:paraId="1F27E620" w14:textId="77777777">
        <w:tc>
          <w:tcPr>
            <w:tcW w:w="3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983B2F4" w14:textId="77777777" w:rsidR="003378B6" w:rsidRDefault="00000000">
            <w:r>
              <w:rPr>
                <w:b/>
                <w:bCs/>
                <w:color w:val="2C3E50"/>
                <w:sz w:val="20"/>
                <w:szCs w:val="20"/>
              </w:rPr>
              <w:t>Superyacht-Markt (&gt;24 m)</w:t>
            </w:r>
          </w:p>
        </w:tc>
        <w:tc>
          <w:tcPr>
            <w:tcW w:w="3013"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C74FED3" w14:textId="77777777" w:rsidR="003378B6" w:rsidRDefault="00000000">
            <w:r>
              <w:rPr>
                <w:color w:val="2C3E50"/>
                <w:sz w:val="20"/>
                <w:szCs w:val="20"/>
              </w:rPr>
              <w:t>USD 21,6 Mrd. (2025)</w:t>
            </w:r>
          </w:p>
        </w:tc>
        <w:tc>
          <w:tcPr>
            <w:tcW w:w="3013"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F60C9BB" w14:textId="77777777" w:rsidR="003378B6" w:rsidRDefault="00000000">
            <w:r>
              <w:rPr>
                <w:color w:val="2C3E50"/>
                <w:sz w:val="20"/>
                <w:szCs w:val="20"/>
              </w:rPr>
              <w:t>EUR 15 Mrd. Fertigung (2023)</w:t>
            </w:r>
          </w:p>
        </w:tc>
      </w:tr>
    </w:tbl>
    <w:p w14:paraId="58B40F46" w14:textId="77777777" w:rsidR="003378B6" w:rsidRDefault="00000000">
      <w:pPr>
        <w:spacing w:before="80" w:after="80"/>
      </w:pPr>
      <w:r>
        <w:rPr>
          <w:i/>
          <w:iCs/>
          <w:color w:val="7F8C8D"/>
          <w:sz w:val="18"/>
          <w:szCs w:val="18"/>
        </w:rPr>
        <w:t xml:space="preserve">Quellen: Grand View Research „Yacht Market Size &amp; Trends 2033“; Global Market </w:t>
      </w:r>
      <w:proofErr w:type="spellStart"/>
      <w:r>
        <w:rPr>
          <w:i/>
          <w:iCs/>
          <w:color w:val="7F8C8D"/>
          <w:sz w:val="18"/>
          <w:szCs w:val="18"/>
        </w:rPr>
        <w:t>Insights</w:t>
      </w:r>
      <w:proofErr w:type="spellEnd"/>
      <w:r>
        <w:rPr>
          <w:i/>
          <w:iCs/>
          <w:color w:val="7F8C8D"/>
          <w:sz w:val="18"/>
          <w:szCs w:val="18"/>
        </w:rPr>
        <w:t xml:space="preserve"> „Yacht Market 2025–2034“; </w:t>
      </w:r>
      <w:proofErr w:type="spellStart"/>
      <w:r>
        <w:rPr>
          <w:i/>
          <w:iCs/>
          <w:color w:val="7F8C8D"/>
          <w:sz w:val="18"/>
          <w:szCs w:val="18"/>
        </w:rPr>
        <w:t>DreamYachtSales</w:t>
      </w:r>
      <w:proofErr w:type="spellEnd"/>
      <w:r>
        <w:rPr>
          <w:i/>
          <w:iCs/>
          <w:color w:val="7F8C8D"/>
          <w:sz w:val="18"/>
          <w:szCs w:val="18"/>
        </w:rPr>
        <w:t xml:space="preserve"> „Yacht Industry </w:t>
      </w:r>
      <w:proofErr w:type="spellStart"/>
      <w:r>
        <w:rPr>
          <w:i/>
          <w:iCs/>
          <w:color w:val="7F8C8D"/>
          <w:sz w:val="18"/>
          <w:szCs w:val="18"/>
        </w:rPr>
        <w:t>Statistics</w:t>
      </w:r>
      <w:proofErr w:type="spellEnd"/>
      <w:r>
        <w:rPr>
          <w:i/>
          <w:iCs/>
          <w:color w:val="7F8C8D"/>
          <w:sz w:val="18"/>
          <w:szCs w:val="18"/>
        </w:rPr>
        <w:t xml:space="preserve">“; </w:t>
      </w:r>
      <w:proofErr w:type="spellStart"/>
      <w:r>
        <w:rPr>
          <w:i/>
          <w:iCs/>
          <w:color w:val="7F8C8D"/>
          <w:sz w:val="18"/>
          <w:szCs w:val="18"/>
        </w:rPr>
        <w:t>PowerSys</w:t>
      </w:r>
      <w:proofErr w:type="spellEnd"/>
      <w:r>
        <w:rPr>
          <w:i/>
          <w:iCs/>
          <w:color w:val="7F8C8D"/>
          <w:sz w:val="18"/>
          <w:szCs w:val="18"/>
        </w:rPr>
        <w:t xml:space="preserve"> „2026 Superyacht Market“; </w:t>
      </w:r>
      <w:proofErr w:type="spellStart"/>
      <w:r>
        <w:rPr>
          <w:i/>
          <w:iCs/>
          <w:color w:val="7F8C8D"/>
          <w:sz w:val="18"/>
          <w:szCs w:val="18"/>
        </w:rPr>
        <w:t>WifiTalents</w:t>
      </w:r>
      <w:proofErr w:type="spellEnd"/>
      <w:r>
        <w:rPr>
          <w:i/>
          <w:iCs/>
          <w:color w:val="7F8C8D"/>
          <w:sz w:val="18"/>
          <w:szCs w:val="18"/>
        </w:rPr>
        <w:t xml:space="preserve"> „Yacht Industry Data Reports 2026“</w:t>
      </w:r>
    </w:p>
    <w:p w14:paraId="0EBACC5F" w14:textId="77777777" w:rsidR="003378B6" w:rsidRDefault="00000000">
      <w:r>
        <w:br w:type="page"/>
      </w:r>
    </w:p>
    <w:p w14:paraId="2F3F071E" w14:textId="77777777" w:rsidR="003378B6" w:rsidRDefault="00000000">
      <w:pPr>
        <w:pStyle w:val="berschrift1"/>
      </w:pPr>
      <w:r>
        <w:lastRenderedPageBreak/>
        <w:t>3. Jährliche Unterhaltskosten</w:t>
      </w:r>
    </w:p>
    <w:p w14:paraId="2000E2FE" w14:textId="77777777" w:rsidR="003378B6" w:rsidRDefault="00000000">
      <w:pPr>
        <w:pStyle w:val="berschrift2"/>
      </w:pPr>
      <w:r>
        <w:t>3.1 Die 10-%-Faustregel</w:t>
      </w:r>
    </w:p>
    <w:p w14:paraId="5D10DCA0" w14:textId="77777777" w:rsidR="003378B6" w:rsidRDefault="00000000">
      <w:pPr>
        <w:spacing w:after="160"/>
      </w:pPr>
      <w:r>
        <w:rPr>
          <w:color w:val="2C3E50"/>
        </w:rPr>
        <w:t>In der Yachtbranche gilt seit Langem die „10-%-Regel“: Eigner sollten jährlich rund 10 % des Kaufpreises für Betrieb und Unterhalt einplanen. Boat International beziffert die jährlichen Unterhaltskosten auf 5–10 % des Kaufpreises. Bei größeren Yachten mit Crew kann dieser Wert auf 15 % und mehr steigen.</w:t>
      </w:r>
    </w:p>
    <w:p w14:paraId="6AECC25C" w14:textId="77777777" w:rsidR="003378B6" w:rsidRDefault="00000000">
      <w:pPr>
        <w:pStyle w:val="berschrift2"/>
      </w:pPr>
      <w:r>
        <w:t>3.2 Aufschlüsselung</w:t>
      </w:r>
    </w:p>
    <w:p w14:paraId="17E93444" w14:textId="77777777" w:rsidR="003378B6" w:rsidRDefault="00000000">
      <w:pPr>
        <w:spacing w:after="160"/>
      </w:pPr>
      <w:r>
        <w:rPr>
          <w:color w:val="2C3E50"/>
        </w:rPr>
        <w:t>Die 10 % umfassen: Wartung und Reparaturen (Motorservice, Rumpfpflege, Antifouling, Anoden), Versicherung (0,5–2 % des Yachtwerts), Liegeplätze/Marina (in Toplagen wie Monaco oder Saint-Tropez sechsstellige Beträge für größere Yachten), Treibstoff, sowie ggf. Crew-Kosten. Nicht enthalten sind Finanzierungskosten und Wertminderung.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1"/>
        <w:gridCol w:w="1874"/>
        <w:gridCol w:w="1530"/>
        <w:gridCol w:w="1744"/>
        <w:gridCol w:w="1787"/>
      </w:tblGrid>
      <w:tr w:rsidR="003378B6" w14:paraId="1B0EC349" w14:textId="77777777">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886DD4E" w14:textId="77777777" w:rsidR="003378B6" w:rsidRDefault="00000000">
            <w:r>
              <w:rPr>
                <w:b/>
                <w:bCs/>
                <w:color w:val="FFFFFF"/>
                <w:sz w:val="20"/>
                <w:szCs w:val="20"/>
              </w:rPr>
              <w:t>Yachtgröße / Kaufpreis</w:t>
            </w:r>
          </w:p>
        </w:tc>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8E4F9EA" w14:textId="77777777" w:rsidR="003378B6" w:rsidRDefault="00000000">
            <w:r>
              <w:rPr>
                <w:b/>
                <w:bCs/>
                <w:color w:val="FFFFFF"/>
                <w:sz w:val="20"/>
                <w:szCs w:val="20"/>
              </w:rPr>
              <w:t>Unterhaltskosten (10 %)</w:t>
            </w:r>
          </w:p>
        </w:tc>
        <w:tc>
          <w:tcPr>
            <w:tcW w:w="1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3545429" w14:textId="77777777" w:rsidR="003378B6" w:rsidRDefault="00000000">
            <w:r>
              <w:rPr>
                <w:b/>
                <w:bCs/>
                <w:color w:val="FFFFFF"/>
                <w:sz w:val="20"/>
                <w:szCs w:val="20"/>
              </w:rPr>
              <w:t>Davon Wartung</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52D6DAD" w14:textId="77777777" w:rsidR="003378B6" w:rsidRDefault="00000000">
            <w:r>
              <w:rPr>
                <w:b/>
                <w:bCs/>
                <w:color w:val="FFFFFF"/>
                <w:sz w:val="20"/>
                <w:szCs w:val="20"/>
              </w:rPr>
              <w:t>Davon Marina/Jahr</w:t>
            </w:r>
          </w:p>
        </w:tc>
        <w:tc>
          <w:tcPr>
            <w:tcW w:w="18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AD57C4F" w14:textId="77777777" w:rsidR="003378B6" w:rsidRDefault="00000000">
            <w:r>
              <w:rPr>
                <w:b/>
                <w:bCs/>
                <w:color w:val="FFFFFF"/>
                <w:sz w:val="20"/>
                <w:szCs w:val="20"/>
              </w:rPr>
              <w:t>Versicherung</w:t>
            </w:r>
          </w:p>
        </w:tc>
      </w:tr>
      <w:tr w:rsidR="003378B6" w14:paraId="42D76288" w14:textId="77777777">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066803E" w14:textId="77777777" w:rsidR="003378B6" w:rsidRDefault="00000000">
            <w:r>
              <w:rPr>
                <w:b/>
                <w:bCs/>
                <w:color w:val="2C3E50"/>
                <w:sz w:val="20"/>
                <w:szCs w:val="20"/>
              </w:rPr>
              <w:t>10 m / 150.000 €</w:t>
            </w:r>
          </w:p>
        </w:tc>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7529142" w14:textId="77777777" w:rsidR="003378B6" w:rsidRDefault="00000000">
            <w:r>
              <w:rPr>
                <w:color w:val="2C3E50"/>
                <w:sz w:val="20"/>
                <w:szCs w:val="20"/>
              </w:rPr>
              <w:t>15.000 €</w:t>
            </w:r>
          </w:p>
        </w:tc>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59B566F" w14:textId="77777777" w:rsidR="003378B6" w:rsidRDefault="00000000">
            <w:r>
              <w:rPr>
                <w:color w:val="2C3E50"/>
                <w:sz w:val="20"/>
                <w:szCs w:val="20"/>
              </w:rPr>
              <w:t>5.000–8.000 €</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34FC8C6" w14:textId="77777777" w:rsidR="003378B6" w:rsidRDefault="00000000">
            <w:r>
              <w:rPr>
                <w:color w:val="2C3E50"/>
                <w:sz w:val="20"/>
                <w:szCs w:val="20"/>
              </w:rPr>
              <w:t>2.000–10.000 €</w:t>
            </w:r>
          </w:p>
        </w:tc>
        <w:tc>
          <w:tcPr>
            <w:tcW w:w="1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6D635B6" w14:textId="77777777" w:rsidR="003378B6" w:rsidRDefault="00000000">
            <w:r>
              <w:rPr>
                <w:color w:val="2C3E50"/>
                <w:sz w:val="20"/>
                <w:szCs w:val="20"/>
              </w:rPr>
              <w:t>750–3.000 €</w:t>
            </w:r>
          </w:p>
        </w:tc>
      </w:tr>
      <w:tr w:rsidR="003378B6" w14:paraId="53E5BD4E" w14:textId="77777777">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BEBC5F5" w14:textId="77777777" w:rsidR="003378B6" w:rsidRDefault="00000000">
            <w:r>
              <w:rPr>
                <w:b/>
                <w:bCs/>
                <w:color w:val="2C3E50"/>
                <w:sz w:val="20"/>
                <w:szCs w:val="20"/>
              </w:rPr>
              <w:t>15 m / 350.000 €</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F163DF0" w14:textId="77777777" w:rsidR="003378B6" w:rsidRDefault="00000000">
            <w:r>
              <w:rPr>
                <w:color w:val="2C3E50"/>
                <w:sz w:val="20"/>
                <w:szCs w:val="20"/>
              </w:rPr>
              <w:t>35.000 €</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3531CA5" w14:textId="77777777" w:rsidR="003378B6" w:rsidRDefault="00000000">
            <w:r>
              <w:rPr>
                <w:color w:val="2C3E50"/>
                <w:sz w:val="20"/>
                <w:szCs w:val="20"/>
              </w:rPr>
              <w:t>10.000–20.000 €</w:t>
            </w:r>
          </w:p>
        </w:tc>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67EB48A" w14:textId="77777777" w:rsidR="003378B6" w:rsidRDefault="00000000">
            <w:r>
              <w:rPr>
                <w:color w:val="2C3E50"/>
                <w:sz w:val="20"/>
                <w:szCs w:val="20"/>
              </w:rPr>
              <w:t>5.000–15.000 €</w:t>
            </w:r>
          </w:p>
        </w:tc>
        <w:tc>
          <w:tcPr>
            <w:tcW w:w="182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5E100B9" w14:textId="77777777" w:rsidR="003378B6" w:rsidRDefault="00000000">
            <w:r>
              <w:rPr>
                <w:color w:val="2C3E50"/>
                <w:sz w:val="20"/>
                <w:szCs w:val="20"/>
              </w:rPr>
              <w:t>1.750–7.000 €</w:t>
            </w:r>
          </w:p>
        </w:tc>
      </w:tr>
      <w:tr w:rsidR="003378B6" w14:paraId="4C11BE70" w14:textId="77777777">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F9C3C2B" w14:textId="77777777" w:rsidR="003378B6" w:rsidRDefault="00000000">
            <w:r>
              <w:rPr>
                <w:b/>
                <w:bCs/>
                <w:color w:val="2C3E50"/>
                <w:sz w:val="20"/>
                <w:szCs w:val="20"/>
              </w:rPr>
              <w:t>21 m / 800.000 €</w:t>
            </w:r>
          </w:p>
        </w:tc>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7BD0781" w14:textId="77777777" w:rsidR="003378B6" w:rsidRDefault="00000000">
            <w:r>
              <w:rPr>
                <w:color w:val="2C3E50"/>
                <w:sz w:val="20"/>
                <w:szCs w:val="20"/>
              </w:rPr>
              <w:t>80.000 €</w:t>
            </w:r>
          </w:p>
        </w:tc>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9D59716" w14:textId="77777777" w:rsidR="003378B6" w:rsidRDefault="00000000">
            <w:r>
              <w:rPr>
                <w:color w:val="2C3E50"/>
                <w:sz w:val="20"/>
                <w:szCs w:val="20"/>
              </w:rPr>
              <w:t>25.000–50.000 €</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11FBD0" w14:textId="77777777" w:rsidR="003378B6" w:rsidRDefault="00000000">
            <w:r>
              <w:rPr>
                <w:color w:val="2C3E50"/>
                <w:sz w:val="20"/>
                <w:szCs w:val="20"/>
              </w:rPr>
              <w:t>10.000–30.000 €</w:t>
            </w:r>
          </w:p>
        </w:tc>
        <w:tc>
          <w:tcPr>
            <w:tcW w:w="1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6F625B8" w14:textId="77777777" w:rsidR="003378B6" w:rsidRDefault="00000000">
            <w:r>
              <w:rPr>
                <w:color w:val="2C3E50"/>
                <w:sz w:val="20"/>
                <w:szCs w:val="20"/>
              </w:rPr>
              <w:t>4.000–16.000 €</w:t>
            </w:r>
          </w:p>
        </w:tc>
      </w:tr>
    </w:tbl>
    <w:p w14:paraId="5FC3AA2C" w14:textId="77777777" w:rsidR="003378B6" w:rsidRDefault="003378B6">
      <w:pPr>
        <w:spacing w:after="160"/>
      </w:pPr>
    </w:p>
    <w:p w14:paraId="706451DE" w14:textId="77777777" w:rsidR="003378B6" w:rsidRDefault="00000000">
      <w:pPr>
        <w:spacing w:after="160"/>
      </w:pPr>
      <w:r>
        <w:rPr>
          <w:b/>
          <w:bCs/>
          <w:color w:val="2C3E50"/>
        </w:rPr>
        <w:t xml:space="preserve">Gesamtes jährliches Unterhaltsvolumen (Schätzung): </w:t>
      </w:r>
      <w:r>
        <w:rPr>
          <w:color w:val="2C3E50"/>
        </w:rPr>
        <w:t>Bei einer europäischen Flotte von ca. 800.000–1,2 Mio. Yachten im Segment 8–21 m und durchschnittlichen Unterhaltskosten von 15.000–80.000 € pro Boot ergibt sich ein adressierbares Service-Marktvolumen von ca. 20–40 Mrd. € jährlich allein in Europa.</w:t>
      </w:r>
    </w:p>
    <w:p w14:paraId="53A5A377" w14:textId="77777777" w:rsidR="003378B6" w:rsidRDefault="00000000">
      <w:pPr>
        <w:spacing w:before="80" w:after="80"/>
      </w:pPr>
      <w:r>
        <w:rPr>
          <w:i/>
          <w:iCs/>
          <w:color w:val="7F8C8D"/>
          <w:sz w:val="18"/>
          <w:szCs w:val="18"/>
        </w:rPr>
        <w:t xml:space="preserve">Quellen: Boat International „Hidden </w:t>
      </w:r>
      <w:proofErr w:type="spellStart"/>
      <w:r>
        <w:rPr>
          <w:i/>
          <w:iCs/>
          <w:color w:val="7F8C8D"/>
          <w:sz w:val="18"/>
          <w:szCs w:val="18"/>
        </w:rPr>
        <w:t>costs</w:t>
      </w:r>
      <w:proofErr w:type="spellEnd"/>
      <w:r>
        <w:rPr>
          <w:i/>
          <w:iCs/>
          <w:color w:val="7F8C8D"/>
          <w:sz w:val="18"/>
          <w:szCs w:val="18"/>
        </w:rPr>
        <w:t xml:space="preserve"> </w:t>
      </w:r>
      <w:proofErr w:type="spellStart"/>
      <w:r>
        <w:rPr>
          <w:i/>
          <w:iCs/>
          <w:color w:val="7F8C8D"/>
          <w:sz w:val="18"/>
          <w:szCs w:val="18"/>
        </w:rPr>
        <w:t>of</w:t>
      </w:r>
      <w:proofErr w:type="spellEnd"/>
      <w:r>
        <w:rPr>
          <w:i/>
          <w:iCs/>
          <w:color w:val="7F8C8D"/>
          <w:sz w:val="18"/>
          <w:szCs w:val="18"/>
        </w:rPr>
        <w:t xml:space="preserve"> </w:t>
      </w:r>
      <w:proofErr w:type="spellStart"/>
      <w:r>
        <w:rPr>
          <w:i/>
          <w:iCs/>
          <w:color w:val="7F8C8D"/>
          <w:sz w:val="18"/>
          <w:szCs w:val="18"/>
        </w:rPr>
        <w:t>owning</w:t>
      </w:r>
      <w:proofErr w:type="spellEnd"/>
      <w:r>
        <w:rPr>
          <w:i/>
          <w:iCs/>
          <w:color w:val="7F8C8D"/>
          <w:sz w:val="18"/>
          <w:szCs w:val="18"/>
        </w:rPr>
        <w:t xml:space="preserve"> a </w:t>
      </w:r>
      <w:proofErr w:type="spellStart"/>
      <w:r>
        <w:rPr>
          <w:i/>
          <w:iCs/>
          <w:color w:val="7F8C8D"/>
          <w:sz w:val="18"/>
          <w:szCs w:val="18"/>
        </w:rPr>
        <w:t>yacht</w:t>
      </w:r>
      <w:proofErr w:type="spellEnd"/>
      <w:r>
        <w:rPr>
          <w:i/>
          <w:iCs/>
          <w:color w:val="7F8C8D"/>
          <w:sz w:val="18"/>
          <w:szCs w:val="18"/>
        </w:rPr>
        <w:t xml:space="preserve">“ (Juni 2025); YachtBuyer.com „How </w:t>
      </w:r>
      <w:proofErr w:type="spellStart"/>
      <w:r>
        <w:rPr>
          <w:i/>
          <w:iCs/>
          <w:color w:val="7F8C8D"/>
          <w:sz w:val="18"/>
          <w:szCs w:val="18"/>
        </w:rPr>
        <w:t>much</w:t>
      </w:r>
      <w:proofErr w:type="spellEnd"/>
      <w:r>
        <w:rPr>
          <w:i/>
          <w:iCs/>
          <w:color w:val="7F8C8D"/>
          <w:sz w:val="18"/>
          <w:szCs w:val="18"/>
        </w:rPr>
        <w:t xml:space="preserve"> </w:t>
      </w:r>
      <w:proofErr w:type="spellStart"/>
      <w:r>
        <w:rPr>
          <w:i/>
          <w:iCs/>
          <w:color w:val="7F8C8D"/>
          <w:sz w:val="18"/>
          <w:szCs w:val="18"/>
        </w:rPr>
        <w:t>does</w:t>
      </w:r>
      <w:proofErr w:type="spellEnd"/>
      <w:r>
        <w:rPr>
          <w:i/>
          <w:iCs/>
          <w:color w:val="7F8C8D"/>
          <w:sz w:val="18"/>
          <w:szCs w:val="18"/>
        </w:rPr>
        <w:t xml:space="preserve"> a </w:t>
      </w:r>
      <w:proofErr w:type="spellStart"/>
      <w:r>
        <w:rPr>
          <w:i/>
          <w:iCs/>
          <w:color w:val="7F8C8D"/>
          <w:sz w:val="18"/>
          <w:szCs w:val="18"/>
        </w:rPr>
        <w:t>new</w:t>
      </w:r>
      <w:proofErr w:type="spellEnd"/>
      <w:r>
        <w:rPr>
          <w:i/>
          <w:iCs/>
          <w:color w:val="7F8C8D"/>
          <w:sz w:val="18"/>
          <w:szCs w:val="18"/>
        </w:rPr>
        <w:t xml:space="preserve"> </w:t>
      </w:r>
      <w:proofErr w:type="spellStart"/>
      <w:r>
        <w:rPr>
          <w:i/>
          <w:iCs/>
          <w:color w:val="7F8C8D"/>
          <w:sz w:val="18"/>
          <w:szCs w:val="18"/>
        </w:rPr>
        <w:t>yacht</w:t>
      </w:r>
      <w:proofErr w:type="spellEnd"/>
      <w:r>
        <w:rPr>
          <w:i/>
          <w:iCs/>
          <w:color w:val="7F8C8D"/>
          <w:sz w:val="18"/>
          <w:szCs w:val="18"/>
        </w:rPr>
        <w:t xml:space="preserve"> </w:t>
      </w:r>
      <w:proofErr w:type="spellStart"/>
      <w:r>
        <w:rPr>
          <w:i/>
          <w:iCs/>
          <w:color w:val="7F8C8D"/>
          <w:sz w:val="18"/>
          <w:szCs w:val="18"/>
        </w:rPr>
        <w:t>cost</w:t>
      </w:r>
      <w:proofErr w:type="spellEnd"/>
      <w:r>
        <w:rPr>
          <w:i/>
          <w:iCs/>
          <w:color w:val="7F8C8D"/>
          <w:sz w:val="18"/>
          <w:szCs w:val="18"/>
        </w:rPr>
        <w:t xml:space="preserve"> </w:t>
      </w:r>
      <w:proofErr w:type="spellStart"/>
      <w:r>
        <w:rPr>
          <w:i/>
          <w:iCs/>
          <w:color w:val="7F8C8D"/>
          <w:sz w:val="18"/>
          <w:szCs w:val="18"/>
        </w:rPr>
        <w:t>to</w:t>
      </w:r>
      <w:proofErr w:type="spellEnd"/>
      <w:r>
        <w:rPr>
          <w:i/>
          <w:iCs/>
          <w:color w:val="7F8C8D"/>
          <w:sz w:val="18"/>
          <w:szCs w:val="18"/>
        </w:rPr>
        <w:t xml:space="preserve"> </w:t>
      </w:r>
      <w:proofErr w:type="spellStart"/>
      <w:r>
        <w:rPr>
          <w:i/>
          <w:iCs/>
          <w:color w:val="7F8C8D"/>
          <w:sz w:val="18"/>
          <w:szCs w:val="18"/>
        </w:rPr>
        <w:t>run</w:t>
      </w:r>
      <w:proofErr w:type="spellEnd"/>
      <w:r>
        <w:rPr>
          <w:i/>
          <w:iCs/>
          <w:color w:val="7F8C8D"/>
          <w:sz w:val="18"/>
          <w:szCs w:val="18"/>
        </w:rPr>
        <w:t xml:space="preserve">?“; WS Yacht Brokers „10% Rule Guide“ (2025); 212 Yachts „Yacht Ownership Costs“; </w:t>
      </w:r>
      <w:proofErr w:type="spellStart"/>
      <w:r>
        <w:rPr>
          <w:i/>
          <w:iCs/>
          <w:color w:val="7F8C8D"/>
          <w:sz w:val="18"/>
          <w:szCs w:val="18"/>
        </w:rPr>
        <w:t>RecNationStorage</w:t>
      </w:r>
      <w:proofErr w:type="spellEnd"/>
      <w:r>
        <w:rPr>
          <w:i/>
          <w:iCs/>
          <w:color w:val="7F8C8D"/>
          <w:sz w:val="18"/>
          <w:szCs w:val="18"/>
        </w:rPr>
        <w:t xml:space="preserve"> „Rule </w:t>
      </w:r>
      <w:proofErr w:type="spellStart"/>
      <w:r>
        <w:rPr>
          <w:i/>
          <w:iCs/>
          <w:color w:val="7F8C8D"/>
          <w:sz w:val="18"/>
          <w:szCs w:val="18"/>
        </w:rPr>
        <w:t>of</w:t>
      </w:r>
      <w:proofErr w:type="spellEnd"/>
      <w:r>
        <w:rPr>
          <w:i/>
          <w:iCs/>
          <w:color w:val="7F8C8D"/>
          <w:sz w:val="18"/>
          <w:szCs w:val="18"/>
        </w:rPr>
        <w:t xml:space="preserve"> Thumb </w:t>
      </w:r>
      <w:proofErr w:type="spellStart"/>
      <w:r>
        <w:rPr>
          <w:i/>
          <w:iCs/>
          <w:color w:val="7F8C8D"/>
          <w:sz w:val="18"/>
          <w:szCs w:val="18"/>
        </w:rPr>
        <w:t>for</w:t>
      </w:r>
      <w:proofErr w:type="spellEnd"/>
      <w:r>
        <w:rPr>
          <w:i/>
          <w:iCs/>
          <w:color w:val="7F8C8D"/>
          <w:sz w:val="18"/>
          <w:szCs w:val="18"/>
        </w:rPr>
        <w:t xml:space="preserve"> Boat Maintenance Costs“</w:t>
      </w:r>
    </w:p>
    <w:p w14:paraId="147CE2C7" w14:textId="77777777" w:rsidR="003378B6" w:rsidRDefault="00000000">
      <w:r>
        <w:br w:type="page"/>
      </w:r>
    </w:p>
    <w:p w14:paraId="161497E7" w14:textId="77777777" w:rsidR="003378B6" w:rsidRDefault="00000000">
      <w:pPr>
        <w:pStyle w:val="berschrift1"/>
      </w:pPr>
      <w:r>
        <w:lastRenderedPageBreak/>
        <w:t>4. Marktentwicklung 2015–2025 und Prognose</w:t>
      </w:r>
    </w:p>
    <w:p w14:paraId="2F1447D2" w14:textId="77777777" w:rsidR="003378B6" w:rsidRDefault="00000000">
      <w:pPr>
        <w:pStyle w:val="berschrift2"/>
      </w:pPr>
      <w:r>
        <w:t>4.1 Rückblick: Die letzten 10 Jahre</w:t>
      </w:r>
    </w:p>
    <w:p w14:paraId="38140108" w14:textId="77777777" w:rsidR="003378B6" w:rsidRDefault="00000000">
      <w:pPr>
        <w:spacing w:after="160"/>
      </w:pPr>
      <w:r>
        <w:rPr>
          <w:color w:val="2C3E50"/>
        </w:rPr>
        <w:t>Der globale Yachtmarkt hat in den letzten zehn Jahren eine bewegte Entwicklung durchlaufen. Nach der Erholung von der Finanzkrise 2008–2013 zeigte der Markt von 2014–2019 ein stetiges Wachstum von 3–5 % pro Jahr. Der COVID-19-Pandemie-Effekt 2020–2022 war paradoxerweise positiv: Die Nachfrage nach Booten explodierte, da Menschen Outdoor-Aktivitäten bevorzugten. In Europa meldeten Boots-Verbände zweistellige Wachstumsraten bei Erstkäufern.</w:t>
      </w:r>
    </w:p>
    <w:p w14:paraId="72785D28" w14:textId="77777777" w:rsidR="003378B6" w:rsidRDefault="00000000">
      <w:pPr>
        <w:spacing w:after="160"/>
      </w:pPr>
      <w:r>
        <w:rPr>
          <w:color w:val="2C3E50"/>
        </w:rPr>
        <w:t xml:space="preserve">2023 normalisierte sich der Markt: Die Superyacht-Verkäufe (&gt;30 m) fielen von 245 (2022) auf 203 Einheiten. Der Gebrauchtmarkt sank um 27 % gegenüber dem Vorjahr. 2025 erholte sich der Superyacht-Markt wieder mit 470 Verkäufen (+19,8 % </w:t>
      </w:r>
      <w:proofErr w:type="spellStart"/>
      <w:r>
        <w:rPr>
          <w:color w:val="2C3E50"/>
        </w:rPr>
        <w:t>ggü</w:t>
      </w:r>
      <w:proofErr w:type="spellEnd"/>
      <w:r>
        <w:rPr>
          <w:color w:val="2C3E50"/>
        </w:rPr>
        <w:t>. 2024).</w:t>
      </w:r>
    </w:p>
    <w:p w14:paraId="0E9AABCA" w14:textId="77777777" w:rsidR="003378B6" w:rsidRDefault="00000000">
      <w:pPr>
        <w:pStyle w:val="berschrift2"/>
      </w:pPr>
      <w:r>
        <w:t>4.2 Aktuelle Marktgröße und Prognose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126"/>
      </w:tblGrid>
      <w:tr w:rsidR="003378B6" w14:paraId="0E1D71F4" w14:textId="77777777">
        <w:tc>
          <w:tcPr>
            <w:tcW w:w="2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EBD1935" w14:textId="77777777" w:rsidR="003378B6" w:rsidRDefault="00000000">
            <w:r>
              <w:rPr>
                <w:b/>
                <w:bCs/>
                <w:color w:val="FFFFFF"/>
                <w:sz w:val="20"/>
                <w:szCs w:val="20"/>
              </w:rPr>
              <w:t>Marktsegment</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77CE245" w14:textId="77777777" w:rsidR="003378B6" w:rsidRDefault="00000000">
            <w:r>
              <w:rPr>
                <w:b/>
                <w:bCs/>
                <w:color w:val="FFFFFF"/>
                <w:sz w:val="20"/>
                <w:szCs w:val="20"/>
              </w:rPr>
              <w:t>Wert 2024/2025</w:t>
            </w:r>
          </w:p>
        </w:tc>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D0126A4" w14:textId="77777777" w:rsidR="003378B6" w:rsidRDefault="00000000">
            <w:r>
              <w:rPr>
                <w:b/>
                <w:bCs/>
                <w:color w:val="FFFFFF"/>
                <w:sz w:val="20"/>
                <w:szCs w:val="20"/>
              </w:rPr>
              <w:t>Prognose 2030–34</w:t>
            </w:r>
          </w:p>
        </w:tc>
        <w:tc>
          <w:tcPr>
            <w:tcW w:w="21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034368D" w14:textId="77777777" w:rsidR="003378B6" w:rsidRDefault="00000000">
            <w:r>
              <w:rPr>
                <w:b/>
                <w:bCs/>
                <w:color w:val="FFFFFF"/>
                <w:sz w:val="20"/>
                <w:szCs w:val="20"/>
              </w:rPr>
              <w:t>CAGR</w:t>
            </w:r>
          </w:p>
        </w:tc>
      </w:tr>
      <w:tr w:rsidR="003378B6" w14:paraId="2385FBBB" w14:textId="77777777">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AA94FFF" w14:textId="77777777" w:rsidR="003378B6" w:rsidRDefault="00000000">
            <w:r>
              <w:rPr>
                <w:b/>
                <w:bCs/>
                <w:color w:val="2C3E50"/>
                <w:sz w:val="20"/>
                <w:szCs w:val="20"/>
              </w:rPr>
              <w:t>Globaler Yachtmarkt (Neubau)</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C6E9F82" w14:textId="77777777" w:rsidR="003378B6" w:rsidRDefault="00000000">
            <w:r>
              <w:rPr>
                <w:color w:val="2C3E50"/>
                <w:sz w:val="20"/>
                <w:szCs w:val="20"/>
              </w:rPr>
              <w:t>USD 10,3–12,4 Mrd.</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AEA2F11" w14:textId="77777777" w:rsidR="003378B6" w:rsidRDefault="00000000">
            <w:r>
              <w:rPr>
                <w:color w:val="2C3E50"/>
                <w:sz w:val="20"/>
                <w:szCs w:val="20"/>
              </w:rPr>
              <w:t>USD 15,5–22,7 Mrd.</w:t>
            </w:r>
          </w:p>
        </w:tc>
        <w:tc>
          <w:tcPr>
            <w:tcW w:w="21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51C8E25" w14:textId="77777777" w:rsidR="003378B6" w:rsidRDefault="00000000">
            <w:r>
              <w:rPr>
                <w:color w:val="2C3E50"/>
                <w:sz w:val="20"/>
                <w:szCs w:val="20"/>
              </w:rPr>
              <w:t>5,2–6,65 %</w:t>
            </w:r>
          </w:p>
        </w:tc>
      </w:tr>
      <w:tr w:rsidR="003378B6" w14:paraId="6A440819" w14:textId="77777777">
        <w:tc>
          <w:tcPr>
            <w:tcW w:w="25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6170A0D" w14:textId="77777777" w:rsidR="003378B6" w:rsidRDefault="00000000">
            <w:r>
              <w:rPr>
                <w:b/>
                <w:bCs/>
                <w:color w:val="2C3E50"/>
                <w:sz w:val="20"/>
                <w:szCs w:val="20"/>
              </w:rPr>
              <w:t>Europäischer Bootsmarkt</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CE97BC0" w14:textId="77777777" w:rsidR="003378B6" w:rsidRDefault="00000000">
            <w:r>
              <w:rPr>
                <w:color w:val="2C3E50"/>
                <w:sz w:val="20"/>
                <w:szCs w:val="20"/>
              </w:rPr>
              <w:t>USD 14 Mrd. (2024)</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43D4539" w14:textId="77777777" w:rsidR="003378B6" w:rsidRDefault="00000000">
            <w:r>
              <w:rPr>
                <w:color w:val="2C3E50"/>
                <w:sz w:val="20"/>
                <w:szCs w:val="20"/>
              </w:rPr>
              <w:t>USD 24,75 Mrd. (2033)</w:t>
            </w:r>
          </w:p>
        </w:tc>
        <w:tc>
          <w:tcPr>
            <w:tcW w:w="212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D9578B1" w14:textId="77777777" w:rsidR="003378B6" w:rsidRDefault="00000000">
            <w:r>
              <w:rPr>
                <w:color w:val="2C3E50"/>
                <w:sz w:val="20"/>
                <w:szCs w:val="20"/>
              </w:rPr>
              <w:t>6,8 %</w:t>
            </w:r>
          </w:p>
        </w:tc>
      </w:tr>
      <w:tr w:rsidR="003378B6" w14:paraId="3210C968" w14:textId="77777777">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EF79334" w14:textId="77777777" w:rsidR="003378B6" w:rsidRDefault="00000000">
            <w:r>
              <w:rPr>
                <w:b/>
                <w:bCs/>
                <w:color w:val="2C3E50"/>
                <w:sz w:val="20"/>
                <w:szCs w:val="20"/>
              </w:rPr>
              <w:t>Superyacht-Markt</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D70FDB" w14:textId="77777777" w:rsidR="003378B6" w:rsidRDefault="00000000">
            <w:r>
              <w:rPr>
                <w:color w:val="2C3E50"/>
                <w:sz w:val="20"/>
                <w:szCs w:val="20"/>
              </w:rPr>
              <w:t>USD 21,6 Mrd. (2025)</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787EF7D" w14:textId="77777777" w:rsidR="003378B6" w:rsidRDefault="00000000">
            <w:r>
              <w:rPr>
                <w:color w:val="2C3E50"/>
                <w:sz w:val="20"/>
                <w:szCs w:val="20"/>
              </w:rPr>
              <w:t>USD 45,16 Mrd. (2032)</w:t>
            </w:r>
          </w:p>
        </w:tc>
        <w:tc>
          <w:tcPr>
            <w:tcW w:w="21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4FB91AF" w14:textId="77777777" w:rsidR="003378B6" w:rsidRDefault="00000000">
            <w:r>
              <w:rPr>
                <w:color w:val="2C3E50"/>
                <w:sz w:val="20"/>
                <w:szCs w:val="20"/>
              </w:rPr>
              <w:t>~7 %</w:t>
            </w:r>
          </w:p>
        </w:tc>
      </w:tr>
      <w:tr w:rsidR="003378B6" w14:paraId="26274BEA" w14:textId="77777777">
        <w:tc>
          <w:tcPr>
            <w:tcW w:w="25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90B64A9" w14:textId="77777777" w:rsidR="003378B6" w:rsidRDefault="00000000">
            <w:r>
              <w:rPr>
                <w:b/>
                <w:bCs/>
                <w:color w:val="2C3E50"/>
                <w:sz w:val="20"/>
                <w:szCs w:val="20"/>
              </w:rPr>
              <w:t>Yacht Charter Markt</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52184FB" w14:textId="77777777" w:rsidR="003378B6" w:rsidRDefault="00000000">
            <w:r>
              <w:rPr>
                <w:color w:val="2C3E50"/>
                <w:sz w:val="20"/>
                <w:szCs w:val="20"/>
              </w:rPr>
              <w:t>USD 2,8 Mrd. (2023)</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1F76602" w14:textId="77777777" w:rsidR="003378B6" w:rsidRDefault="00000000">
            <w:r>
              <w:rPr>
                <w:color w:val="2C3E50"/>
                <w:sz w:val="20"/>
                <w:szCs w:val="20"/>
              </w:rPr>
              <w:t>USD 18,3 Mrd. (2034)</w:t>
            </w:r>
          </w:p>
        </w:tc>
        <w:tc>
          <w:tcPr>
            <w:tcW w:w="212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B10FF85" w14:textId="77777777" w:rsidR="003378B6" w:rsidRDefault="00000000">
            <w:r>
              <w:rPr>
                <w:color w:val="2C3E50"/>
                <w:sz w:val="20"/>
                <w:szCs w:val="20"/>
              </w:rPr>
              <w:t>~7–8 %</w:t>
            </w:r>
          </w:p>
        </w:tc>
      </w:tr>
      <w:tr w:rsidR="003378B6" w14:paraId="4AC38E62" w14:textId="77777777">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C981C20" w14:textId="77777777" w:rsidR="003378B6" w:rsidRDefault="00000000">
            <w:proofErr w:type="spellStart"/>
            <w:r>
              <w:rPr>
                <w:b/>
                <w:bCs/>
                <w:color w:val="2C3E50"/>
                <w:sz w:val="20"/>
                <w:szCs w:val="20"/>
              </w:rPr>
              <w:t>Europ</w:t>
            </w:r>
            <w:proofErr w:type="spellEnd"/>
            <w:r>
              <w:rPr>
                <w:b/>
                <w:bCs/>
                <w:color w:val="2C3E50"/>
                <w:sz w:val="20"/>
                <w:szCs w:val="20"/>
              </w:rPr>
              <w:t>. Segelbootmarkt</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27BD733" w14:textId="77777777" w:rsidR="003378B6" w:rsidRDefault="00000000">
            <w:r>
              <w:rPr>
                <w:color w:val="2C3E50"/>
                <w:sz w:val="20"/>
                <w:szCs w:val="20"/>
              </w:rPr>
              <w:t>USD 1,14 Mrd. (2025)</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3FB7A0B" w14:textId="77777777" w:rsidR="003378B6" w:rsidRDefault="00000000">
            <w:r>
              <w:rPr>
                <w:color w:val="2C3E50"/>
                <w:sz w:val="20"/>
                <w:szCs w:val="20"/>
              </w:rPr>
              <w:t>USD 1,55 Mrd. (2033)</w:t>
            </w:r>
          </w:p>
        </w:tc>
        <w:tc>
          <w:tcPr>
            <w:tcW w:w="21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185F2E2" w14:textId="77777777" w:rsidR="003378B6" w:rsidRDefault="00000000">
            <w:r>
              <w:rPr>
                <w:color w:val="2C3E50"/>
                <w:sz w:val="20"/>
                <w:szCs w:val="20"/>
              </w:rPr>
              <w:t>4,15 %</w:t>
            </w:r>
          </w:p>
        </w:tc>
      </w:tr>
    </w:tbl>
    <w:p w14:paraId="4B3A2DFA" w14:textId="77777777" w:rsidR="003378B6" w:rsidRDefault="00000000">
      <w:pPr>
        <w:pStyle w:val="berschrift2"/>
      </w:pPr>
      <w:r>
        <w:t>4.3 Wesentliche Trends</w:t>
      </w:r>
    </w:p>
    <w:p w14:paraId="1202AAA3" w14:textId="77777777" w:rsidR="003378B6" w:rsidRDefault="00000000">
      <w:pPr>
        <w:spacing w:after="160"/>
      </w:pPr>
      <w:r>
        <w:rPr>
          <w:color w:val="2C3E50"/>
        </w:rPr>
        <w:t>• Europa dominiert: Europa hält 39–44 % des globalen Yachtmarktanteils, getrieben durch Frankreich, Italien, Deutschland, UK und Spanien.</w:t>
      </w:r>
    </w:p>
    <w:p w14:paraId="0B58E864" w14:textId="77777777" w:rsidR="003378B6" w:rsidRDefault="00000000">
      <w:pPr>
        <w:spacing w:after="160"/>
      </w:pPr>
      <w:r>
        <w:rPr>
          <w:color w:val="2C3E50"/>
        </w:rPr>
        <w:t>• Jüngere Eigner: Das Durchschnittsalter der Yachtbesitzer ist in zwei Jahrzehnten um ca. 10 Jahre gesunken und liegt heute bei 40–50 Jahren, mit Prognose auf 35–45 Jahre in den nächsten 20 Jahren.</w:t>
      </w:r>
    </w:p>
    <w:p w14:paraId="6CD7E824" w14:textId="77777777" w:rsidR="003378B6" w:rsidRDefault="00000000">
      <w:pPr>
        <w:spacing w:after="160"/>
      </w:pPr>
      <w:r>
        <w:rPr>
          <w:color w:val="2C3E50"/>
        </w:rPr>
        <w:t>• Nachhaltigkeit: Bis 2025 sollen 30 % der neuen Yachten mit Hybrid- oder Elektroantrieb ausgestattet sein. Die EU-</w:t>
      </w:r>
      <w:proofErr w:type="spellStart"/>
      <w:r>
        <w:rPr>
          <w:color w:val="2C3E50"/>
        </w:rPr>
        <w:t>FuelEU</w:t>
      </w:r>
      <w:proofErr w:type="spellEnd"/>
      <w:r>
        <w:rPr>
          <w:color w:val="2C3E50"/>
        </w:rPr>
        <w:t>-Maritime-Verordnung fordert ab 2025 eine Reduktion der Treibhausgasintensität um 2 %.</w:t>
      </w:r>
    </w:p>
    <w:p w14:paraId="31F1A68A" w14:textId="77777777" w:rsidR="003378B6" w:rsidRDefault="00000000">
      <w:pPr>
        <w:spacing w:after="160"/>
      </w:pPr>
      <w:r>
        <w:rPr>
          <w:color w:val="2C3E50"/>
        </w:rPr>
        <w:t xml:space="preserve">• </w:t>
      </w:r>
      <w:proofErr w:type="spellStart"/>
      <w:r>
        <w:rPr>
          <w:color w:val="2C3E50"/>
        </w:rPr>
        <w:t>Fractional</w:t>
      </w:r>
      <w:proofErr w:type="spellEnd"/>
      <w:r>
        <w:rPr>
          <w:color w:val="2C3E50"/>
        </w:rPr>
        <w:t xml:space="preserve"> Ownership: Geteiltes Eigentum und Bootclubs wachsen stark, insbesondere bei jüngeren Käufern. Bis Ende 2025 werden 15 % der US-</w:t>
      </w:r>
      <w:proofErr w:type="spellStart"/>
      <w:r>
        <w:rPr>
          <w:color w:val="2C3E50"/>
        </w:rPr>
        <w:t>Freizeitbooter</w:t>
      </w:r>
      <w:proofErr w:type="spellEnd"/>
      <w:r>
        <w:rPr>
          <w:color w:val="2C3E50"/>
        </w:rPr>
        <w:t xml:space="preserve"> an einer Form des geteilten Eigentums teilnehmen.</w:t>
      </w:r>
    </w:p>
    <w:p w14:paraId="1E8EC08B" w14:textId="77777777" w:rsidR="003378B6" w:rsidRDefault="00000000">
      <w:pPr>
        <w:spacing w:before="80" w:after="80"/>
      </w:pPr>
      <w:r>
        <w:rPr>
          <w:i/>
          <w:iCs/>
          <w:color w:val="7F8C8D"/>
          <w:sz w:val="18"/>
          <w:szCs w:val="18"/>
        </w:rPr>
        <w:t xml:space="preserve">Quellen: Grand View Research; Global Market </w:t>
      </w:r>
      <w:proofErr w:type="spellStart"/>
      <w:r>
        <w:rPr>
          <w:i/>
          <w:iCs/>
          <w:color w:val="7F8C8D"/>
          <w:sz w:val="18"/>
          <w:szCs w:val="18"/>
        </w:rPr>
        <w:t>Insights</w:t>
      </w:r>
      <w:proofErr w:type="spellEnd"/>
      <w:r>
        <w:rPr>
          <w:i/>
          <w:iCs/>
          <w:color w:val="7F8C8D"/>
          <w:sz w:val="18"/>
          <w:szCs w:val="18"/>
        </w:rPr>
        <w:t xml:space="preserve">; </w:t>
      </w:r>
      <w:proofErr w:type="spellStart"/>
      <w:r>
        <w:rPr>
          <w:i/>
          <w:iCs/>
          <w:color w:val="7F8C8D"/>
          <w:sz w:val="18"/>
          <w:szCs w:val="18"/>
        </w:rPr>
        <w:t>MarketDataForecast</w:t>
      </w:r>
      <w:proofErr w:type="spellEnd"/>
      <w:r>
        <w:rPr>
          <w:i/>
          <w:iCs/>
          <w:color w:val="7F8C8D"/>
          <w:sz w:val="18"/>
          <w:szCs w:val="18"/>
        </w:rPr>
        <w:t xml:space="preserve"> „Europe </w:t>
      </w:r>
      <w:proofErr w:type="spellStart"/>
      <w:r>
        <w:rPr>
          <w:i/>
          <w:iCs/>
          <w:color w:val="7F8C8D"/>
          <w:sz w:val="18"/>
          <w:szCs w:val="18"/>
        </w:rPr>
        <w:t>Recreational</w:t>
      </w:r>
      <w:proofErr w:type="spellEnd"/>
      <w:r>
        <w:rPr>
          <w:i/>
          <w:iCs/>
          <w:color w:val="7F8C8D"/>
          <w:sz w:val="18"/>
          <w:szCs w:val="18"/>
        </w:rPr>
        <w:t xml:space="preserve"> </w:t>
      </w:r>
      <w:proofErr w:type="spellStart"/>
      <w:r>
        <w:rPr>
          <w:i/>
          <w:iCs/>
          <w:color w:val="7F8C8D"/>
          <w:sz w:val="18"/>
          <w:szCs w:val="18"/>
        </w:rPr>
        <w:t>Boating</w:t>
      </w:r>
      <w:proofErr w:type="spellEnd"/>
      <w:r>
        <w:rPr>
          <w:i/>
          <w:iCs/>
          <w:color w:val="7F8C8D"/>
          <w:sz w:val="18"/>
          <w:szCs w:val="18"/>
        </w:rPr>
        <w:t xml:space="preserve"> Market 2033“; Mordor </w:t>
      </w:r>
      <w:proofErr w:type="spellStart"/>
      <w:r>
        <w:rPr>
          <w:i/>
          <w:iCs/>
          <w:color w:val="7F8C8D"/>
          <w:sz w:val="18"/>
          <w:szCs w:val="18"/>
        </w:rPr>
        <w:t>Intelligence</w:t>
      </w:r>
      <w:proofErr w:type="spellEnd"/>
      <w:r>
        <w:rPr>
          <w:i/>
          <w:iCs/>
          <w:color w:val="7F8C8D"/>
          <w:sz w:val="18"/>
          <w:szCs w:val="18"/>
        </w:rPr>
        <w:t xml:space="preserve">; </w:t>
      </w:r>
      <w:proofErr w:type="spellStart"/>
      <w:r>
        <w:rPr>
          <w:i/>
          <w:iCs/>
          <w:color w:val="7F8C8D"/>
          <w:sz w:val="18"/>
          <w:szCs w:val="18"/>
        </w:rPr>
        <w:t>PowerSys</w:t>
      </w:r>
      <w:proofErr w:type="spellEnd"/>
      <w:r>
        <w:rPr>
          <w:i/>
          <w:iCs/>
          <w:color w:val="7F8C8D"/>
          <w:sz w:val="18"/>
          <w:szCs w:val="18"/>
        </w:rPr>
        <w:t xml:space="preserve">; </w:t>
      </w:r>
      <w:proofErr w:type="spellStart"/>
      <w:r>
        <w:rPr>
          <w:i/>
          <w:iCs/>
          <w:color w:val="7F8C8D"/>
          <w:sz w:val="18"/>
          <w:szCs w:val="18"/>
        </w:rPr>
        <w:t>DreamYachtSales</w:t>
      </w:r>
      <w:proofErr w:type="spellEnd"/>
      <w:r>
        <w:rPr>
          <w:i/>
          <w:iCs/>
          <w:color w:val="7F8C8D"/>
          <w:sz w:val="18"/>
          <w:szCs w:val="18"/>
        </w:rPr>
        <w:t xml:space="preserve">; </w:t>
      </w:r>
      <w:proofErr w:type="spellStart"/>
      <w:r>
        <w:rPr>
          <w:i/>
          <w:iCs/>
          <w:color w:val="7F8C8D"/>
          <w:sz w:val="18"/>
          <w:szCs w:val="18"/>
        </w:rPr>
        <w:t>Arizton</w:t>
      </w:r>
      <w:proofErr w:type="spellEnd"/>
      <w:r>
        <w:rPr>
          <w:i/>
          <w:iCs/>
          <w:color w:val="7F8C8D"/>
          <w:sz w:val="18"/>
          <w:szCs w:val="18"/>
        </w:rPr>
        <w:t xml:space="preserve"> „Yacht Market 2025–2030“</w:t>
      </w:r>
    </w:p>
    <w:p w14:paraId="657D681D" w14:textId="77777777" w:rsidR="003378B6" w:rsidRDefault="00000000">
      <w:r>
        <w:br w:type="page"/>
      </w:r>
    </w:p>
    <w:p w14:paraId="171015A7" w14:textId="77777777" w:rsidR="003378B6" w:rsidRDefault="00000000">
      <w:pPr>
        <w:pStyle w:val="berschrift1"/>
      </w:pPr>
      <w:r>
        <w:lastRenderedPageBreak/>
        <w:t>5. Digitalisierung und App-Akzeptanz</w:t>
      </w:r>
    </w:p>
    <w:p w14:paraId="5F1B5778" w14:textId="77777777" w:rsidR="003378B6" w:rsidRDefault="00000000">
      <w:pPr>
        <w:pStyle w:val="berschrift2"/>
      </w:pPr>
      <w:r>
        <w:t>5.1 Markt für maritime Software</w:t>
      </w:r>
    </w:p>
    <w:p w14:paraId="36F79273" w14:textId="77777777" w:rsidR="003378B6" w:rsidRDefault="00000000">
      <w:pPr>
        <w:spacing w:after="160"/>
      </w:pPr>
      <w:r>
        <w:rPr>
          <w:color w:val="2C3E50"/>
        </w:rPr>
        <w:t>Die Digitalisierung der Yachtbranche hat sich in den letzten Jahren massiv beschleunigt. Der Markt für Yacht Management Software wurde 2024 auf USD 923 Mio. bis 1,5 Mrd. geschätzt und soll bis 2030–33 auf USD 1,9–3,2 Mrd. wachsen (CAGR 9,2–13,1 %). Der breitere Markt für Marine Management Software lag 2024 bei USD 2,3–6 Mrd.</w:t>
      </w:r>
    </w:p>
    <w:p w14:paraId="52BA2948" w14:textId="77777777" w:rsidR="003378B6" w:rsidRDefault="00000000">
      <w:pPr>
        <w:pStyle w:val="berschrift2"/>
      </w:pPr>
      <w:r>
        <w:t>5.2 Boat Monitoring &amp; Smart Technology</w:t>
      </w:r>
    </w:p>
    <w:p w14:paraId="4ACE9163" w14:textId="77777777" w:rsidR="003378B6" w:rsidRDefault="00000000">
      <w:pPr>
        <w:spacing w:after="160"/>
      </w:pPr>
      <w:r>
        <w:rPr>
          <w:color w:val="2C3E50"/>
        </w:rPr>
        <w:t>Der Markt für Boots-Überwachungssysteme (Boat Monitoring) wurde 2024 mit USD 606 Mio. bewertet und soll bis 2032 auf USD 1,5 Mrd. wachsen (CAGR 12 %). Europa hält daran 27,6 % Marktanteil.</w:t>
      </w:r>
    </w:p>
    <w:p w14:paraId="71AC61D2" w14:textId="77777777" w:rsidR="003378B6" w:rsidRDefault="00000000">
      <w:pPr>
        <w:spacing w:after="160"/>
      </w:pPr>
      <w:r>
        <w:rPr>
          <w:color w:val="2C3E50"/>
        </w:rPr>
        <w:t xml:space="preserve">Der Smart </w:t>
      </w:r>
      <w:proofErr w:type="spellStart"/>
      <w:r>
        <w:rPr>
          <w:color w:val="2C3E50"/>
        </w:rPr>
        <w:t>Boats</w:t>
      </w:r>
      <w:proofErr w:type="spellEnd"/>
      <w:r>
        <w:rPr>
          <w:color w:val="2C3E50"/>
        </w:rPr>
        <w:t>-Markt insgesamt (einschl. IoT, GPS, KI-Navigation) wurde 2023 auf USD 40,6 Mrd. geschätzt und soll bis 2033 auf USD 80,6 Mrd. wachsen (CAGR 7,1 %).</w:t>
      </w:r>
    </w:p>
    <w:p w14:paraId="7D31B3D7" w14:textId="77777777" w:rsidR="003378B6" w:rsidRDefault="00000000">
      <w:pPr>
        <w:pStyle w:val="berschrift2"/>
      </w:pPr>
      <w:r>
        <w:t>5.3 Adoption durch Eigner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3378B6" w14:paraId="42849C70" w14:textId="77777777">
        <w:tc>
          <w:tcPr>
            <w:tcW w:w="4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6CD375D" w14:textId="77777777" w:rsidR="003378B6" w:rsidRDefault="00000000">
            <w:r>
              <w:rPr>
                <w:b/>
                <w:bCs/>
                <w:color w:val="FFFFFF"/>
                <w:sz w:val="20"/>
                <w:szCs w:val="20"/>
              </w:rPr>
              <w:t>Kennzahl</w:t>
            </w:r>
          </w:p>
        </w:tc>
        <w:tc>
          <w:tcPr>
            <w:tcW w:w="452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9D1D928" w14:textId="77777777" w:rsidR="003378B6" w:rsidRDefault="00000000">
            <w:r>
              <w:rPr>
                <w:b/>
                <w:bCs/>
                <w:color w:val="FFFFFF"/>
                <w:sz w:val="20"/>
                <w:szCs w:val="20"/>
              </w:rPr>
              <w:t>Wert / Prognose</w:t>
            </w:r>
          </w:p>
        </w:tc>
      </w:tr>
      <w:tr w:rsidR="003378B6" w14:paraId="3A2508B5" w14:textId="77777777">
        <w:tc>
          <w:tcPr>
            <w:tcW w:w="4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4724469" w14:textId="77777777" w:rsidR="003378B6" w:rsidRDefault="00000000">
            <w:r>
              <w:rPr>
                <w:color w:val="2C3E50"/>
                <w:sz w:val="20"/>
                <w:szCs w:val="20"/>
              </w:rPr>
              <w:t>KI-gesteuerte Yacht-Management-Systeme in Neubauten (2023)</w:t>
            </w:r>
          </w:p>
        </w:tc>
        <w:tc>
          <w:tcPr>
            <w:tcW w:w="45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EB7542C" w14:textId="77777777" w:rsidR="003378B6" w:rsidRDefault="00000000">
            <w:r>
              <w:rPr>
                <w:color w:val="2C3E50"/>
                <w:sz w:val="20"/>
                <w:szCs w:val="20"/>
              </w:rPr>
              <w:t>40 % der Neubauten</w:t>
            </w:r>
          </w:p>
        </w:tc>
      </w:tr>
      <w:tr w:rsidR="003378B6" w14:paraId="18FAD3D2" w14:textId="77777777">
        <w:tc>
          <w:tcPr>
            <w:tcW w:w="45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9CBD0BC" w14:textId="77777777" w:rsidR="003378B6" w:rsidRDefault="00000000">
            <w:r>
              <w:rPr>
                <w:color w:val="2C3E50"/>
                <w:sz w:val="20"/>
                <w:szCs w:val="20"/>
              </w:rPr>
              <w:t>Smart-Systeme in Luxusyachten (Prognose 2026)</w:t>
            </w:r>
          </w:p>
        </w:tc>
        <w:tc>
          <w:tcPr>
            <w:tcW w:w="452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B1392FD" w14:textId="77777777" w:rsidR="003378B6" w:rsidRDefault="00000000">
            <w:r>
              <w:rPr>
                <w:color w:val="2C3E50"/>
                <w:sz w:val="20"/>
                <w:szCs w:val="20"/>
              </w:rPr>
              <w:t>40 % mit Steuerung per App</w:t>
            </w:r>
          </w:p>
        </w:tc>
      </w:tr>
      <w:tr w:rsidR="003378B6" w14:paraId="6436A0C6" w14:textId="77777777">
        <w:tc>
          <w:tcPr>
            <w:tcW w:w="4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99CE5F2" w14:textId="77777777" w:rsidR="003378B6" w:rsidRDefault="00000000">
            <w:r>
              <w:rPr>
                <w:color w:val="2C3E50"/>
                <w:sz w:val="20"/>
                <w:szCs w:val="20"/>
              </w:rPr>
              <w:t>Online-Recherche vor Bootskauf (2024)</w:t>
            </w:r>
          </w:p>
        </w:tc>
        <w:tc>
          <w:tcPr>
            <w:tcW w:w="45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32E59C5" w14:textId="77777777" w:rsidR="003378B6" w:rsidRDefault="00000000">
            <w:r>
              <w:rPr>
                <w:color w:val="2C3E50"/>
                <w:sz w:val="20"/>
                <w:szCs w:val="20"/>
              </w:rPr>
              <w:t>43 % (Prognose 2025: 50 %)</w:t>
            </w:r>
          </w:p>
        </w:tc>
      </w:tr>
      <w:tr w:rsidR="003378B6" w14:paraId="39CDEC82" w14:textId="77777777">
        <w:tc>
          <w:tcPr>
            <w:tcW w:w="45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EC2AD57" w14:textId="77777777" w:rsidR="003378B6" w:rsidRDefault="00000000">
            <w:r>
              <w:rPr>
                <w:color w:val="2C3E50"/>
                <w:sz w:val="20"/>
                <w:szCs w:val="20"/>
              </w:rPr>
              <w:t>Digitale Yachtverkaufs-Plattformen (2023)</w:t>
            </w:r>
          </w:p>
        </w:tc>
        <w:tc>
          <w:tcPr>
            <w:tcW w:w="452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D809B2E" w14:textId="77777777" w:rsidR="003378B6" w:rsidRDefault="00000000">
            <w:r>
              <w:rPr>
                <w:color w:val="2C3E50"/>
                <w:sz w:val="20"/>
                <w:szCs w:val="20"/>
              </w:rPr>
              <w:t>USD 450 Mio. Umsatz</w:t>
            </w:r>
          </w:p>
        </w:tc>
      </w:tr>
      <w:tr w:rsidR="003378B6" w14:paraId="0A8A7DF0" w14:textId="77777777">
        <w:tc>
          <w:tcPr>
            <w:tcW w:w="4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F704EE" w14:textId="77777777" w:rsidR="003378B6" w:rsidRDefault="00000000">
            <w:r>
              <w:rPr>
                <w:color w:val="2C3E50"/>
                <w:sz w:val="20"/>
                <w:szCs w:val="20"/>
              </w:rPr>
              <w:t>VR/AR-Konfigurations-Tools bei Eignern (2023)</w:t>
            </w:r>
          </w:p>
        </w:tc>
        <w:tc>
          <w:tcPr>
            <w:tcW w:w="45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E84DFCC" w14:textId="77777777" w:rsidR="003378B6" w:rsidRDefault="00000000">
            <w:r>
              <w:rPr>
                <w:color w:val="2C3E50"/>
                <w:sz w:val="20"/>
                <w:szCs w:val="20"/>
              </w:rPr>
              <w:t>30 % der Eigner nutzen VR/AR</w:t>
            </w:r>
          </w:p>
        </w:tc>
      </w:tr>
      <w:tr w:rsidR="003378B6" w14:paraId="1B76E6FA" w14:textId="77777777">
        <w:tc>
          <w:tcPr>
            <w:tcW w:w="45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E0E1815" w14:textId="77777777" w:rsidR="003378B6" w:rsidRDefault="00000000">
            <w:r>
              <w:rPr>
                <w:color w:val="2C3E50"/>
                <w:sz w:val="20"/>
                <w:szCs w:val="20"/>
              </w:rPr>
              <w:t>Cloud-basierte Flottenmanagement-</w:t>
            </w:r>
            <w:proofErr w:type="spellStart"/>
            <w:r>
              <w:rPr>
                <w:color w:val="2C3E50"/>
                <w:sz w:val="20"/>
                <w:szCs w:val="20"/>
              </w:rPr>
              <w:t>Deployments</w:t>
            </w:r>
            <w:proofErr w:type="spellEnd"/>
            <w:r>
              <w:rPr>
                <w:color w:val="2C3E50"/>
                <w:sz w:val="20"/>
                <w:szCs w:val="20"/>
              </w:rPr>
              <w:t xml:space="preserve"> (2024)</w:t>
            </w:r>
          </w:p>
        </w:tc>
        <w:tc>
          <w:tcPr>
            <w:tcW w:w="452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DBECACC" w14:textId="77777777" w:rsidR="003378B6" w:rsidRDefault="00000000">
            <w:r>
              <w:rPr>
                <w:color w:val="2C3E50"/>
                <w:sz w:val="20"/>
                <w:szCs w:val="20"/>
              </w:rPr>
              <w:t xml:space="preserve">+29 % Wachstum </w:t>
            </w:r>
            <w:proofErr w:type="spellStart"/>
            <w:r>
              <w:rPr>
                <w:color w:val="2C3E50"/>
                <w:sz w:val="20"/>
                <w:szCs w:val="20"/>
              </w:rPr>
              <w:t>ggü</w:t>
            </w:r>
            <w:proofErr w:type="spellEnd"/>
            <w:r>
              <w:rPr>
                <w:color w:val="2C3E50"/>
                <w:sz w:val="20"/>
                <w:szCs w:val="20"/>
              </w:rPr>
              <w:t>. Vorjahr</w:t>
            </w:r>
          </w:p>
        </w:tc>
      </w:tr>
    </w:tbl>
    <w:p w14:paraId="3B87C9D4" w14:textId="77777777" w:rsidR="003378B6" w:rsidRDefault="003378B6">
      <w:pPr>
        <w:spacing w:after="160"/>
      </w:pPr>
    </w:p>
    <w:p w14:paraId="6356AF04" w14:textId="77777777" w:rsidR="003378B6" w:rsidRDefault="00000000">
      <w:pPr>
        <w:spacing w:after="160"/>
      </w:pPr>
      <w:r>
        <w:rPr>
          <w:color w:val="2C3E50"/>
        </w:rPr>
        <w:t>Bemerkenswert ist die Partnerschaft von Azimut Yachts mit Google für KI-gestützte Sprachsteuerung an Bord sowie die Integration von Sirena Yachts mit Garmin/</w:t>
      </w:r>
      <w:proofErr w:type="spellStart"/>
      <w:r>
        <w:rPr>
          <w:color w:val="2C3E50"/>
        </w:rPr>
        <w:t>EmpirBus</w:t>
      </w:r>
      <w:proofErr w:type="spellEnd"/>
      <w:r>
        <w:rPr>
          <w:color w:val="2C3E50"/>
        </w:rPr>
        <w:t xml:space="preserve"> für sprachgesteuerte Smart-Systeme über alle Modellreihen hinweg (2025). Diese Entwicklungen zeigen: Die Akzeptanz digitaler Lösungen in der Yachtbranche steigt rapide, insbesondere bei jüngeren Eignern.</w:t>
      </w:r>
    </w:p>
    <w:p w14:paraId="0F8526F7" w14:textId="6DE05128" w:rsidR="003378B6" w:rsidRDefault="00000000">
      <w:pPr>
        <w:pStyle w:val="berschrift2"/>
      </w:pPr>
      <w:r>
        <w:t xml:space="preserve">5.4 Relevanz für </w:t>
      </w:r>
      <w:r w:rsidR="002B6EDD">
        <w:t>SKIPILY</w:t>
      </w:r>
    </w:p>
    <w:p w14:paraId="02348489" w14:textId="77777777" w:rsidR="003378B6" w:rsidRDefault="00000000">
      <w:pPr>
        <w:spacing w:after="160"/>
      </w:pPr>
      <w:r>
        <w:rPr>
          <w:color w:val="2C3E50"/>
        </w:rPr>
        <w:t>Der Markt für Service-Management-Apps für Yachtbesitzer ist noch weitgehend fragmentiert. Während es etablierte Plattformen für Flottenmanagement und Charter gibt, fehlt es an einer umfassenden, nutzerfreundlichen Lösung, die sich speziell auf den privaten Eigner im Segment 8–21 m konzentriert und ihm hilft, Serviceanbieter zu finden, Wartung zu planen und Kosten zu kontrollieren. Die wachsende Digitalaffinität der jünger werdenden Eignerbasis schafft hier eine signifikante Marktchance.</w:t>
      </w:r>
    </w:p>
    <w:p w14:paraId="33CD3517" w14:textId="77777777" w:rsidR="003378B6" w:rsidRDefault="00000000">
      <w:pPr>
        <w:spacing w:before="80" w:after="80"/>
      </w:pPr>
      <w:r>
        <w:rPr>
          <w:i/>
          <w:iCs/>
          <w:color w:val="7F8C8D"/>
          <w:sz w:val="18"/>
          <w:szCs w:val="18"/>
        </w:rPr>
        <w:t xml:space="preserve">Quellen: </w:t>
      </w:r>
      <w:proofErr w:type="spellStart"/>
      <w:r>
        <w:rPr>
          <w:i/>
          <w:iCs/>
          <w:color w:val="7F8C8D"/>
          <w:sz w:val="18"/>
          <w:szCs w:val="18"/>
        </w:rPr>
        <w:t>Verified</w:t>
      </w:r>
      <w:proofErr w:type="spellEnd"/>
      <w:r>
        <w:rPr>
          <w:i/>
          <w:iCs/>
          <w:color w:val="7F8C8D"/>
          <w:sz w:val="18"/>
          <w:szCs w:val="18"/>
        </w:rPr>
        <w:t xml:space="preserve"> Market Reports „Yacht Management Software Market 2033“; Credence Research „Boat Monitoring Market 2032“; Market.us „Smart </w:t>
      </w:r>
      <w:proofErr w:type="spellStart"/>
      <w:r>
        <w:rPr>
          <w:i/>
          <w:iCs/>
          <w:color w:val="7F8C8D"/>
          <w:sz w:val="18"/>
          <w:szCs w:val="18"/>
        </w:rPr>
        <w:t>Boats</w:t>
      </w:r>
      <w:proofErr w:type="spellEnd"/>
      <w:r>
        <w:rPr>
          <w:i/>
          <w:iCs/>
          <w:color w:val="7F8C8D"/>
          <w:sz w:val="18"/>
          <w:szCs w:val="18"/>
        </w:rPr>
        <w:t xml:space="preserve"> Market 2033“; Research &amp; </w:t>
      </w:r>
      <w:proofErr w:type="spellStart"/>
      <w:r>
        <w:rPr>
          <w:i/>
          <w:iCs/>
          <w:color w:val="7F8C8D"/>
          <w:sz w:val="18"/>
          <w:szCs w:val="18"/>
        </w:rPr>
        <w:t>Markets</w:t>
      </w:r>
      <w:proofErr w:type="spellEnd"/>
      <w:r>
        <w:rPr>
          <w:i/>
          <w:iCs/>
          <w:color w:val="7F8C8D"/>
          <w:sz w:val="18"/>
          <w:szCs w:val="18"/>
        </w:rPr>
        <w:t xml:space="preserve"> „Yacht Management Software – Global Strategic Report“; </w:t>
      </w:r>
      <w:proofErr w:type="spellStart"/>
      <w:r>
        <w:rPr>
          <w:i/>
          <w:iCs/>
          <w:color w:val="7F8C8D"/>
          <w:sz w:val="18"/>
          <w:szCs w:val="18"/>
        </w:rPr>
        <w:t>WifiTalents</w:t>
      </w:r>
      <w:proofErr w:type="spellEnd"/>
      <w:r>
        <w:rPr>
          <w:i/>
          <w:iCs/>
          <w:color w:val="7F8C8D"/>
          <w:sz w:val="18"/>
          <w:szCs w:val="18"/>
        </w:rPr>
        <w:t xml:space="preserve"> „Yacht Industry Data Reports 2026“; news.market.us „Yacht </w:t>
      </w:r>
      <w:proofErr w:type="spellStart"/>
      <w:r>
        <w:rPr>
          <w:i/>
          <w:iCs/>
          <w:color w:val="7F8C8D"/>
          <w:sz w:val="18"/>
          <w:szCs w:val="18"/>
        </w:rPr>
        <w:t>Statistics</w:t>
      </w:r>
      <w:proofErr w:type="spellEnd"/>
      <w:r>
        <w:rPr>
          <w:i/>
          <w:iCs/>
          <w:color w:val="7F8C8D"/>
          <w:sz w:val="18"/>
          <w:szCs w:val="18"/>
        </w:rPr>
        <w:t xml:space="preserve"> 2026“; </w:t>
      </w:r>
      <w:proofErr w:type="spellStart"/>
      <w:r>
        <w:rPr>
          <w:i/>
          <w:iCs/>
          <w:color w:val="7F8C8D"/>
          <w:sz w:val="18"/>
          <w:szCs w:val="18"/>
        </w:rPr>
        <w:t>TheBoatingZone</w:t>
      </w:r>
      <w:proofErr w:type="spellEnd"/>
      <w:r>
        <w:rPr>
          <w:i/>
          <w:iCs/>
          <w:color w:val="7F8C8D"/>
          <w:sz w:val="18"/>
          <w:szCs w:val="18"/>
        </w:rPr>
        <w:t xml:space="preserve"> „State </w:t>
      </w:r>
      <w:proofErr w:type="spellStart"/>
      <w:r>
        <w:rPr>
          <w:i/>
          <w:iCs/>
          <w:color w:val="7F8C8D"/>
          <w:sz w:val="18"/>
          <w:szCs w:val="18"/>
        </w:rPr>
        <w:t>of</w:t>
      </w:r>
      <w:proofErr w:type="spellEnd"/>
      <w:r>
        <w:rPr>
          <w:i/>
          <w:iCs/>
          <w:color w:val="7F8C8D"/>
          <w:sz w:val="18"/>
          <w:szCs w:val="18"/>
        </w:rPr>
        <w:t xml:space="preserve"> </w:t>
      </w:r>
      <w:proofErr w:type="spellStart"/>
      <w:r>
        <w:rPr>
          <w:i/>
          <w:iCs/>
          <w:color w:val="7F8C8D"/>
          <w:sz w:val="18"/>
          <w:szCs w:val="18"/>
        </w:rPr>
        <w:t>the</w:t>
      </w:r>
      <w:proofErr w:type="spellEnd"/>
      <w:r>
        <w:rPr>
          <w:i/>
          <w:iCs/>
          <w:color w:val="7F8C8D"/>
          <w:sz w:val="18"/>
          <w:szCs w:val="18"/>
        </w:rPr>
        <w:t xml:space="preserve"> </w:t>
      </w:r>
      <w:proofErr w:type="spellStart"/>
      <w:r>
        <w:rPr>
          <w:i/>
          <w:iCs/>
          <w:color w:val="7F8C8D"/>
          <w:sz w:val="18"/>
          <w:szCs w:val="18"/>
        </w:rPr>
        <w:t>Boating</w:t>
      </w:r>
      <w:proofErr w:type="spellEnd"/>
      <w:r>
        <w:rPr>
          <w:i/>
          <w:iCs/>
          <w:color w:val="7F8C8D"/>
          <w:sz w:val="18"/>
          <w:szCs w:val="18"/>
        </w:rPr>
        <w:t xml:space="preserve"> Market 2025“; </w:t>
      </w:r>
      <w:proofErr w:type="spellStart"/>
      <w:r>
        <w:rPr>
          <w:i/>
          <w:iCs/>
          <w:color w:val="7F8C8D"/>
          <w:sz w:val="18"/>
          <w:szCs w:val="18"/>
        </w:rPr>
        <w:t>BoatBlurb</w:t>
      </w:r>
      <w:proofErr w:type="spellEnd"/>
      <w:r>
        <w:rPr>
          <w:i/>
          <w:iCs/>
          <w:color w:val="7F8C8D"/>
          <w:sz w:val="18"/>
          <w:szCs w:val="18"/>
        </w:rPr>
        <w:t xml:space="preserve"> „</w:t>
      </w:r>
      <w:proofErr w:type="spellStart"/>
      <w:r>
        <w:rPr>
          <w:i/>
          <w:iCs/>
          <w:color w:val="7F8C8D"/>
          <w:sz w:val="18"/>
          <w:szCs w:val="18"/>
        </w:rPr>
        <w:t>Four</w:t>
      </w:r>
      <w:proofErr w:type="spellEnd"/>
      <w:r>
        <w:rPr>
          <w:i/>
          <w:iCs/>
          <w:color w:val="7F8C8D"/>
          <w:sz w:val="18"/>
          <w:szCs w:val="18"/>
        </w:rPr>
        <w:t xml:space="preserve"> Tech Trends 2024“; Superyachts.com „Technology Trends 2025“</w:t>
      </w:r>
    </w:p>
    <w:p w14:paraId="627A8B79" w14:textId="77777777" w:rsidR="003378B6" w:rsidRDefault="00000000">
      <w:r>
        <w:br w:type="page"/>
      </w:r>
    </w:p>
    <w:p w14:paraId="124582D1" w14:textId="77777777" w:rsidR="003378B6" w:rsidRDefault="00000000">
      <w:pPr>
        <w:pStyle w:val="berschrift1"/>
      </w:pPr>
      <w:r>
        <w:lastRenderedPageBreak/>
        <w:t>Quellenverzeichnis</w:t>
      </w:r>
    </w:p>
    <w:p w14:paraId="0FB847F2" w14:textId="77777777" w:rsidR="003378B6" w:rsidRDefault="00000000">
      <w:pPr>
        <w:spacing w:after="160"/>
      </w:pPr>
      <w:r>
        <w:rPr>
          <w:color w:val="2C3E50"/>
        </w:rPr>
        <w:t>Alle in dieser Analyse zitierten Quellen sind öffentlich zugänglich und überprüfbar:</w:t>
      </w:r>
    </w:p>
    <w:p w14:paraId="2BACD559" w14:textId="77777777" w:rsidR="003378B6" w:rsidRDefault="003378B6">
      <w:pPr>
        <w:spacing w:after="160"/>
      </w:pPr>
    </w:p>
    <w:p w14:paraId="20818748" w14:textId="77777777" w:rsidR="003378B6" w:rsidRDefault="00000000">
      <w:pPr>
        <w:pStyle w:val="Listenabsatz"/>
        <w:numPr>
          <w:ilvl w:val="0"/>
          <w:numId w:val="2"/>
        </w:numPr>
        <w:spacing w:after="60"/>
      </w:pPr>
      <w:r>
        <w:rPr>
          <w:b/>
          <w:bCs/>
          <w:color w:val="2C3E50"/>
          <w:sz w:val="20"/>
          <w:szCs w:val="20"/>
        </w:rPr>
        <w:t xml:space="preserve">European </w:t>
      </w:r>
      <w:proofErr w:type="spellStart"/>
      <w:r>
        <w:rPr>
          <w:b/>
          <w:bCs/>
          <w:color w:val="2C3E50"/>
          <w:sz w:val="20"/>
          <w:szCs w:val="20"/>
        </w:rPr>
        <w:t>Boating</w:t>
      </w:r>
      <w:proofErr w:type="spellEnd"/>
      <w:r>
        <w:rPr>
          <w:b/>
          <w:bCs/>
          <w:color w:val="2C3E50"/>
          <w:sz w:val="20"/>
          <w:szCs w:val="20"/>
        </w:rPr>
        <w:t xml:space="preserve"> Industry (EBI): </w:t>
      </w:r>
      <w:r>
        <w:rPr>
          <w:color w:val="2E86C1"/>
          <w:sz w:val="20"/>
          <w:szCs w:val="20"/>
        </w:rPr>
        <w:t>europeanboatingindustry.eu/</w:t>
      </w:r>
      <w:proofErr w:type="spellStart"/>
      <w:r>
        <w:rPr>
          <w:color w:val="2E86C1"/>
          <w:sz w:val="20"/>
          <w:szCs w:val="20"/>
        </w:rPr>
        <w:t>about-the-industry</w:t>
      </w:r>
      <w:proofErr w:type="spellEnd"/>
      <w:r>
        <w:rPr>
          <w:color w:val="2E86C1"/>
          <w:sz w:val="20"/>
          <w:szCs w:val="20"/>
        </w:rPr>
        <w:t>/</w:t>
      </w:r>
      <w:proofErr w:type="spellStart"/>
      <w:r>
        <w:rPr>
          <w:color w:val="2E86C1"/>
          <w:sz w:val="20"/>
          <w:szCs w:val="20"/>
        </w:rPr>
        <w:t>facts</w:t>
      </w:r>
      <w:proofErr w:type="spellEnd"/>
      <w:r>
        <w:rPr>
          <w:color w:val="2E86C1"/>
          <w:sz w:val="20"/>
          <w:szCs w:val="20"/>
        </w:rPr>
        <w:t>-and-</w:t>
      </w:r>
      <w:proofErr w:type="spellStart"/>
      <w:r>
        <w:rPr>
          <w:color w:val="2E86C1"/>
          <w:sz w:val="20"/>
          <w:szCs w:val="20"/>
        </w:rPr>
        <w:t>figures</w:t>
      </w:r>
      <w:proofErr w:type="spellEnd"/>
    </w:p>
    <w:p w14:paraId="242FA7BB" w14:textId="77777777" w:rsidR="003378B6" w:rsidRDefault="00000000">
      <w:pPr>
        <w:pStyle w:val="Listenabsatz"/>
        <w:numPr>
          <w:ilvl w:val="0"/>
          <w:numId w:val="2"/>
        </w:numPr>
        <w:spacing w:after="60"/>
      </w:pPr>
      <w:r>
        <w:rPr>
          <w:b/>
          <w:bCs/>
          <w:color w:val="2C3E50"/>
          <w:sz w:val="20"/>
          <w:szCs w:val="20"/>
        </w:rPr>
        <w:t xml:space="preserve">Grand View Research: </w:t>
      </w:r>
      <w:r>
        <w:rPr>
          <w:color w:val="2E86C1"/>
          <w:sz w:val="20"/>
          <w:szCs w:val="20"/>
        </w:rPr>
        <w:t>grandviewresearch.com/</w:t>
      </w:r>
      <w:proofErr w:type="spellStart"/>
      <w:r>
        <w:rPr>
          <w:color w:val="2E86C1"/>
          <w:sz w:val="20"/>
          <w:szCs w:val="20"/>
        </w:rPr>
        <w:t>industry</w:t>
      </w:r>
      <w:proofErr w:type="spellEnd"/>
      <w:r>
        <w:rPr>
          <w:color w:val="2E86C1"/>
          <w:sz w:val="20"/>
          <w:szCs w:val="20"/>
        </w:rPr>
        <w:t>-analysis/yacht-</w:t>
      </w:r>
      <w:proofErr w:type="spellStart"/>
      <w:r>
        <w:rPr>
          <w:color w:val="2E86C1"/>
          <w:sz w:val="20"/>
          <w:szCs w:val="20"/>
        </w:rPr>
        <w:t>market</w:t>
      </w:r>
      <w:proofErr w:type="spellEnd"/>
    </w:p>
    <w:p w14:paraId="53426ADA" w14:textId="77777777" w:rsidR="003378B6" w:rsidRDefault="00000000">
      <w:pPr>
        <w:pStyle w:val="Listenabsatz"/>
        <w:numPr>
          <w:ilvl w:val="0"/>
          <w:numId w:val="2"/>
        </w:numPr>
        <w:spacing w:after="60"/>
      </w:pPr>
      <w:r>
        <w:rPr>
          <w:b/>
          <w:bCs/>
          <w:color w:val="2C3E50"/>
          <w:sz w:val="20"/>
          <w:szCs w:val="20"/>
        </w:rPr>
        <w:t xml:space="preserve">Global Market </w:t>
      </w:r>
      <w:proofErr w:type="spellStart"/>
      <w:r>
        <w:rPr>
          <w:b/>
          <w:bCs/>
          <w:color w:val="2C3E50"/>
          <w:sz w:val="20"/>
          <w:szCs w:val="20"/>
        </w:rPr>
        <w:t>Insights</w:t>
      </w:r>
      <w:proofErr w:type="spellEnd"/>
      <w:r>
        <w:rPr>
          <w:b/>
          <w:bCs/>
          <w:color w:val="2C3E50"/>
          <w:sz w:val="20"/>
          <w:szCs w:val="20"/>
        </w:rPr>
        <w:t xml:space="preserve">: </w:t>
      </w:r>
      <w:r>
        <w:rPr>
          <w:color w:val="2E86C1"/>
          <w:sz w:val="20"/>
          <w:szCs w:val="20"/>
        </w:rPr>
        <w:t>gminsights.com/</w:t>
      </w:r>
      <w:proofErr w:type="spellStart"/>
      <w:r>
        <w:rPr>
          <w:color w:val="2E86C1"/>
          <w:sz w:val="20"/>
          <w:szCs w:val="20"/>
        </w:rPr>
        <w:t>industry</w:t>
      </w:r>
      <w:proofErr w:type="spellEnd"/>
      <w:r>
        <w:rPr>
          <w:color w:val="2E86C1"/>
          <w:sz w:val="20"/>
          <w:szCs w:val="20"/>
        </w:rPr>
        <w:t>-analysis/yacht-</w:t>
      </w:r>
      <w:proofErr w:type="spellStart"/>
      <w:r>
        <w:rPr>
          <w:color w:val="2E86C1"/>
          <w:sz w:val="20"/>
          <w:szCs w:val="20"/>
        </w:rPr>
        <w:t>market</w:t>
      </w:r>
      <w:proofErr w:type="spellEnd"/>
    </w:p>
    <w:p w14:paraId="360A16B2" w14:textId="77777777" w:rsidR="003378B6" w:rsidRDefault="00000000">
      <w:pPr>
        <w:pStyle w:val="Listenabsatz"/>
        <w:numPr>
          <w:ilvl w:val="0"/>
          <w:numId w:val="2"/>
        </w:numPr>
        <w:spacing w:after="60"/>
      </w:pPr>
      <w:r>
        <w:rPr>
          <w:b/>
          <w:bCs/>
          <w:color w:val="2C3E50"/>
          <w:sz w:val="20"/>
          <w:szCs w:val="20"/>
        </w:rPr>
        <w:t xml:space="preserve">Power Systems Research: </w:t>
      </w:r>
      <w:r>
        <w:rPr>
          <w:color w:val="2E86C1"/>
          <w:sz w:val="20"/>
          <w:szCs w:val="20"/>
        </w:rPr>
        <w:t>powersys.com/2026/02/2026-superyacht-market-outlook-features-steady-growth/</w:t>
      </w:r>
    </w:p>
    <w:p w14:paraId="3C157AEA" w14:textId="77777777" w:rsidR="003378B6" w:rsidRDefault="00000000">
      <w:pPr>
        <w:pStyle w:val="Listenabsatz"/>
        <w:numPr>
          <w:ilvl w:val="0"/>
          <w:numId w:val="2"/>
        </w:numPr>
        <w:spacing w:after="60"/>
      </w:pPr>
      <w:proofErr w:type="spellStart"/>
      <w:r>
        <w:rPr>
          <w:b/>
          <w:bCs/>
          <w:color w:val="2C3E50"/>
          <w:sz w:val="20"/>
          <w:szCs w:val="20"/>
        </w:rPr>
        <w:t>DreamYachtSales</w:t>
      </w:r>
      <w:proofErr w:type="spellEnd"/>
      <w:r>
        <w:rPr>
          <w:b/>
          <w:bCs/>
          <w:color w:val="2C3E50"/>
          <w:sz w:val="20"/>
          <w:szCs w:val="20"/>
        </w:rPr>
        <w:t xml:space="preserve">: </w:t>
      </w:r>
      <w:r>
        <w:rPr>
          <w:color w:val="2E86C1"/>
          <w:sz w:val="20"/>
          <w:szCs w:val="20"/>
        </w:rPr>
        <w:t>dreamyachtsales.com/</w:t>
      </w:r>
      <w:proofErr w:type="spellStart"/>
      <w:r>
        <w:rPr>
          <w:color w:val="2E86C1"/>
          <w:sz w:val="20"/>
          <w:szCs w:val="20"/>
        </w:rPr>
        <w:t>blog</w:t>
      </w:r>
      <w:proofErr w:type="spellEnd"/>
      <w:r>
        <w:rPr>
          <w:color w:val="2E86C1"/>
          <w:sz w:val="20"/>
          <w:szCs w:val="20"/>
        </w:rPr>
        <w:t>/yacht-</w:t>
      </w:r>
      <w:proofErr w:type="spellStart"/>
      <w:r>
        <w:rPr>
          <w:color w:val="2E86C1"/>
          <w:sz w:val="20"/>
          <w:szCs w:val="20"/>
        </w:rPr>
        <w:t>industry</w:t>
      </w:r>
      <w:proofErr w:type="spellEnd"/>
      <w:r>
        <w:rPr>
          <w:color w:val="2E86C1"/>
          <w:sz w:val="20"/>
          <w:szCs w:val="20"/>
        </w:rPr>
        <w:t>-</w:t>
      </w:r>
      <w:proofErr w:type="spellStart"/>
      <w:r>
        <w:rPr>
          <w:color w:val="2E86C1"/>
          <w:sz w:val="20"/>
          <w:szCs w:val="20"/>
        </w:rPr>
        <w:t>statistics</w:t>
      </w:r>
      <w:proofErr w:type="spellEnd"/>
      <w:r>
        <w:rPr>
          <w:color w:val="2E86C1"/>
          <w:sz w:val="20"/>
          <w:szCs w:val="20"/>
        </w:rPr>
        <w:t>/</w:t>
      </w:r>
    </w:p>
    <w:p w14:paraId="1F192B17" w14:textId="77777777" w:rsidR="003378B6" w:rsidRDefault="00000000">
      <w:pPr>
        <w:pStyle w:val="Listenabsatz"/>
        <w:numPr>
          <w:ilvl w:val="0"/>
          <w:numId w:val="2"/>
        </w:numPr>
        <w:spacing w:after="60"/>
      </w:pPr>
      <w:proofErr w:type="spellStart"/>
      <w:r>
        <w:rPr>
          <w:b/>
          <w:bCs/>
          <w:color w:val="2C3E50"/>
          <w:sz w:val="20"/>
          <w:szCs w:val="20"/>
        </w:rPr>
        <w:t>WifiTalents</w:t>
      </w:r>
      <w:proofErr w:type="spellEnd"/>
      <w:r>
        <w:rPr>
          <w:b/>
          <w:bCs/>
          <w:color w:val="2C3E50"/>
          <w:sz w:val="20"/>
          <w:szCs w:val="20"/>
        </w:rPr>
        <w:t xml:space="preserve">: </w:t>
      </w:r>
      <w:r>
        <w:rPr>
          <w:color w:val="2E86C1"/>
          <w:sz w:val="20"/>
          <w:szCs w:val="20"/>
        </w:rPr>
        <w:t>wifitalents.com/yacht-</w:t>
      </w:r>
      <w:proofErr w:type="spellStart"/>
      <w:r>
        <w:rPr>
          <w:color w:val="2E86C1"/>
          <w:sz w:val="20"/>
          <w:szCs w:val="20"/>
        </w:rPr>
        <w:t>industry</w:t>
      </w:r>
      <w:proofErr w:type="spellEnd"/>
      <w:r>
        <w:rPr>
          <w:color w:val="2E86C1"/>
          <w:sz w:val="20"/>
          <w:szCs w:val="20"/>
        </w:rPr>
        <w:t>-</w:t>
      </w:r>
      <w:proofErr w:type="spellStart"/>
      <w:r>
        <w:rPr>
          <w:color w:val="2E86C1"/>
          <w:sz w:val="20"/>
          <w:szCs w:val="20"/>
        </w:rPr>
        <w:t>statistics</w:t>
      </w:r>
      <w:proofErr w:type="spellEnd"/>
      <w:r>
        <w:rPr>
          <w:color w:val="2E86C1"/>
          <w:sz w:val="20"/>
          <w:szCs w:val="20"/>
        </w:rPr>
        <w:t>/</w:t>
      </w:r>
    </w:p>
    <w:p w14:paraId="2396E128" w14:textId="77777777" w:rsidR="003378B6" w:rsidRDefault="00000000">
      <w:pPr>
        <w:pStyle w:val="Listenabsatz"/>
        <w:numPr>
          <w:ilvl w:val="0"/>
          <w:numId w:val="2"/>
        </w:numPr>
        <w:spacing w:after="60"/>
      </w:pPr>
      <w:r>
        <w:rPr>
          <w:b/>
          <w:bCs/>
          <w:color w:val="2C3E50"/>
          <w:sz w:val="20"/>
          <w:szCs w:val="20"/>
        </w:rPr>
        <w:t xml:space="preserve">Statista – US Registered </w:t>
      </w:r>
      <w:proofErr w:type="spellStart"/>
      <w:r>
        <w:rPr>
          <w:b/>
          <w:bCs/>
          <w:color w:val="2C3E50"/>
          <w:sz w:val="20"/>
          <w:szCs w:val="20"/>
        </w:rPr>
        <w:t>Boats</w:t>
      </w:r>
      <w:proofErr w:type="spellEnd"/>
      <w:r>
        <w:rPr>
          <w:b/>
          <w:bCs/>
          <w:color w:val="2C3E50"/>
          <w:sz w:val="20"/>
          <w:szCs w:val="20"/>
        </w:rPr>
        <w:t xml:space="preserve">: </w:t>
      </w:r>
      <w:r>
        <w:rPr>
          <w:color w:val="2E86C1"/>
          <w:sz w:val="20"/>
          <w:szCs w:val="20"/>
        </w:rPr>
        <w:t>statista.com/statistics/240634/registered-recreational-boating-vessels-in-the-us/</w:t>
      </w:r>
    </w:p>
    <w:p w14:paraId="6E48802A" w14:textId="77777777" w:rsidR="003378B6" w:rsidRDefault="00000000">
      <w:pPr>
        <w:pStyle w:val="Listenabsatz"/>
        <w:numPr>
          <w:ilvl w:val="0"/>
          <w:numId w:val="2"/>
        </w:numPr>
        <w:spacing w:after="60"/>
      </w:pPr>
      <w:r>
        <w:rPr>
          <w:b/>
          <w:bCs/>
          <w:color w:val="2C3E50"/>
          <w:sz w:val="20"/>
          <w:szCs w:val="20"/>
        </w:rPr>
        <w:t xml:space="preserve">Boat International: </w:t>
      </w:r>
      <w:r>
        <w:rPr>
          <w:color w:val="2E86C1"/>
          <w:sz w:val="20"/>
          <w:szCs w:val="20"/>
        </w:rPr>
        <w:t>boatinternational.com/yachts/luxury-yacht-advice/hidden-costs-owning-superyacht</w:t>
      </w:r>
    </w:p>
    <w:p w14:paraId="6E69B3C8" w14:textId="77777777" w:rsidR="003378B6" w:rsidRDefault="00000000">
      <w:pPr>
        <w:pStyle w:val="Listenabsatz"/>
        <w:numPr>
          <w:ilvl w:val="0"/>
          <w:numId w:val="2"/>
        </w:numPr>
        <w:spacing w:after="60"/>
      </w:pPr>
      <w:proofErr w:type="spellStart"/>
      <w:r>
        <w:rPr>
          <w:b/>
          <w:bCs/>
          <w:color w:val="2C3E50"/>
          <w:sz w:val="20"/>
          <w:szCs w:val="20"/>
        </w:rPr>
        <w:t>YachtBuyer</w:t>
      </w:r>
      <w:proofErr w:type="spellEnd"/>
      <w:r>
        <w:rPr>
          <w:b/>
          <w:bCs/>
          <w:color w:val="2C3E50"/>
          <w:sz w:val="20"/>
          <w:szCs w:val="20"/>
        </w:rPr>
        <w:t xml:space="preserve">: </w:t>
      </w:r>
      <w:r>
        <w:rPr>
          <w:color w:val="2E86C1"/>
          <w:sz w:val="20"/>
          <w:szCs w:val="20"/>
        </w:rPr>
        <w:t>yachtbuyer.com/en-us/advice/how-much-does-a-new-yacht-cost-to-run</w:t>
      </w:r>
    </w:p>
    <w:p w14:paraId="6822E87B" w14:textId="77777777" w:rsidR="003378B6" w:rsidRDefault="00000000">
      <w:pPr>
        <w:pStyle w:val="Listenabsatz"/>
        <w:numPr>
          <w:ilvl w:val="0"/>
          <w:numId w:val="2"/>
        </w:numPr>
        <w:spacing w:after="60"/>
      </w:pPr>
      <w:r>
        <w:rPr>
          <w:b/>
          <w:bCs/>
          <w:color w:val="2C3E50"/>
          <w:sz w:val="20"/>
          <w:szCs w:val="20"/>
        </w:rPr>
        <w:t xml:space="preserve">WS Yacht Brokers: </w:t>
      </w:r>
      <w:r>
        <w:rPr>
          <w:color w:val="2E86C1"/>
          <w:sz w:val="20"/>
          <w:szCs w:val="20"/>
        </w:rPr>
        <w:t>wsyachtbrokers.com/what-is-the-10-rule-for-yachts</w:t>
      </w:r>
    </w:p>
    <w:p w14:paraId="1E3D9505" w14:textId="77777777" w:rsidR="003378B6" w:rsidRDefault="00000000">
      <w:pPr>
        <w:pStyle w:val="Listenabsatz"/>
        <w:numPr>
          <w:ilvl w:val="0"/>
          <w:numId w:val="2"/>
        </w:numPr>
        <w:spacing w:after="60"/>
      </w:pPr>
      <w:r>
        <w:rPr>
          <w:b/>
          <w:bCs/>
          <w:color w:val="2C3E50"/>
          <w:sz w:val="20"/>
          <w:szCs w:val="20"/>
        </w:rPr>
        <w:t xml:space="preserve">212 Yachts: </w:t>
      </w:r>
      <w:r>
        <w:rPr>
          <w:color w:val="2E86C1"/>
          <w:sz w:val="20"/>
          <w:szCs w:val="20"/>
        </w:rPr>
        <w:t>212-yachts.com/yacht-</w:t>
      </w:r>
      <w:proofErr w:type="spellStart"/>
      <w:r>
        <w:rPr>
          <w:color w:val="2E86C1"/>
          <w:sz w:val="20"/>
          <w:szCs w:val="20"/>
        </w:rPr>
        <w:t>ownership</w:t>
      </w:r>
      <w:proofErr w:type="spellEnd"/>
      <w:r>
        <w:rPr>
          <w:color w:val="2E86C1"/>
          <w:sz w:val="20"/>
          <w:szCs w:val="20"/>
        </w:rPr>
        <w:t>-</w:t>
      </w:r>
      <w:proofErr w:type="spellStart"/>
      <w:r>
        <w:rPr>
          <w:color w:val="2E86C1"/>
          <w:sz w:val="20"/>
          <w:szCs w:val="20"/>
        </w:rPr>
        <w:t>costs</w:t>
      </w:r>
      <w:proofErr w:type="spellEnd"/>
      <w:r>
        <w:rPr>
          <w:color w:val="2E86C1"/>
          <w:sz w:val="20"/>
          <w:szCs w:val="20"/>
        </w:rPr>
        <w:t>/</w:t>
      </w:r>
    </w:p>
    <w:p w14:paraId="3B8AAE98" w14:textId="77777777" w:rsidR="003378B6" w:rsidRDefault="00000000">
      <w:pPr>
        <w:pStyle w:val="Listenabsatz"/>
        <w:numPr>
          <w:ilvl w:val="0"/>
          <w:numId w:val="2"/>
        </w:numPr>
        <w:spacing w:after="60"/>
      </w:pPr>
      <w:r>
        <w:rPr>
          <w:b/>
          <w:bCs/>
          <w:color w:val="2C3E50"/>
          <w:sz w:val="20"/>
          <w:szCs w:val="20"/>
        </w:rPr>
        <w:t xml:space="preserve">Mordor </w:t>
      </w:r>
      <w:proofErr w:type="spellStart"/>
      <w:r>
        <w:rPr>
          <w:b/>
          <w:bCs/>
          <w:color w:val="2C3E50"/>
          <w:sz w:val="20"/>
          <w:szCs w:val="20"/>
        </w:rPr>
        <w:t>Intelligence</w:t>
      </w:r>
      <w:proofErr w:type="spellEnd"/>
      <w:r>
        <w:rPr>
          <w:b/>
          <w:bCs/>
          <w:color w:val="2C3E50"/>
          <w:sz w:val="20"/>
          <w:szCs w:val="20"/>
        </w:rPr>
        <w:t xml:space="preserve">: </w:t>
      </w:r>
      <w:r>
        <w:rPr>
          <w:color w:val="2E86C1"/>
          <w:sz w:val="20"/>
          <w:szCs w:val="20"/>
        </w:rPr>
        <w:t>mordorintelligence.com/industry-reports/europe-recreational-boating-market</w:t>
      </w:r>
    </w:p>
    <w:p w14:paraId="5258C586" w14:textId="77777777" w:rsidR="003378B6" w:rsidRDefault="00000000">
      <w:pPr>
        <w:pStyle w:val="Listenabsatz"/>
        <w:numPr>
          <w:ilvl w:val="0"/>
          <w:numId w:val="2"/>
        </w:numPr>
        <w:spacing w:after="60"/>
      </w:pPr>
      <w:proofErr w:type="spellStart"/>
      <w:r>
        <w:rPr>
          <w:b/>
          <w:bCs/>
          <w:color w:val="2C3E50"/>
          <w:sz w:val="20"/>
          <w:szCs w:val="20"/>
        </w:rPr>
        <w:t>MarketDataForecast</w:t>
      </w:r>
      <w:proofErr w:type="spellEnd"/>
      <w:r>
        <w:rPr>
          <w:b/>
          <w:bCs/>
          <w:color w:val="2C3E50"/>
          <w:sz w:val="20"/>
          <w:szCs w:val="20"/>
        </w:rPr>
        <w:t xml:space="preserve">: </w:t>
      </w:r>
      <w:r>
        <w:rPr>
          <w:color w:val="2E86C1"/>
          <w:sz w:val="20"/>
          <w:szCs w:val="20"/>
        </w:rPr>
        <w:t>marketdataforecast.com/market-reports/europe-recreational-boating-market</w:t>
      </w:r>
    </w:p>
    <w:p w14:paraId="329E8A62" w14:textId="77777777" w:rsidR="003378B6" w:rsidRDefault="00000000">
      <w:pPr>
        <w:pStyle w:val="Listenabsatz"/>
        <w:numPr>
          <w:ilvl w:val="0"/>
          <w:numId w:val="2"/>
        </w:numPr>
        <w:spacing w:after="60"/>
      </w:pPr>
      <w:proofErr w:type="spellStart"/>
      <w:r>
        <w:rPr>
          <w:b/>
          <w:bCs/>
          <w:color w:val="2C3E50"/>
          <w:sz w:val="20"/>
          <w:szCs w:val="20"/>
        </w:rPr>
        <w:t>Verified</w:t>
      </w:r>
      <w:proofErr w:type="spellEnd"/>
      <w:r>
        <w:rPr>
          <w:b/>
          <w:bCs/>
          <w:color w:val="2C3E50"/>
          <w:sz w:val="20"/>
          <w:szCs w:val="20"/>
        </w:rPr>
        <w:t xml:space="preserve"> Market Reports: </w:t>
      </w:r>
      <w:r>
        <w:rPr>
          <w:color w:val="2E86C1"/>
          <w:sz w:val="20"/>
          <w:szCs w:val="20"/>
        </w:rPr>
        <w:t>verifiedmarketreports.com/product/yacht-management-software-market/</w:t>
      </w:r>
    </w:p>
    <w:p w14:paraId="072FB03D" w14:textId="77777777" w:rsidR="003378B6" w:rsidRDefault="00000000">
      <w:pPr>
        <w:pStyle w:val="Listenabsatz"/>
        <w:numPr>
          <w:ilvl w:val="0"/>
          <w:numId w:val="2"/>
        </w:numPr>
        <w:spacing w:after="60"/>
      </w:pPr>
      <w:r>
        <w:rPr>
          <w:b/>
          <w:bCs/>
          <w:color w:val="2C3E50"/>
          <w:sz w:val="20"/>
          <w:szCs w:val="20"/>
        </w:rPr>
        <w:t xml:space="preserve">Credence Research: </w:t>
      </w:r>
      <w:r>
        <w:rPr>
          <w:color w:val="2E86C1"/>
          <w:sz w:val="20"/>
          <w:szCs w:val="20"/>
        </w:rPr>
        <w:t>credenceresearch.com/</w:t>
      </w:r>
      <w:proofErr w:type="spellStart"/>
      <w:r>
        <w:rPr>
          <w:color w:val="2E86C1"/>
          <w:sz w:val="20"/>
          <w:szCs w:val="20"/>
        </w:rPr>
        <w:t>report</w:t>
      </w:r>
      <w:proofErr w:type="spellEnd"/>
      <w:r>
        <w:rPr>
          <w:color w:val="2E86C1"/>
          <w:sz w:val="20"/>
          <w:szCs w:val="20"/>
        </w:rPr>
        <w:t>/</w:t>
      </w:r>
      <w:proofErr w:type="spellStart"/>
      <w:r>
        <w:rPr>
          <w:color w:val="2E86C1"/>
          <w:sz w:val="20"/>
          <w:szCs w:val="20"/>
        </w:rPr>
        <w:t>boat</w:t>
      </w:r>
      <w:proofErr w:type="spellEnd"/>
      <w:r>
        <w:rPr>
          <w:color w:val="2E86C1"/>
          <w:sz w:val="20"/>
          <w:szCs w:val="20"/>
        </w:rPr>
        <w:t>-monitoring-</w:t>
      </w:r>
      <w:proofErr w:type="spellStart"/>
      <w:r>
        <w:rPr>
          <w:color w:val="2E86C1"/>
          <w:sz w:val="20"/>
          <w:szCs w:val="20"/>
        </w:rPr>
        <w:t>market</w:t>
      </w:r>
      <w:proofErr w:type="spellEnd"/>
    </w:p>
    <w:p w14:paraId="4B88D772" w14:textId="77777777" w:rsidR="003378B6" w:rsidRDefault="00000000">
      <w:pPr>
        <w:pStyle w:val="Listenabsatz"/>
        <w:numPr>
          <w:ilvl w:val="0"/>
          <w:numId w:val="2"/>
        </w:numPr>
        <w:spacing w:after="60"/>
      </w:pPr>
      <w:r>
        <w:rPr>
          <w:b/>
          <w:bCs/>
          <w:color w:val="2C3E50"/>
          <w:sz w:val="20"/>
          <w:szCs w:val="20"/>
        </w:rPr>
        <w:t xml:space="preserve">Market.us: </w:t>
      </w:r>
      <w:r>
        <w:rPr>
          <w:color w:val="2E86C1"/>
          <w:sz w:val="20"/>
          <w:szCs w:val="20"/>
        </w:rPr>
        <w:t>market.us/</w:t>
      </w:r>
      <w:proofErr w:type="spellStart"/>
      <w:r>
        <w:rPr>
          <w:color w:val="2E86C1"/>
          <w:sz w:val="20"/>
          <w:szCs w:val="20"/>
        </w:rPr>
        <w:t>report</w:t>
      </w:r>
      <w:proofErr w:type="spellEnd"/>
      <w:r>
        <w:rPr>
          <w:color w:val="2E86C1"/>
          <w:sz w:val="20"/>
          <w:szCs w:val="20"/>
        </w:rPr>
        <w:t>/marine-software-management-</w:t>
      </w:r>
      <w:proofErr w:type="spellStart"/>
      <w:r>
        <w:rPr>
          <w:color w:val="2E86C1"/>
          <w:sz w:val="20"/>
          <w:szCs w:val="20"/>
        </w:rPr>
        <w:t>market</w:t>
      </w:r>
      <w:proofErr w:type="spellEnd"/>
      <w:r>
        <w:rPr>
          <w:color w:val="2E86C1"/>
          <w:sz w:val="20"/>
          <w:szCs w:val="20"/>
        </w:rPr>
        <w:t>/</w:t>
      </w:r>
    </w:p>
    <w:p w14:paraId="5BBE0E99" w14:textId="77777777" w:rsidR="003378B6" w:rsidRDefault="00000000">
      <w:pPr>
        <w:pStyle w:val="Listenabsatz"/>
        <w:numPr>
          <w:ilvl w:val="0"/>
          <w:numId w:val="2"/>
        </w:numPr>
        <w:spacing w:after="60"/>
      </w:pPr>
      <w:r>
        <w:rPr>
          <w:b/>
          <w:bCs/>
          <w:color w:val="2C3E50"/>
          <w:sz w:val="20"/>
          <w:szCs w:val="20"/>
        </w:rPr>
        <w:t xml:space="preserve">Research &amp; </w:t>
      </w:r>
      <w:proofErr w:type="spellStart"/>
      <w:r>
        <w:rPr>
          <w:b/>
          <w:bCs/>
          <w:color w:val="2C3E50"/>
          <w:sz w:val="20"/>
          <w:szCs w:val="20"/>
        </w:rPr>
        <w:t>Markets</w:t>
      </w:r>
      <w:proofErr w:type="spellEnd"/>
      <w:r>
        <w:rPr>
          <w:b/>
          <w:bCs/>
          <w:color w:val="2C3E50"/>
          <w:sz w:val="20"/>
          <w:szCs w:val="20"/>
        </w:rPr>
        <w:t xml:space="preserve">: </w:t>
      </w:r>
      <w:r>
        <w:rPr>
          <w:color w:val="2E86C1"/>
          <w:sz w:val="20"/>
          <w:szCs w:val="20"/>
        </w:rPr>
        <w:t>researchandmarkets.com/reports/6086863/yacht-management-software-global-strategic</w:t>
      </w:r>
    </w:p>
    <w:p w14:paraId="2542E9C9" w14:textId="77777777" w:rsidR="003378B6" w:rsidRDefault="00000000">
      <w:pPr>
        <w:pStyle w:val="Listenabsatz"/>
        <w:numPr>
          <w:ilvl w:val="0"/>
          <w:numId w:val="2"/>
        </w:numPr>
        <w:spacing w:after="60"/>
      </w:pPr>
      <w:r>
        <w:rPr>
          <w:b/>
          <w:bCs/>
          <w:color w:val="2C3E50"/>
          <w:sz w:val="20"/>
          <w:szCs w:val="20"/>
        </w:rPr>
        <w:t xml:space="preserve">Arizton: </w:t>
      </w:r>
      <w:r>
        <w:rPr>
          <w:color w:val="2E86C1"/>
          <w:sz w:val="20"/>
          <w:szCs w:val="20"/>
        </w:rPr>
        <w:t>arizton.com/</w:t>
      </w:r>
      <w:proofErr w:type="spellStart"/>
      <w:r>
        <w:rPr>
          <w:color w:val="2E86C1"/>
          <w:sz w:val="20"/>
          <w:szCs w:val="20"/>
        </w:rPr>
        <w:t>market</w:t>
      </w:r>
      <w:proofErr w:type="spellEnd"/>
      <w:r>
        <w:rPr>
          <w:color w:val="2E86C1"/>
          <w:sz w:val="20"/>
          <w:szCs w:val="20"/>
        </w:rPr>
        <w:t>-reports/yacht-</w:t>
      </w:r>
      <w:proofErr w:type="spellStart"/>
      <w:r>
        <w:rPr>
          <w:color w:val="2E86C1"/>
          <w:sz w:val="20"/>
          <w:szCs w:val="20"/>
        </w:rPr>
        <w:t>market</w:t>
      </w:r>
      <w:proofErr w:type="spellEnd"/>
    </w:p>
    <w:p w14:paraId="130F9492" w14:textId="77777777" w:rsidR="003378B6" w:rsidRDefault="00000000">
      <w:pPr>
        <w:pStyle w:val="Listenabsatz"/>
        <w:numPr>
          <w:ilvl w:val="0"/>
          <w:numId w:val="2"/>
        </w:numPr>
        <w:spacing w:after="60"/>
      </w:pPr>
      <w:r>
        <w:rPr>
          <w:b/>
          <w:bCs/>
          <w:color w:val="2C3E50"/>
          <w:sz w:val="20"/>
          <w:szCs w:val="20"/>
        </w:rPr>
        <w:t xml:space="preserve">news.market.us: </w:t>
      </w:r>
      <w:r>
        <w:rPr>
          <w:color w:val="2E86C1"/>
          <w:sz w:val="20"/>
          <w:szCs w:val="20"/>
        </w:rPr>
        <w:t>news.market.us/yacht-</w:t>
      </w:r>
      <w:proofErr w:type="spellStart"/>
      <w:r>
        <w:rPr>
          <w:color w:val="2E86C1"/>
          <w:sz w:val="20"/>
          <w:szCs w:val="20"/>
        </w:rPr>
        <w:t>statistics</w:t>
      </w:r>
      <w:proofErr w:type="spellEnd"/>
      <w:r>
        <w:rPr>
          <w:color w:val="2E86C1"/>
          <w:sz w:val="20"/>
          <w:szCs w:val="20"/>
        </w:rPr>
        <w:t>/</w:t>
      </w:r>
    </w:p>
    <w:p w14:paraId="57C362A1" w14:textId="77777777" w:rsidR="003378B6" w:rsidRDefault="00000000">
      <w:pPr>
        <w:pStyle w:val="Listenabsatz"/>
        <w:numPr>
          <w:ilvl w:val="0"/>
          <w:numId w:val="2"/>
        </w:numPr>
        <w:spacing w:after="60"/>
      </w:pPr>
      <w:proofErr w:type="spellStart"/>
      <w:r>
        <w:rPr>
          <w:b/>
          <w:bCs/>
          <w:color w:val="2C3E50"/>
          <w:sz w:val="20"/>
          <w:szCs w:val="20"/>
        </w:rPr>
        <w:t>TheBoatingZone</w:t>
      </w:r>
      <w:proofErr w:type="spellEnd"/>
      <w:r>
        <w:rPr>
          <w:b/>
          <w:bCs/>
          <w:color w:val="2C3E50"/>
          <w:sz w:val="20"/>
          <w:szCs w:val="20"/>
        </w:rPr>
        <w:t xml:space="preserve">: </w:t>
      </w:r>
      <w:r>
        <w:rPr>
          <w:color w:val="2E86C1"/>
          <w:sz w:val="20"/>
          <w:szCs w:val="20"/>
        </w:rPr>
        <w:t>theboatingzone.com/2025/01/27/the-state-of-the-boating-market-in-2025/</w:t>
      </w:r>
    </w:p>
    <w:p w14:paraId="7DABA02A" w14:textId="77777777" w:rsidR="003378B6" w:rsidRDefault="00000000">
      <w:pPr>
        <w:pStyle w:val="Listenabsatz"/>
        <w:numPr>
          <w:ilvl w:val="0"/>
          <w:numId w:val="2"/>
        </w:numPr>
        <w:spacing w:after="60"/>
      </w:pPr>
      <w:r>
        <w:rPr>
          <w:b/>
          <w:bCs/>
          <w:color w:val="2C3E50"/>
          <w:sz w:val="20"/>
          <w:szCs w:val="20"/>
        </w:rPr>
        <w:t xml:space="preserve">Superyachts.com: </w:t>
      </w:r>
      <w:r>
        <w:rPr>
          <w:color w:val="2E86C1"/>
          <w:sz w:val="20"/>
          <w:szCs w:val="20"/>
        </w:rPr>
        <w:t>superyachts.com/news/story/superyacht-technology-trends-in-2025-17925/</w:t>
      </w:r>
    </w:p>
    <w:p w14:paraId="3C2C57C1" w14:textId="77777777" w:rsidR="003378B6" w:rsidRDefault="00000000">
      <w:pPr>
        <w:pStyle w:val="Listenabsatz"/>
        <w:numPr>
          <w:ilvl w:val="0"/>
          <w:numId w:val="2"/>
        </w:numPr>
        <w:spacing w:after="60"/>
      </w:pPr>
      <w:r>
        <w:rPr>
          <w:b/>
          <w:bCs/>
          <w:color w:val="2C3E50"/>
          <w:sz w:val="20"/>
          <w:szCs w:val="20"/>
        </w:rPr>
        <w:t xml:space="preserve">Boat International – Global Order Book 2025: </w:t>
      </w:r>
      <w:r>
        <w:rPr>
          <w:color w:val="2E86C1"/>
          <w:sz w:val="20"/>
          <w:szCs w:val="20"/>
        </w:rPr>
        <w:t>boatinternational.com (GOB 2025 PDF)</w:t>
      </w:r>
    </w:p>
    <w:p w14:paraId="0C2F618E" w14:textId="77777777" w:rsidR="003378B6" w:rsidRDefault="003378B6">
      <w:pPr>
        <w:spacing w:after="160"/>
      </w:pPr>
    </w:p>
    <w:p w14:paraId="10BE4148" w14:textId="77777777" w:rsidR="003378B6" w:rsidRDefault="00000000">
      <w:pPr>
        <w:pBdr>
          <w:top w:val="single" w:sz="4" w:space="8" w:color="1B4F72"/>
        </w:pBdr>
        <w:spacing w:before="400"/>
      </w:pPr>
      <w:r>
        <w:rPr>
          <w:i/>
          <w:iCs/>
          <w:color w:val="7F8C8D"/>
          <w:sz w:val="18"/>
          <w:szCs w:val="18"/>
        </w:rPr>
        <w:t>Hinweis: Die Schätzungen für das Segment 8–21 m basieren auf verfügbaren Gesamtmarktdaten und branchenspezifischen Interpolationen. Exakte Stichtagszahlen sind aufgrund unterschiedlicher nationaler Registrierungssysteme nicht einheitlich verfügbar. Alle Zahlen sind als fundierte Markteinschätzungen zu verstehen.</w:t>
      </w:r>
    </w:p>
    <w:sectPr w:rsidR="003378B6">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57AD3" w14:textId="77777777" w:rsidR="00D71309" w:rsidRDefault="00D71309">
      <w:r>
        <w:separator/>
      </w:r>
    </w:p>
  </w:endnote>
  <w:endnote w:type="continuationSeparator" w:id="0">
    <w:p w14:paraId="50955D01" w14:textId="77777777" w:rsidR="00D71309" w:rsidRDefault="00D71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B4FFC" w14:textId="77777777" w:rsidR="003378B6" w:rsidRDefault="00000000">
    <w:pPr>
      <w:pBdr>
        <w:top w:val="single" w:sz="2" w:space="4" w:color="BDC3C7"/>
      </w:pBdr>
      <w:jc w:val="center"/>
    </w:pPr>
    <w:r>
      <w:rPr>
        <w:color w:val="7F8C8D"/>
        <w:sz w:val="16"/>
        <w:szCs w:val="16"/>
      </w:rPr>
      <w:t>Padberg Beratung – Vertraulich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9AFCF" w14:textId="77777777" w:rsidR="00D71309" w:rsidRDefault="00D71309">
      <w:r>
        <w:separator/>
      </w:r>
    </w:p>
  </w:footnote>
  <w:footnote w:type="continuationSeparator" w:id="0">
    <w:p w14:paraId="6ECE9514" w14:textId="77777777" w:rsidR="00D71309" w:rsidRDefault="00D713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C3997" w14:textId="2050A86E" w:rsidR="003378B6" w:rsidRDefault="002B6EDD">
    <w:pPr>
      <w:pBdr>
        <w:bottom w:val="single" w:sz="4" w:space="4" w:color="1B4F72"/>
      </w:pBdr>
    </w:pPr>
    <w:r>
      <w:rPr>
        <w:i/>
        <w:iCs/>
        <w:color w:val="7F8C8D"/>
        <w:sz w:val="18"/>
        <w:szCs w:val="18"/>
      </w:rPr>
      <w:t>SKIPILY Marktanalyse – Yachten 8–21 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7E3"/>
    <w:multiLevelType w:val="hybridMultilevel"/>
    <w:tmpl w:val="E42E68E4"/>
    <w:lvl w:ilvl="0" w:tplc="90B87DA8">
      <w:start w:val="1"/>
      <w:numFmt w:val="bullet"/>
      <w:lvlText w:val="●"/>
      <w:lvlJc w:val="left"/>
      <w:pPr>
        <w:ind w:left="720" w:hanging="360"/>
      </w:pPr>
    </w:lvl>
    <w:lvl w:ilvl="1" w:tplc="2BFCE75A">
      <w:start w:val="1"/>
      <w:numFmt w:val="bullet"/>
      <w:lvlText w:val="○"/>
      <w:lvlJc w:val="left"/>
      <w:pPr>
        <w:ind w:left="1440" w:hanging="360"/>
      </w:pPr>
    </w:lvl>
    <w:lvl w:ilvl="2" w:tplc="F2A072A8">
      <w:start w:val="1"/>
      <w:numFmt w:val="bullet"/>
      <w:lvlText w:val="■"/>
      <w:lvlJc w:val="left"/>
      <w:pPr>
        <w:ind w:left="2160" w:hanging="360"/>
      </w:pPr>
    </w:lvl>
    <w:lvl w:ilvl="3" w:tplc="1B2022A2">
      <w:start w:val="1"/>
      <w:numFmt w:val="bullet"/>
      <w:lvlText w:val="●"/>
      <w:lvlJc w:val="left"/>
      <w:pPr>
        <w:ind w:left="2880" w:hanging="360"/>
      </w:pPr>
    </w:lvl>
    <w:lvl w:ilvl="4" w:tplc="F65499A0">
      <w:start w:val="1"/>
      <w:numFmt w:val="bullet"/>
      <w:lvlText w:val="○"/>
      <w:lvlJc w:val="left"/>
      <w:pPr>
        <w:ind w:left="3600" w:hanging="360"/>
      </w:pPr>
    </w:lvl>
    <w:lvl w:ilvl="5" w:tplc="39B67A18">
      <w:start w:val="1"/>
      <w:numFmt w:val="bullet"/>
      <w:lvlText w:val="■"/>
      <w:lvlJc w:val="left"/>
      <w:pPr>
        <w:ind w:left="4320" w:hanging="360"/>
      </w:pPr>
    </w:lvl>
    <w:lvl w:ilvl="6" w:tplc="77C2CC48">
      <w:start w:val="1"/>
      <w:numFmt w:val="bullet"/>
      <w:lvlText w:val="●"/>
      <w:lvlJc w:val="left"/>
      <w:pPr>
        <w:ind w:left="5040" w:hanging="360"/>
      </w:pPr>
    </w:lvl>
    <w:lvl w:ilvl="7" w:tplc="971C8562">
      <w:start w:val="1"/>
      <w:numFmt w:val="bullet"/>
      <w:lvlText w:val="●"/>
      <w:lvlJc w:val="left"/>
      <w:pPr>
        <w:ind w:left="5760" w:hanging="360"/>
      </w:pPr>
    </w:lvl>
    <w:lvl w:ilvl="8" w:tplc="8B08457A">
      <w:start w:val="1"/>
      <w:numFmt w:val="bullet"/>
      <w:lvlText w:val="●"/>
      <w:lvlJc w:val="left"/>
      <w:pPr>
        <w:ind w:left="6480" w:hanging="360"/>
      </w:pPr>
    </w:lvl>
  </w:abstractNum>
  <w:abstractNum w:abstractNumId="1" w15:restartNumberingAfterBreak="0">
    <w:nsid w:val="62B33162"/>
    <w:multiLevelType w:val="hybridMultilevel"/>
    <w:tmpl w:val="72709338"/>
    <w:lvl w:ilvl="0" w:tplc="6F3011E2">
      <w:start w:val="1"/>
      <w:numFmt w:val="decimal"/>
      <w:lvlText w:val="[%1]"/>
      <w:lvlJc w:val="left"/>
      <w:pPr>
        <w:ind w:left="540" w:hanging="360"/>
      </w:pPr>
    </w:lvl>
    <w:lvl w:ilvl="1" w:tplc="6E9A6D3A">
      <w:numFmt w:val="decimal"/>
      <w:lvlText w:val=""/>
      <w:lvlJc w:val="left"/>
    </w:lvl>
    <w:lvl w:ilvl="2" w:tplc="AD401CB6">
      <w:numFmt w:val="decimal"/>
      <w:lvlText w:val=""/>
      <w:lvlJc w:val="left"/>
    </w:lvl>
    <w:lvl w:ilvl="3" w:tplc="CB4CAE9A">
      <w:numFmt w:val="decimal"/>
      <w:lvlText w:val=""/>
      <w:lvlJc w:val="left"/>
    </w:lvl>
    <w:lvl w:ilvl="4" w:tplc="DCFEBCCC">
      <w:numFmt w:val="decimal"/>
      <w:lvlText w:val=""/>
      <w:lvlJc w:val="left"/>
    </w:lvl>
    <w:lvl w:ilvl="5" w:tplc="7A72D746">
      <w:numFmt w:val="decimal"/>
      <w:lvlText w:val=""/>
      <w:lvlJc w:val="left"/>
    </w:lvl>
    <w:lvl w:ilvl="6" w:tplc="5016CEB2">
      <w:numFmt w:val="decimal"/>
      <w:lvlText w:val=""/>
      <w:lvlJc w:val="left"/>
    </w:lvl>
    <w:lvl w:ilvl="7" w:tplc="312CB696">
      <w:numFmt w:val="decimal"/>
      <w:lvlText w:val=""/>
      <w:lvlJc w:val="left"/>
    </w:lvl>
    <w:lvl w:ilvl="8" w:tplc="47C01DD6">
      <w:numFmt w:val="decimal"/>
      <w:lvlText w:val=""/>
      <w:lvlJc w:val="left"/>
    </w:lvl>
  </w:abstractNum>
  <w:num w:numId="1" w16cid:durableId="1755398103">
    <w:abstractNumId w:val="0"/>
    <w:lvlOverride w:ilvl="0">
      <w:startOverride w:val="1"/>
    </w:lvlOverride>
  </w:num>
  <w:num w:numId="2" w16cid:durableId="6037276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8B6"/>
    <w:rsid w:val="002B6EDD"/>
    <w:rsid w:val="003378B6"/>
    <w:rsid w:val="006743A2"/>
    <w:rsid w:val="007224AD"/>
    <w:rsid w:val="009E56A6"/>
    <w:rsid w:val="00B46141"/>
    <w:rsid w:val="00D7130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0E3F7"/>
  <w15:docId w15:val="{A0E8EE6C-E525-8C45-8E42-D66E87E8F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200"/>
      <w:outlineLvl w:val="0"/>
    </w:pPr>
    <w:rPr>
      <w:b/>
      <w:bCs/>
      <w:color w:val="1B4F72"/>
      <w:sz w:val="32"/>
      <w:szCs w:val="32"/>
    </w:rPr>
  </w:style>
  <w:style w:type="paragraph" w:styleId="berschrift2">
    <w:name w:val="heading 2"/>
    <w:uiPriority w:val="9"/>
    <w:unhideWhenUsed/>
    <w:qFormat/>
    <w:pPr>
      <w:spacing w:before="240" w:after="120"/>
      <w:outlineLvl w:val="1"/>
    </w:pPr>
    <w:rPr>
      <w:b/>
      <w:bCs/>
      <w:color w:val="2E86C1"/>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Kopfzeile">
    <w:name w:val="header"/>
    <w:basedOn w:val="Standard"/>
    <w:link w:val="KopfzeileZchn"/>
    <w:uiPriority w:val="99"/>
    <w:unhideWhenUsed/>
    <w:rsid w:val="002B6EDD"/>
    <w:pPr>
      <w:tabs>
        <w:tab w:val="center" w:pos="4536"/>
        <w:tab w:val="right" w:pos="9072"/>
      </w:tabs>
    </w:pPr>
  </w:style>
  <w:style w:type="character" w:customStyle="1" w:styleId="KopfzeileZchn">
    <w:name w:val="Kopfzeile Zchn"/>
    <w:basedOn w:val="Absatz-Standardschriftart"/>
    <w:link w:val="Kopfzeile"/>
    <w:uiPriority w:val="99"/>
    <w:rsid w:val="002B6EDD"/>
  </w:style>
  <w:style w:type="paragraph" w:styleId="Fuzeile">
    <w:name w:val="footer"/>
    <w:basedOn w:val="Standard"/>
    <w:link w:val="FuzeileZchn"/>
    <w:uiPriority w:val="99"/>
    <w:unhideWhenUsed/>
    <w:rsid w:val="002B6EDD"/>
    <w:pPr>
      <w:tabs>
        <w:tab w:val="center" w:pos="4536"/>
        <w:tab w:val="right" w:pos="9072"/>
      </w:tabs>
    </w:pPr>
  </w:style>
  <w:style w:type="character" w:customStyle="1" w:styleId="FuzeileZchn">
    <w:name w:val="Fußzeile Zchn"/>
    <w:basedOn w:val="Absatz-Standardschriftart"/>
    <w:link w:val="Fuzeile"/>
    <w:uiPriority w:val="99"/>
    <w:rsid w:val="002B6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1637</Words>
  <Characters>10317</Characters>
  <Application>Microsoft Office Word</Application>
  <DocSecurity>0</DocSecurity>
  <Lines>85</Lines>
  <Paragraphs>23</Paragraphs>
  <ScaleCrop>false</ScaleCrop>
  <Company/>
  <LinksUpToDate>false</LinksUpToDate>
  <CharactersWithSpaces>11931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Ekkehart Padberg</cp:lastModifiedBy>
  <cp:revision>3</cp:revision>
  <dcterms:created xsi:type="dcterms:W3CDTF">2026-03-29T16:47:00Z</dcterms:created>
  <dcterms:modified xsi:type="dcterms:W3CDTF">2026-04-23T07:53:00Z</dcterms:modified>
</cp:coreProperties>
</file>