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Hiragino Sans GB" w:hAnsi="Hiragino Sans GB" w:eastAsia="Hiragino Sans GB" w:cs="Hiragino Sans GB"/>
          <w:b/>
          <w:color w:val="1F4E78"/>
          <w:sz w:val="31"/>
        </w:rPr>
        <w:t>虚构远景包装技术有限公司</w:t>
        <w:br/>
        <w:t>Customer Background Investigation Report</w:t>
      </w:r>
    </w:p>
    <w:p>
      <w:pPr>
        <w:spacing w:after="60"/>
        <w:jc w:val="center"/>
      </w:pPr>
      <w:r>
        <w:rPr>
          <w:rFonts w:ascii="Calibri" w:hAnsi="Calibri" w:eastAsia="Hiragino Sans GB" w:cs="Calibri"/>
          <w:b w:val="0"/>
          <w:color w:val="5B6573"/>
          <w:sz w:val="17"/>
        </w:rPr>
        <w:t>Investigation date: 2026-07-26</w:t>
      </w:r>
    </w:p>
    <w:p>
      <w:pPr>
        <w:spacing w:after="40"/>
        <w:jc w:val="center"/>
      </w:pPr>
      <w:r>
        <w:rPr>
          <w:rFonts w:ascii="Hiragino Sans GB" w:hAnsi="Hiragino Sans GB" w:eastAsia="Hiragino Sans GB" w:cs="Hiragino Sans GB"/>
          <w:b/>
          <w:color w:val="9B1C1C"/>
          <w:sz w:val="16"/>
        </w:rPr>
        <w:t>FICTIONAL EXAMPLE — NOT A REAL COMPANY</w:t>
      </w:r>
    </w:p>
    <w:p>
      <w:pPr>
        <w:pStyle w:val="Heading1"/>
      </w:pPr>
      <w:r>
        <w:rPr>
          <w:rFonts w:ascii="Calibri" w:hAnsi="Calibri" w:eastAsia="Hiragino Sans GB" w:cs="Calibri"/>
          <w:b/>
          <w:color w:val="1F4E78"/>
          <w:sz w:val="23"/>
        </w:rPr>
        <w:t>1. Conclusion</w:t>
      </w:r>
    </w:p>
    <w:p>
      <w:pPr>
        <w:spacing w:after="60"/>
      </w:pPr>
      <w:r>
        <w:rPr>
          <w:rFonts w:ascii="Calibri" w:hAnsi="Calibri" w:eastAsia="Hiragino Sans GB" w:cs="Calibri"/>
          <w:b w:val="0"/>
          <w:sz w:val="18"/>
        </w:rPr>
        <w:t>[Confirmed] The entity is authentic and makes paper packaging, while exact equipment is only partly confirmed. Priority products are Offset ink, Printing plates for conventional offset cartons. The score is 66 and the final grade is B; active development is worthwhile but no explicit purchase signal exists. The priority action is: Send one targeted two-product parameter sheet and request the press model. The maximum uncertainty is Quantity, budget, and timing are unclear.</w:t>
      </w:r>
    </w:p>
    <w:p>
      <w:pPr>
        <w:pStyle w:val="Heading1"/>
      </w:pPr>
      <w:r>
        <w:rPr>
          <w:rFonts w:ascii="Calibri" w:hAnsi="Calibri" w:eastAsia="Hiragino Sans GB" w:cs="Calibri"/>
          <w:b/>
          <w:color w:val="1F4E78"/>
          <w:sz w:val="23"/>
        </w:rPr>
        <w:t>2. Nine-part investigation summary</w:t>
      </w:r>
    </w:p>
    <w:tbl>
      <w:tblPr>
        <w:tblW w:type="dxa" w:w="10454"/>
        <w:jc w:val="center"/>
        <w:tblLayout w:type="fixed"/>
        <w:tblLook w:firstColumn="1" w:firstRow="1" w:lastColumn="0" w:lastRow="0" w:noHBand="0" w:noVBand="1" w:val="04A0"/>
        <w:tblInd w:w="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691"/>
        <w:gridCol w:w="2880"/>
        <w:gridCol w:w="6883"/>
      </w:tblGrid>
      <w:tr>
        <w:trPr>
          <w:tblHeader w:val="true"/>
        </w:trPr>
        <w:tc>
          <w:tcPr>
            <w:tcW w:type="dxa" w:w="691"/>
            <w:vAlign w:val="center"/>
            <w:tcMar>
              <w:top w:w="70" w:type="dxa"/>
              <w:start w:w="100" w:type="dxa"/>
              <w:bottom w:w="70" w:type="dxa"/>
              <w:end w:w="100" w:type="dxa"/>
            </w:tcMar>
            <w:shd w:fill="D9EAF7"/>
          </w:tcPr>
          <w:p>
            <w:pPr>
              <w:spacing w:before="0" w:after="0" w:line="240" w:lineRule="auto"/>
              <w:jc w:val="center"/>
            </w:pPr>
            <w:r>
              <w:rPr>
                <w:rFonts w:ascii="Calibri" w:hAnsi="Calibri" w:eastAsia="Hiragino Sans GB" w:cs="Calibri"/>
                <w:b/>
                <w:color w:val="1F4E78"/>
                <w:sz w:val="16"/>
              </w:rPr>
            </w:r>
            <w:r>
              <w:rPr>
                <w:rFonts w:ascii="Calibri" w:hAnsi="Calibri" w:eastAsia="Hiragino Sans GB" w:cs="Calibri"/>
                <w:b/>
                <w:color w:val="1F4E78"/>
                <w:sz w:val="16"/>
              </w:rPr>
              <w:t>No.</w:t>
            </w:r>
          </w:p>
        </w:tc>
        <w:tc>
          <w:tcPr>
            <w:tcW w:type="dxa" w:w="2880"/>
            <w:vAlign w:val="center"/>
            <w:tcMar>
              <w:top w:w="70" w:type="dxa"/>
              <w:start w:w="100" w:type="dxa"/>
              <w:bottom w:w="70" w:type="dxa"/>
              <w:end w:w="100" w:type="dxa"/>
            </w:tcMar>
            <w:shd w:fill="D9EAF7"/>
          </w:tcPr>
          <w:p>
            <w:pPr>
              <w:spacing w:before="0" w:after="0" w:line="240" w:lineRule="auto"/>
              <w:jc w:val="center"/>
            </w:pPr>
            <w:r>
              <w:rPr>
                <w:rFonts w:ascii="Calibri" w:hAnsi="Calibri" w:eastAsia="Hiragino Sans GB" w:cs="Calibri"/>
                <w:b/>
                <w:color w:val="1F4E78"/>
                <w:sz w:val="16"/>
              </w:rPr>
            </w:r>
            <w:r>
              <w:rPr>
                <w:rFonts w:ascii="Calibri" w:hAnsi="Calibri" w:eastAsia="Hiragino Sans GB" w:cs="Calibri"/>
                <w:b/>
                <w:color w:val="1F4E78"/>
                <w:sz w:val="16"/>
              </w:rPr>
              <w:t>Investigation item</w:t>
            </w:r>
          </w:p>
        </w:tc>
        <w:tc>
          <w:tcPr>
            <w:tcW w:type="dxa" w:w="6883"/>
            <w:vAlign w:val="center"/>
            <w:tcMar>
              <w:top w:w="70" w:type="dxa"/>
              <w:start w:w="100" w:type="dxa"/>
              <w:bottom w:w="70" w:type="dxa"/>
              <w:end w:w="100" w:type="dxa"/>
            </w:tcMar>
            <w:shd w:fill="D9EAF7"/>
          </w:tcPr>
          <w:p>
            <w:pPr>
              <w:spacing w:before="0" w:after="0" w:line="240" w:lineRule="auto"/>
              <w:jc w:val="center"/>
            </w:pPr>
            <w:r>
              <w:rPr>
                <w:rFonts w:ascii="Calibri" w:hAnsi="Calibri" w:eastAsia="Hiragino Sans GB" w:cs="Calibri"/>
                <w:b/>
                <w:color w:val="1F4E78"/>
                <w:sz w:val="16"/>
              </w:rPr>
            </w:r>
            <w:r>
              <w:rPr>
                <w:rFonts w:ascii="Calibri" w:hAnsi="Calibri" w:eastAsia="Hiragino Sans GB" w:cs="Calibri"/>
                <w:b/>
                <w:color w:val="1F4E78"/>
                <w:sz w:val="16"/>
              </w:rPr>
              <w:t>Core finding</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1</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Company entity and contact authenticity</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[Confirmed] The fictional registry and website entity agree; the contact role is partly confirmed.</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2</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Main business, customer type, and competition</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[Confirmed] A Chinese paper-packaging producer with offset-consumable applications.</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3</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Equipment, printing process, and applications</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[Partially confirmed] Offset use is supported; no public equipment model was found.</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4</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Suppliers, brands, and import records</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[Not found] No reliable public supplier, brand, or import record was found.</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5</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Sales channels and market scope</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[Confirmed] The fictional website presents domestic B2B direct sales.</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6</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Scale, capacity, and operating status</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[Not found] No reliable revenue, employee, or capacity information was found.</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7</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Product fit and recommendations</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[Partially confirmed] Offset ink and printing plates are conditionally matched.</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8</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Purchase signals, frequency, and timing</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[Partially confirmed] Only a general catalog was requested; replies continue but no explicit inquiry exists.</w:t>
            </w:r>
          </w:p>
        </w:tc>
      </w:tr>
      <w:tr>
        <w:tc>
          <w:tcPr>
            <w:tcW w:type="dxa" w:w="691"/>
            <w:vAlign w:val="center"/>
            <w:tcMar>
              <w:top w:w="70" w:type="dxa"/>
              <w:start w:w="100" w:type="dxa"/>
              <w:bottom w:w="70" w:type="dxa"/>
              <w:end w:w="100" w:type="dxa"/>
            </w:tcMar>
          </w:tcPr>
          <w:p>
            <w:pPr>
              <w:spacing w:before="0" w:after="0" w:line="240" w:lineRule="auto"/>
              <w:jc w:val="center"/>
            </w:pPr>
            <w:r/>
            <w:r>
              <w:rPr>
                <w:rFonts w:ascii="Calibri" w:hAnsi="Calibri" w:eastAsia="Hiragino Sans GB" w:cs="Calibri"/>
                <w:b w:val="0"/>
                <w:sz w:val="16"/>
              </w:rPr>
              <w:t>9</w:t>
            </w:r>
          </w:p>
        </w:tc>
        <w:tc>
          <w:tcPr>
            <w:tcW w:type="dxa" w:w="2880"/>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Pain points, risks, and entry approach</w:t>
            </w:r>
          </w:p>
        </w:tc>
        <w:tc>
          <w:tcPr>
            <w:tcW w:type="dxa" w:w="6883"/>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[Partially confirmed] Confirm equipment, specification, and purchase timing first.</w:t>
            </w:r>
          </w:p>
        </w:tc>
      </w:tr>
    </w:tbl>
    <w:p>
      <w:pPr>
        <w:pStyle w:val="Heading1"/>
      </w:pPr>
      <w:r>
        <w:rPr>
          <w:rFonts w:ascii="Calibri" w:hAnsi="Calibri" w:eastAsia="Hiragino Sans GB" w:cs="Calibri"/>
          <w:b/>
          <w:color w:val="1F4E78"/>
          <w:sz w:val="23"/>
        </w:rPr>
        <w:t>3. Sales action card</w:t>
      </w:r>
    </w:p>
    <w:tbl>
      <w:tblPr>
        <w:tblW w:type="dxa" w:w="10454"/>
        <w:jc w:val="center"/>
        <w:tblLayout w:type="fixed"/>
        <w:tblLook w:firstColumn="1" w:firstRow="1" w:lastColumn="0" w:lastRow="0" w:noHBand="0" w:noVBand="1" w:val="04A0"/>
        <w:tblInd w:w="0"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232"/>
        <w:gridCol w:w="8222"/>
      </w:tblGrid>
      <w:tr>
        <w:tc>
          <w:tcPr>
            <w:tcW w:type="dxa" w:w="2232"/>
            <w:vAlign w:val="center"/>
            <w:shd w:fill="D9EAF7"/>
            <w:tcMar>
              <w:top w:w="70" w:type="dxa"/>
              <w:start w:w="100" w:type="dxa"/>
              <w:bottom w:w="70" w:type="dxa"/>
              <w:end w:w="100" w:type="dxa"/>
            </w:tcMar>
          </w:tcPr>
          <w:p>
            <w:pPr>
              <w:spacing w:before="0" w:after="0" w:line="240" w:lineRule="auto"/>
              <w:jc w:val="left"/>
            </w:pPr>
            <w:r/>
            <w:r>
              <w:rPr>
                <w:rFonts w:ascii="Calibri" w:hAnsi="Calibri" w:eastAsia="Hiragino Sans GB" w:cs="Calibri"/>
                <w:b/>
                <w:color w:val="1F4E78"/>
                <w:sz w:val="16"/>
              </w:rPr>
              <w:t>Final grade</w:t>
            </w:r>
          </w:p>
        </w:tc>
        <w:tc>
          <w:tcPr>
            <w:tcW w:type="dxa" w:w="8222"/>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B / 66</w:t>
            </w:r>
          </w:p>
        </w:tc>
      </w:tr>
      <w:tr>
        <w:tc>
          <w:tcPr>
            <w:tcW w:type="dxa" w:w="2232"/>
            <w:vAlign w:val="center"/>
            <w:shd w:fill="D9EAF7"/>
            <w:tcMar>
              <w:top w:w="70" w:type="dxa"/>
              <w:start w:w="100" w:type="dxa"/>
              <w:bottom w:w="70" w:type="dxa"/>
              <w:end w:w="100" w:type="dxa"/>
            </w:tcMar>
          </w:tcPr>
          <w:p>
            <w:pPr>
              <w:spacing w:before="0" w:after="0" w:line="240" w:lineRule="auto"/>
              <w:jc w:val="left"/>
            </w:pPr>
            <w:r/>
            <w:r>
              <w:rPr>
                <w:rFonts w:ascii="Calibri" w:hAnsi="Calibri" w:eastAsia="Hiragino Sans GB" w:cs="Calibri"/>
                <w:b/>
                <w:color w:val="1F4E78"/>
                <w:sz w:val="16"/>
              </w:rPr>
              <w:t>Priority products</w:t>
            </w:r>
          </w:p>
        </w:tc>
        <w:tc>
          <w:tcPr>
            <w:tcW w:type="dxa" w:w="8222"/>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Offset ink; Printing plates</w:t>
            </w:r>
          </w:p>
        </w:tc>
      </w:tr>
      <w:tr>
        <w:tc>
          <w:tcPr>
            <w:tcW w:type="dxa" w:w="2232"/>
            <w:vAlign w:val="center"/>
            <w:shd w:fill="D9EAF7"/>
            <w:tcMar>
              <w:top w:w="70" w:type="dxa"/>
              <w:start w:w="100" w:type="dxa"/>
              <w:bottom w:w="70" w:type="dxa"/>
              <w:end w:w="100" w:type="dxa"/>
            </w:tcMar>
          </w:tcPr>
          <w:p>
            <w:pPr>
              <w:spacing w:before="0" w:after="0" w:line="240" w:lineRule="auto"/>
              <w:jc w:val="left"/>
            </w:pPr>
            <w:r/>
            <w:r>
              <w:rPr>
                <w:rFonts w:ascii="Calibri" w:hAnsi="Calibri" w:eastAsia="Hiragino Sans GB" w:cs="Calibri"/>
                <w:b/>
                <w:color w:val="1F4E78"/>
                <w:sz w:val="16"/>
              </w:rPr>
              <w:t>First-contact focus</w:t>
            </w:r>
          </w:p>
        </w:tc>
        <w:tc>
          <w:tcPr>
            <w:tcW w:type="dxa" w:w="8222"/>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Confirm equipment model, substrate, current specification, and purchase timing.</w:t>
            </w:r>
          </w:p>
        </w:tc>
      </w:tr>
      <w:tr>
        <w:tc>
          <w:tcPr>
            <w:tcW w:type="dxa" w:w="2232"/>
            <w:vAlign w:val="center"/>
            <w:shd w:fill="D9EAF7"/>
            <w:tcMar>
              <w:top w:w="70" w:type="dxa"/>
              <w:start w:w="100" w:type="dxa"/>
              <w:bottom w:w="70" w:type="dxa"/>
              <w:end w:w="100" w:type="dxa"/>
            </w:tcMar>
          </w:tcPr>
          <w:p>
            <w:pPr>
              <w:spacing w:before="0" w:after="0" w:line="240" w:lineRule="auto"/>
              <w:jc w:val="left"/>
            </w:pPr>
            <w:r/>
            <w:r>
              <w:rPr>
                <w:rFonts w:ascii="Calibri" w:hAnsi="Calibri" w:eastAsia="Hiragino Sans GB" w:cs="Calibri"/>
                <w:b/>
                <w:color w:val="1F4E78"/>
                <w:sz w:val="16"/>
              </w:rPr>
              <w:t>Current evidence gaps</w:t>
            </w:r>
          </w:p>
        </w:tc>
        <w:tc>
          <w:tcPr>
            <w:tcW w:type="dxa" w:w="8222"/>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Equipment model; Current brand; Quantity and purchase timing</w:t>
            </w:r>
          </w:p>
        </w:tc>
      </w:tr>
      <w:tr>
        <w:tc>
          <w:tcPr>
            <w:tcW w:type="dxa" w:w="2232"/>
            <w:vAlign w:val="center"/>
            <w:shd w:fill="D9EAF7"/>
            <w:tcMar>
              <w:top w:w="70" w:type="dxa"/>
              <w:start w:w="100" w:type="dxa"/>
              <w:bottom w:w="70" w:type="dxa"/>
              <w:end w:w="100" w:type="dxa"/>
            </w:tcMar>
          </w:tcPr>
          <w:p>
            <w:pPr>
              <w:spacing w:before="0" w:after="0" w:line="240" w:lineRule="auto"/>
              <w:jc w:val="left"/>
            </w:pPr>
            <w:r/>
            <w:r>
              <w:rPr>
                <w:rFonts w:ascii="Calibri" w:hAnsi="Calibri" w:eastAsia="Hiragino Sans GB" w:cs="Calibri"/>
                <w:b/>
                <w:color w:val="1F4E78"/>
                <w:sz w:val="16"/>
              </w:rPr>
              <w:t>Priority action</w:t>
            </w:r>
          </w:p>
        </w:tc>
        <w:tc>
          <w:tcPr>
            <w:tcW w:type="dxa" w:w="8222"/>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Send one targeted two-product parameter sheet and request the press model.</w:t>
            </w:r>
          </w:p>
        </w:tc>
      </w:tr>
      <w:tr>
        <w:tc>
          <w:tcPr>
            <w:tcW w:type="dxa" w:w="2232"/>
            <w:vAlign w:val="center"/>
            <w:shd w:fill="D9EAF7"/>
            <w:tcMar>
              <w:top w:w="70" w:type="dxa"/>
              <w:start w:w="100" w:type="dxa"/>
              <w:bottom w:w="70" w:type="dxa"/>
              <w:end w:w="100" w:type="dxa"/>
            </w:tcMar>
          </w:tcPr>
          <w:p>
            <w:pPr>
              <w:spacing w:before="0" w:after="0" w:line="240" w:lineRule="auto"/>
              <w:jc w:val="left"/>
            </w:pPr>
            <w:r/>
            <w:r>
              <w:rPr>
                <w:rFonts w:ascii="Calibri" w:hAnsi="Calibri" w:eastAsia="Hiragino Sans GB" w:cs="Calibri"/>
                <w:b/>
                <w:color w:val="1F4E78"/>
                <w:sz w:val="16"/>
              </w:rPr>
              <w:t>Action not recommended</w:t>
            </w:r>
          </w:p>
        </w:tc>
        <w:tc>
          <w:tcPr>
            <w:tcW w:type="dxa" w:w="8222"/>
            <w:vAlign w:val="center"/>
            <w:tcMar>
              <w:top w:w="70" w:type="dxa"/>
              <w:start w:w="100" w:type="dxa"/>
              <w:bottom w:w="70" w:type="dxa"/>
              <w:end w:w="100" w:type="dxa"/>
            </w:tcMar>
          </w:tcPr>
          <w:p>
            <w:pPr>
              <w:spacing w:before="0" w:after="0" w:line="240" w:lineRule="auto"/>
              <w:jc w:val="left"/>
            </w:pPr>
            <w:r/>
            <w:r>
              <w:rPr>
                <w:rFonts w:ascii="Calibri" w:hAnsi="Calibri" w:eastAsia="Hiragino Sans GB" w:cs="Calibri"/>
                <w:b w:val="0"/>
                <w:sz w:val="16"/>
              </w:rPr>
              <w:t>Do not send a large sample batch before entity and parameter verification.</w:t>
            </w:r>
          </w:p>
        </w:tc>
      </w:tr>
    </w:tbl>
    <w:p>
      <w:pPr>
        <w:pStyle w:val="Heading1"/>
      </w:pPr>
      <w:r>
        <w:rPr>
          <w:rFonts w:ascii="Calibri" w:hAnsi="Calibri" w:eastAsia="Hiragino Sans GB" w:cs="Calibri"/>
          <w:b/>
          <w:color w:val="1F4E78"/>
          <w:sz w:val="23"/>
        </w:rPr>
        <w:t>4. Core sources</w:t>
      </w:r>
    </w:p>
    <w:p>
      <w:pPr>
        <w:spacing w:after="10"/>
      </w:pPr>
      <w:r>
        <w:rPr>
          <w:rFonts w:ascii="Calibri" w:hAnsi="Calibri" w:eastAsia="Hiragino Sans GB" w:cs="Calibri"/>
          <w:b w:val="0"/>
          <w:color w:val="5B6573"/>
          <w:sz w:val="15"/>
        </w:rPr>
        <w:t>https://registry.example/fictional-b</w:t>
      </w:r>
    </w:p>
    <w:p>
      <w:pPr>
        <w:spacing w:after="10"/>
      </w:pPr>
      <w:r>
        <w:rPr>
          <w:rFonts w:ascii="Calibri" w:hAnsi="Calibri" w:eastAsia="Hiragino Sans GB" w:cs="Calibri"/>
          <w:b w:val="0"/>
          <w:color w:val="5B6573"/>
          <w:sz w:val="15"/>
        </w:rPr>
        <w:t>https://company.example/fictional-b/business</w:t>
      </w:r>
    </w:p>
    <w:p>
      <w:pPr>
        <w:spacing w:after="10"/>
      </w:pPr>
      <w:r>
        <w:rPr>
          <w:rFonts w:ascii="Calibri" w:hAnsi="Calibri" w:eastAsia="Hiragino Sans GB" w:cs="Calibri"/>
          <w:b w:val="0"/>
          <w:color w:val="5B6573"/>
          <w:sz w:val="15"/>
        </w:rPr>
        <w:t>https://maps.example/fictional-b</w:t>
      </w:r>
    </w:p>
    <w:p>
      <w:pPr>
        <w:spacing w:after="10"/>
      </w:pPr>
      <w:r>
        <w:rPr>
          <w:rFonts w:ascii="Calibri" w:hAnsi="Calibri" w:eastAsia="Hiragino Sans GB" w:cs="Calibri"/>
          <w:b w:val="0"/>
          <w:color w:val="5B6573"/>
          <w:sz w:val="15"/>
        </w:rPr>
        <w:t>https://exhibition.example/fictional-b</w:t>
      </w:r>
    </w:p>
    <w:sectPr w:rsidR="00FC693F" w:rsidRPr="0006063C" w:rsidSect="00034616">
      <w:pgSz w:w="12240" w:h="15840"/>
      <w:pgMar w:top="893" w:right="893" w:bottom="893" w:left="89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pPr>
    <w:rPr>
      <w:rFonts w:ascii="Calibri" w:hAnsi="Calibri" w:eastAsia="Hiragino Sans G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Calibri" w:hAnsi="Calibri" w:eastAsia="Hiragino Sans GB"/>
      <w:b/>
      <w:bCs/>
      <w:color w:val="1F4E78"/>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