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09C43">
      <w:pPr>
        <w:pStyle w:val="26"/>
        <w:jc w:val="center"/>
        <w:rPr>
          <w:rFonts w:hint="eastAsia" w:hAnsi="黑体" w:cs="黑体"/>
          <w:b w:val="0"/>
          <w:color w:val="000000"/>
          <w:sz w:val="36"/>
          <w:szCs w:val="36"/>
        </w:rPr>
      </w:pPr>
      <w:r>
        <w:rPr>
          <w:rFonts w:hint="eastAsia" w:hAnsi="黑体" w:cs="黑体"/>
          <w:b w:val="0"/>
          <w:color w:val="000000"/>
          <w:sz w:val="36"/>
          <w:szCs w:val="36"/>
        </w:rPr>
        <w:t>第十一届全国大学生生物医学工程创新设计竞赛</w:t>
      </w:r>
    </w:p>
    <w:p w14:paraId="6E77999E">
      <w:pPr>
        <w:pStyle w:val="26"/>
        <w:jc w:val="center"/>
        <w:rPr>
          <w:rFonts w:hint="eastAsia" w:hAnsi="黑体" w:cs="黑体"/>
          <w:b w:val="0"/>
          <w:color w:val="000000"/>
          <w:sz w:val="36"/>
          <w:szCs w:val="36"/>
        </w:rPr>
      </w:pPr>
      <w:r>
        <w:rPr>
          <w:rFonts w:hint="eastAsia" w:hAnsi="黑体" w:cs="黑体"/>
          <w:b w:val="0"/>
          <w:color w:val="000000"/>
          <w:sz w:val="36"/>
          <w:szCs w:val="36"/>
        </w:rPr>
        <w:t>预赛作品报告模板</w:t>
      </w:r>
    </w:p>
    <w:p w14:paraId="7D4D3629">
      <w:pPr>
        <w:jc w:val="center"/>
        <w:rPr>
          <w:rFonts w:eastAsia="黑体"/>
          <w:sz w:val="36"/>
        </w:rPr>
      </w:pPr>
    </w:p>
    <w:p w14:paraId="1623B52A">
      <w:pPr>
        <w:jc w:val="center"/>
        <w:rPr>
          <w:rFonts w:eastAsia="黑体"/>
          <w:sz w:val="44"/>
          <w:szCs w:val="44"/>
        </w:rPr>
      </w:pPr>
    </w:p>
    <w:p w14:paraId="72E9BFE1">
      <w:pPr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color w:val="000000"/>
          <w:kern w:val="0"/>
          <w:sz w:val="44"/>
          <w:szCs w:val="44"/>
          <w:lang w:bidi="ar"/>
        </w:rPr>
        <w:t>基于</w:t>
      </w:r>
      <w:r>
        <w:rPr>
          <w:rFonts w:hint="eastAsia" w:ascii="黑体" w:hAnsi="黑体" w:eastAsia="黑体" w:cs="黑体"/>
          <w:color w:val="000000"/>
          <w:kern w:val="0"/>
          <w:sz w:val="44"/>
          <w:szCs w:val="44"/>
          <w:lang w:val="en-US" w:eastAsia="zh-CN" w:bidi="ar"/>
        </w:rPr>
        <w:t>脑机接口</w:t>
      </w:r>
      <w:r>
        <w:rPr>
          <w:rFonts w:hint="eastAsia" w:ascii="黑体" w:hAnsi="黑体" w:eastAsia="黑体" w:cs="黑体"/>
          <w:color w:val="000000"/>
          <w:kern w:val="0"/>
          <w:sz w:val="44"/>
          <w:szCs w:val="44"/>
          <w:lang w:bidi="ar"/>
        </w:rPr>
        <w:t>系统</w:t>
      </w:r>
      <w:r>
        <w:rPr>
          <w:rFonts w:hint="eastAsia" w:ascii="黑体" w:hAnsi="黑体" w:eastAsia="黑体" w:cs="黑体"/>
          <w:color w:val="000000"/>
          <w:kern w:val="0"/>
          <w:sz w:val="44"/>
          <w:szCs w:val="44"/>
          <w:lang w:val="en-US" w:eastAsia="zh-CN" w:bidi="ar"/>
        </w:rPr>
        <w:t>的“</w:t>
      </w:r>
      <w:r>
        <w:rPr>
          <w:rFonts w:hint="eastAsia" w:ascii="黑体" w:hAnsi="黑体" w:eastAsia="黑体" w:cs="黑体"/>
          <w:color w:val="000000"/>
          <w:kern w:val="0"/>
          <w:sz w:val="44"/>
          <w:szCs w:val="44"/>
          <w:lang w:bidi="ar"/>
        </w:rPr>
        <w:t>疯狂奶茶杯”多模态专注力训练游戏设计及应用</w:t>
      </w:r>
    </w:p>
    <w:p w14:paraId="0C7320B7">
      <w:pPr>
        <w:jc w:val="center"/>
      </w:pPr>
    </w:p>
    <w:p w14:paraId="37BAB744">
      <w:pPr>
        <w:jc w:val="center"/>
      </w:pPr>
    </w:p>
    <w:p w14:paraId="11157AAE">
      <w:pPr>
        <w:jc w:val="center"/>
      </w:pPr>
    </w:p>
    <w:p w14:paraId="001029ED">
      <w:pPr>
        <w:jc w:val="center"/>
      </w:pPr>
    </w:p>
    <w:p w14:paraId="07250BDE">
      <w:pPr>
        <w:jc w:val="center"/>
      </w:pPr>
    </w:p>
    <w:p w14:paraId="334501EB">
      <w:pPr>
        <w:jc w:val="center"/>
      </w:pPr>
    </w:p>
    <w:p w14:paraId="79675354">
      <w:pPr>
        <w:jc w:val="center"/>
      </w:pPr>
      <w:r>
        <w:rPr>
          <w:rFonts w:hint="eastAsia"/>
        </w:rPr>
        <w:drawing>
          <wp:inline distT="0" distB="0" distL="114300" distR="114300">
            <wp:extent cx="1208405" cy="1208405"/>
            <wp:effectExtent l="0" t="0" r="10795" b="10795"/>
            <wp:docPr id="1" name="图片 1" descr="3d2d539ee2d13ce94278bf441bf3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2d539ee2d13ce94278bf441bf33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840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</w:p>
    <w:p w14:paraId="0BF4A5AB">
      <w:pPr>
        <w:ind w:right="17"/>
        <w:rPr>
          <w:rFonts w:eastAsia="黑体"/>
          <w:sz w:val="32"/>
        </w:rPr>
      </w:pPr>
    </w:p>
    <w:p w14:paraId="4384572E">
      <w:pPr>
        <w:ind w:right="17" w:firstLine="2160"/>
        <w:rPr>
          <w:rFonts w:eastAsia="黑体"/>
          <w:sz w:val="32"/>
        </w:rPr>
      </w:pPr>
    </w:p>
    <w:p w14:paraId="4711532E">
      <w:pPr>
        <w:wordWrap w:val="0"/>
        <w:ind w:left="1680" w:firstLine="420"/>
        <w:rPr>
          <w:rFonts w:hint="default" w:eastAsia="黑体"/>
          <w:bCs/>
          <w:sz w:val="32"/>
          <w:szCs w:val="32"/>
          <w:lang w:val="en-US" w:eastAsia="zh-CN"/>
        </w:rPr>
      </w:pPr>
      <w:r>
        <w:rPr>
          <w:rFonts w:eastAsia="黑体"/>
          <w:bCs/>
          <w:sz w:val="32"/>
          <w:szCs w:val="32"/>
        </w:rPr>
        <w:t xml:space="preserve">作品ID号: </w:t>
      </w:r>
      <w:r>
        <w:rPr>
          <w:rFonts w:hint="eastAsia" w:eastAsia="黑体"/>
          <w:bCs/>
          <w:sz w:val="32"/>
          <w:szCs w:val="32"/>
          <w:lang w:val="en-US" w:eastAsia="zh-CN"/>
        </w:rPr>
        <w:t>5004</w:t>
      </w:r>
    </w:p>
    <w:p w14:paraId="7EB0F2E2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hint="eastAsia" w:eastAsia="黑体"/>
          <w:bCs/>
          <w:sz w:val="32"/>
          <w:szCs w:val="32"/>
        </w:rPr>
        <w:t>参赛学生类型</w:t>
      </w:r>
      <w:r>
        <w:rPr>
          <w:rFonts w:eastAsia="黑体"/>
          <w:bCs/>
          <w:sz w:val="32"/>
          <w:szCs w:val="32"/>
        </w:rPr>
        <w:t>：</w:t>
      </w:r>
      <w:r>
        <w:rPr>
          <w:rFonts w:hint="eastAsia" w:eastAsia="黑体"/>
          <w:bCs/>
          <w:sz w:val="32"/>
          <w:szCs w:val="32"/>
        </w:rPr>
        <w:t>（</w:t>
      </w:r>
      <w:r>
        <w:rPr>
          <w:rFonts w:eastAsia="黑体"/>
          <w:bCs/>
          <w:sz w:val="32"/>
          <w:szCs w:val="32"/>
        </w:rPr>
        <w:t>本科</w:t>
      </w:r>
      <w:r>
        <w:rPr>
          <w:rFonts w:hint="eastAsia" w:eastAsia="黑体"/>
          <w:bCs/>
          <w:sz w:val="32"/>
          <w:szCs w:val="32"/>
        </w:rPr>
        <w:t>生）</w:t>
      </w:r>
    </w:p>
    <w:p w14:paraId="6562CCDF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hint="eastAsia" w:eastAsia="黑体"/>
          <w:bCs/>
          <w:sz w:val="32"/>
          <w:szCs w:val="32"/>
        </w:rPr>
        <w:t>参加赛道</w:t>
      </w:r>
      <w:r>
        <w:rPr>
          <w:rFonts w:eastAsia="黑体"/>
          <w:bCs/>
          <w:sz w:val="32"/>
          <w:szCs w:val="32"/>
        </w:rPr>
        <w:t>：（</w:t>
      </w:r>
      <w:r>
        <w:rPr>
          <w:rFonts w:hint="eastAsia" w:eastAsia="黑体"/>
          <w:bCs/>
          <w:sz w:val="32"/>
          <w:szCs w:val="32"/>
          <w:lang w:val="en-US" w:eastAsia="zh-CN"/>
        </w:rPr>
        <w:t>脑机接口赛道</w:t>
      </w:r>
      <w:r>
        <w:rPr>
          <w:rFonts w:eastAsia="黑体"/>
          <w:bCs/>
          <w:sz w:val="32"/>
          <w:szCs w:val="32"/>
        </w:rPr>
        <w:t>）</w:t>
      </w:r>
    </w:p>
    <w:p w14:paraId="1A5A821F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eastAsia="黑体"/>
          <w:bCs/>
          <w:sz w:val="32"/>
          <w:szCs w:val="32"/>
        </w:rPr>
        <w:t>组别：命题项目组</w:t>
      </w:r>
    </w:p>
    <w:p w14:paraId="1D3EA373">
      <w:pPr>
        <w:wordWrap w:val="0"/>
        <w:ind w:left="1680" w:firstLine="420"/>
        <w:rPr>
          <w:rFonts w:eastAsia="黑体"/>
          <w:bCs/>
          <w:sz w:val="32"/>
          <w:szCs w:val="32"/>
        </w:rPr>
      </w:pPr>
    </w:p>
    <w:p w14:paraId="0711317F">
      <w:pPr>
        <w:spacing w:before="240"/>
        <w:jc w:val="center"/>
        <w:rPr>
          <w:sz w:val="32"/>
          <w:szCs w:val="32"/>
        </w:rPr>
      </w:pPr>
      <w:r>
        <w:rPr>
          <w:rFonts w:eastAsia="黑体"/>
          <w:sz w:val="32"/>
          <w:szCs w:val="32"/>
        </w:rPr>
        <w:t>20</w:t>
      </w:r>
      <w:r>
        <w:rPr>
          <w:rFonts w:hint="eastAsia" w:eastAsia="黑体"/>
          <w:sz w:val="32"/>
          <w:szCs w:val="32"/>
          <w:lang w:val="en-US" w:eastAsia="zh-CN"/>
        </w:rPr>
        <w:t>26</w:t>
      </w:r>
      <w:r>
        <w:rPr>
          <w:rFonts w:eastAsia="黑体"/>
          <w:sz w:val="32"/>
          <w:szCs w:val="32"/>
        </w:rPr>
        <w:t>年</w:t>
      </w:r>
      <w:r>
        <w:rPr>
          <w:rFonts w:hint="eastAsia" w:eastAsia="黑体"/>
          <w:sz w:val="32"/>
          <w:szCs w:val="32"/>
          <w:lang w:val="en-US" w:eastAsia="zh-CN"/>
        </w:rPr>
        <w:t>6</w:t>
      </w:r>
      <w:r>
        <w:rPr>
          <w:rFonts w:eastAsia="黑体"/>
          <w:sz w:val="32"/>
          <w:szCs w:val="32"/>
        </w:rPr>
        <w:t>月</w:t>
      </w:r>
    </w:p>
    <w:p w14:paraId="39A489E3">
      <w:pPr>
        <w:wordWrap w:val="0"/>
        <w:spacing w:line="300" w:lineRule="auto"/>
      </w:pPr>
    </w:p>
    <w:p w14:paraId="784A9E81">
      <w:pPr>
        <w:wordWrap w:val="0"/>
        <w:spacing w:line="300" w:lineRule="auto"/>
        <w:jc w:val="center"/>
        <w:rPr>
          <w:szCs w:val="21"/>
        </w:rPr>
      </w:pPr>
      <w:r>
        <w:rPr>
          <w:rFonts w:hint="eastAsia"/>
          <w:b/>
          <w:bCs/>
          <w:color w:val="C00000"/>
          <w:szCs w:val="21"/>
        </w:rPr>
        <w:t>请勿在作品中出现参赛者及指导教师相关学校及个人信息，否则不予评审</w:t>
      </w:r>
    </w:p>
    <w:p w14:paraId="61AFC148">
      <w:pPr>
        <w:jc w:val="center"/>
        <w:rPr>
          <w:rFonts w:hint="eastAsia" w:ascii="黑体" w:hAnsi="黑体" w:eastAsia="黑体"/>
          <w:sz w:val="32"/>
          <w:szCs w:val="32"/>
        </w:rPr>
      </w:pPr>
    </w:p>
    <w:p w14:paraId="2E96E244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内容完整性自查表</w:t>
      </w:r>
    </w:p>
    <w:p w14:paraId="6D730EE3">
      <w:pPr>
        <w:rPr>
          <w:rFonts w:hint="eastAsia" w:ascii="宋体" w:hAnsi="宋体"/>
          <w:sz w:val="24"/>
        </w:rPr>
      </w:pPr>
    </w:p>
    <w:p w14:paraId="720EFF8A">
      <w:pPr>
        <w:ind w:firstLine="482" w:firstLineChars="20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说明：</w:t>
      </w:r>
    </w:p>
    <w:p w14:paraId="446E52AF">
      <w:pPr>
        <w:numPr>
          <w:ilvl w:val="0"/>
          <w:numId w:val="1"/>
        </w:numPr>
        <w:ind w:firstLine="482" w:firstLineChars="20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命题组参赛作品请根据命题文件规定或要求的指标填写；</w:t>
      </w:r>
    </w:p>
    <w:p w14:paraId="5766DFA9">
      <w:pPr>
        <w:numPr>
          <w:ilvl w:val="0"/>
          <w:numId w:val="1"/>
        </w:numPr>
        <w:ind w:firstLine="482" w:firstLineChars="20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自选组参赛作品请根据实际参赛作品完成情况填写。</w:t>
      </w:r>
    </w:p>
    <w:p w14:paraId="209F394D">
      <w:pPr>
        <w:rPr>
          <w:rFonts w:hint="eastAsia" w:ascii="宋体" w:hAnsi="宋体"/>
          <w:sz w:val="24"/>
        </w:rPr>
      </w:pPr>
    </w:p>
    <w:tbl>
      <w:tblPr>
        <w:tblStyle w:val="17"/>
        <w:tblW w:w="83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2507"/>
        <w:gridCol w:w="2627"/>
        <w:gridCol w:w="1818"/>
      </w:tblGrid>
      <w:tr w14:paraId="3256D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2" w:hRule="atLeast"/>
        </w:trPr>
        <w:tc>
          <w:tcPr>
            <w:tcW w:w="1382" w:type="dxa"/>
            <w:tcMar>
              <w:left w:w="108" w:type="dxa"/>
              <w:right w:w="108" w:type="dxa"/>
            </w:tcMar>
            <w:vAlign w:val="center"/>
          </w:tcPr>
          <w:p w14:paraId="6E03B671">
            <w:pPr>
              <w:jc w:val="center"/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完整性  类别</w:t>
            </w:r>
          </w:p>
        </w:tc>
        <w:tc>
          <w:tcPr>
            <w:tcW w:w="2507" w:type="dxa"/>
            <w:tcMar>
              <w:left w:w="108" w:type="dxa"/>
              <w:right w:w="108" w:type="dxa"/>
            </w:tcMar>
            <w:vAlign w:val="center"/>
          </w:tcPr>
          <w:p w14:paraId="6A9E7F72">
            <w:pPr>
              <w:jc w:val="center"/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任务或技术指标名称</w:t>
            </w:r>
          </w:p>
        </w:tc>
        <w:tc>
          <w:tcPr>
            <w:tcW w:w="2627" w:type="dxa"/>
            <w:tcMar>
              <w:left w:w="108" w:type="dxa"/>
              <w:right w:w="108" w:type="dxa"/>
            </w:tcMar>
            <w:vAlign w:val="center"/>
          </w:tcPr>
          <w:p w14:paraId="2C616086">
            <w:pPr>
              <w:jc w:val="center"/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完成效果</w:t>
            </w:r>
          </w:p>
        </w:tc>
        <w:tc>
          <w:tcPr>
            <w:tcW w:w="1818" w:type="dxa"/>
            <w:tcMar>
              <w:left w:w="108" w:type="dxa"/>
              <w:right w:w="108" w:type="dxa"/>
            </w:tcMar>
            <w:vAlign w:val="center"/>
          </w:tcPr>
          <w:p w14:paraId="63FB34C7">
            <w:pPr>
              <w:jc w:val="center"/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呈现方式（章节/实物/视频）</w:t>
            </w:r>
          </w:p>
        </w:tc>
      </w:tr>
      <w:tr w14:paraId="2F1F1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382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6108F0EF">
            <w:pPr>
              <w:jc w:val="center"/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参赛作品任务或技术指标要求</w:t>
            </w:r>
          </w:p>
        </w:tc>
        <w:tc>
          <w:tcPr>
            <w:tcW w:w="2507" w:type="dxa"/>
            <w:tcMar>
              <w:left w:w="108" w:type="dxa"/>
              <w:right w:w="108" w:type="dxa"/>
            </w:tcMar>
            <w:vAlign w:val="center"/>
          </w:tcPr>
          <w:p w14:paraId="6AC01075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1.多模态信号实时采集与处理</w:t>
            </w:r>
          </w:p>
        </w:tc>
        <w:tc>
          <w:tcPr>
            <w:tcW w:w="2627" w:type="dxa"/>
            <w:tcMar>
              <w:left w:w="108" w:type="dxa"/>
              <w:right w:w="108" w:type="dxa"/>
            </w:tcMar>
            <w:vAlign w:val="center"/>
          </w:tcPr>
          <w:p w14:paraId="4F974FCF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实现脑电头环注意力值与IMU偏航角蓝牙采集，采样率≥10Hz，丢包率&lt;1%</w:t>
            </w:r>
          </w:p>
        </w:tc>
        <w:tc>
          <w:tcPr>
            <w:tcW w:w="181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8A7EEB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第2.3.1、3.2.1节，实物视频</w:t>
            </w:r>
          </w:p>
        </w:tc>
      </w:tr>
      <w:tr w14:paraId="48A23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382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450A26C8"/>
        </w:tc>
        <w:tc>
          <w:tcPr>
            <w:tcW w:w="2507" w:type="dxa"/>
            <w:tcMar>
              <w:left w:w="108" w:type="dxa"/>
              <w:right w:w="108" w:type="dxa"/>
            </w:tcMar>
            <w:vAlign w:val="center"/>
          </w:tcPr>
          <w:p w14:paraId="0C7C1B21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2. 个性化注意力基线归一化算法</w:t>
            </w:r>
          </w:p>
        </w:tc>
        <w:tc>
          <w:tcPr>
            <w:tcW w:w="262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2B9F21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3分钟热身建立线性映射，归一化误差1.2%，边界处理合理</w:t>
            </w:r>
          </w:p>
        </w:tc>
        <w:tc>
          <w:tcPr>
            <w:tcW w:w="181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4C5615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第2.3.2、3.2.1节</w:t>
            </w:r>
          </w:p>
        </w:tc>
      </w:tr>
      <w:tr w14:paraId="5AC98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382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425228B1"/>
        </w:tc>
        <w:tc>
          <w:tcPr>
            <w:tcW w:w="2507" w:type="dxa"/>
            <w:tcMar>
              <w:left w:w="108" w:type="dxa"/>
              <w:right w:w="108" w:type="dxa"/>
            </w:tcMar>
            <w:vAlign w:val="center"/>
          </w:tcPr>
          <w:p w14:paraId="17904051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3.注意力驱动的动态难度调节</w:t>
            </w:r>
          </w:p>
        </w:tc>
        <w:tc>
          <w:tcPr>
            <w:tcW w:w="2627" w:type="dxa"/>
            <w:tcMar>
              <w:left w:w="108" w:type="dxa"/>
              <w:right w:w="108" w:type="dxa"/>
            </w:tcMar>
            <w:vAlign w:val="center"/>
          </w:tcPr>
          <w:p w14:paraId="13AD2A7A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归一化注意力映射速度（1.5~6.0单位/秒），5秒方差调冰块概率（0.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25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/0.5/0.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80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）</w:t>
            </w:r>
          </w:p>
        </w:tc>
        <w:tc>
          <w:tcPr>
            <w:tcW w:w="181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B01FC2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第2.3.2、3.2.2节</w:t>
            </w:r>
          </w:p>
        </w:tc>
      </w:tr>
      <w:tr w14:paraId="288B4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382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26D65A6"/>
        </w:tc>
        <w:tc>
          <w:tcPr>
            <w:tcW w:w="2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78F1EB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4.三种游戏模式完整逻辑</w:t>
            </w:r>
          </w:p>
        </w:tc>
        <w:tc>
          <w:tcPr>
            <w:tcW w:w="2627" w:type="dxa"/>
            <w:tcMar>
              <w:left w:w="108" w:type="dxa"/>
              <w:right w:w="108" w:type="dxa"/>
            </w:tcMar>
            <w:vAlign w:val="center"/>
          </w:tcPr>
          <w:p w14:paraId="1CFD9E5E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实现常规（15分钟）、记忆（工作记忆训练）、无限（无时间限制）模式</w:t>
            </w:r>
          </w:p>
        </w:tc>
        <w:tc>
          <w:tcPr>
            <w:tcW w:w="181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D40C90B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第2.3.3、4.1.1节</w:t>
            </w:r>
          </w:p>
        </w:tc>
      </w:tr>
      <w:tr w14:paraId="5EF97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382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0A174EC"/>
        </w:tc>
        <w:tc>
          <w:tcPr>
            <w:tcW w:w="2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256907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5.双倍秘方过程奖励机制</w:t>
            </w:r>
          </w:p>
        </w:tc>
        <w:tc>
          <w:tcPr>
            <w:tcW w:w="2627" w:type="dxa"/>
            <w:tcMar>
              <w:left w:w="108" w:type="dxa"/>
              <w:right w:w="108" w:type="dxa"/>
            </w:tcMar>
            <w:vAlign w:val="center"/>
          </w:tcPr>
          <w:p w14:paraId="0FF0759F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持续高注意力（&gt;基线+10）8秒触发秘方，接住后收益加倍</w:t>
            </w:r>
          </w:p>
        </w:tc>
        <w:tc>
          <w:tcPr>
            <w:tcW w:w="181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951A94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第2.3.2节，游戏截图</w:t>
            </w:r>
          </w:p>
        </w:tc>
      </w:tr>
      <w:tr w14:paraId="48341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382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902B0F3"/>
        </w:tc>
        <w:tc>
          <w:tcPr>
            <w:tcW w:w="2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6053D9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6.等级成长与食材解锁系统</w:t>
            </w:r>
          </w:p>
        </w:tc>
        <w:tc>
          <w:tcPr>
            <w:tcW w:w="262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213DB3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累计金额80/250/600元升级至2/3/4级，解锁新食材池</w:t>
            </w:r>
          </w:p>
        </w:tc>
        <w:tc>
          <w:tcPr>
            <w:tcW w:w="181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C06C34F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第2.3.2、3.2.3节</w:t>
            </w:r>
          </w:p>
        </w:tc>
      </w:tr>
      <w:tr w14:paraId="5DAE4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382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735BB27"/>
        </w:tc>
        <w:tc>
          <w:tcPr>
            <w:tcW w:w="2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9B4470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7.防作弊与低注意力仲裁机制</w:t>
            </w:r>
          </w:p>
        </w:tc>
        <w:tc>
          <w:tcPr>
            <w:tcW w:w="262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995ACD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头部静止&gt;2秒+注意力&gt;80冻结5秒；注意力&lt;20持续3秒冻结</w:t>
            </w:r>
          </w:p>
        </w:tc>
        <w:tc>
          <w:tcPr>
            <w:tcW w:w="181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975B112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第2.3.2、3.1.1节</w:t>
            </w:r>
          </w:p>
        </w:tc>
      </w:tr>
      <w:tr w14:paraId="5DBC8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382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7327732"/>
        </w:tc>
        <w:tc>
          <w:tcPr>
            <w:tcW w:w="2507" w:type="dxa"/>
            <w:tcMar>
              <w:left w:w="108" w:type="dxa"/>
              <w:right w:w="108" w:type="dxa"/>
            </w:tcMar>
            <w:vAlign w:val="center"/>
          </w:tcPr>
          <w:p w14:paraId="5AC03B26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8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.训练数据本地记录与可视化</w:t>
            </w:r>
          </w:p>
        </w:tc>
        <w:tc>
          <w:tcPr>
            <w:tcW w:w="262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EB400A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保存注意力曲线、金额、等级数据，支持用户回顾</w:t>
            </w:r>
          </w:p>
        </w:tc>
        <w:tc>
          <w:tcPr>
            <w:tcW w:w="181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A0A492B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第4.1.2节</w:t>
            </w:r>
          </w:p>
        </w:tc>
      </w:tr>
    </w:tbl>
    <w:p w14:paraId="51346DEE">
      <w:pPr>
        <w:spacing w:line="400" w:lineRule="exact"/>
      </w:pPr>
    </w:p>
    <w:p w14:paraId="3150EF32">
      <w:pPr>
        <w:spacing w:line="400" w:lineRule="exact"/>
      </w:pPr>
    </w:p>
    <w:p w14:paraId="6F6E3F32">
      <w:pPr>
        <w:spacing w:line="400" w:lineRule="exact"/>
      </w:pPr>
    </w:p>
    <w:p w14:paraId="73E9AD9B">
      <w:pPr>
        <w:spacing w:line="400" w:lineRule="exact"/>
        <w:sectPr>
          <w:headerReference r:id="rId3" w:type="default"/>
          <w:footerReference r:id="rId4" w:type="default"/>
          <w:type w:val="continuous"/>
          <w:pgSz w:w="11906" w:h="16838"/>
          <w:pgMar w:top="1701" w:right="1418" w:bottom="1418" w:left="1418" w:header="907" w:footer="851" w:gutter="567"/>
          <w:pgNumType w:fmt="upperRoman"/>
          <w:cols w:space="425" w:num="1"/>
          <w:docGrid w:type="lines" w:linePitch="312" w:charSpace="0"/>
        </w:sectPr>
      </w:pPr>
    </w:p>
    <w:p w14:paraId="364E089F">
      <w:pPr>
        <w:spacing w:line="400" w:lineRule="exact"/>
      </w:pPr>
    </w:p>
    <w:p w14:paraId="6AAD808B">
      <w:pPr>
        <w:tabs>
          <w:tab w:val="left" w:pos="8239"/>
        </w:tabs>
        <w:spacing w:line="400" w:lineRule="exact"/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目   录</w:t>
      </w:r>
    </w:p>
    <w:p w14:paraId="1D294AF6">
      <w:pPr>
        <w:tabs>
          <w:tab w:val="left" w:pos="8239"/>
        </w:tabs>
        <w:spacing w:line="400" w:lineRule="exact"/>
      </w:pPr>
      <w:bookmarkStart w:id="0" w:name="_GoBack"/>
      <w:bookmarkEnd w:id="0"/>
    </w:p>
    <w:p w14:paraId="542D7983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hint="eastAsia" w:ascii="黑体" w:eastAsia="黑体"/>
          <w:sz w:val="28"/>
        </w:rPr>
        <w:t>摘要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Ⅰ</w:t>
      </w:r>
    </w:p>
    <w:p w14:paraId="6F9B6EA1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hint="eastAsia" w:ascii="黑体" w:eastAsia="黑体"/>
          <w:sz w:val="28"/>
        </w:rPr>
        <w:t>1</w:t>
      </w:r>
      <w:r>
        <w:rPr>
          <w:rFonts w:eastAsia="黑体"/>
          <w:sz w:val="28"/>
          <w:szCs w:val="28"/>
        </w:rPr>
        <w:t>作品概述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</w:p>
    <w:p w14:paraId="38F000BD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 w:ascii="黑体" w:eastAsia="黑体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-679450</wp:posOffset>
                </wp:positionH>
                <wp:positionV relativeFrom="paragraph">
                  <wp:posOffset>30480</wp:posOffset>
                </wp:positionV>
                <wp:extent cx="407670" cy="723900"/>
                <wp:effectExtent l="4445" t="4445" r="14605" b="18415"/>
                <wp:wrapNone/>
                <wp:docPr id="4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B42C378">
                            <w:r>
                              <w:rPr>
                                <w:rFonts w:hint="eastAsia"/>
                              </w:rPr>
                              <w:t>黑体五号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53.5pt;margin-top:2.4pt;height:57pt;width:32.1pt;z-index:251661312;mso-width-relative:page;mso-height-relative:page;" fillcolor="#FFFFFF" filled="t" stroked="t" coordsize="21600,21600" o:gfxdata="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czr4h1QAAAAoBAAAP&#10;AAAAAAAAAAEAIAAAACIAAABkcnMvZG93bnJldi54bWxQSwECFAAUAAAACACHTuJAHP5MaxsCAABS&#10;BAAADgAAAAAAAAABACAAAAAkAQAAZHJzL2Uyb0RvYy54bWxQSwUGAAAAAAYABgBZAQAAsQUAAAAA&#10;">
                <v:fill on="t" focussize="0,0"/>
                <v:stroke color="#FFFFFF" joinstyle="miter"/>
                <v:imagedata o:title=""/>
                <o:lock v:ext="edit" aspectratio="f"/>
                <v:textbox style="layout-flow:vertical-ideographic;">
                  <w:txbxContent>
                    <w:p w14:paraId="3B42C378">
                      <w:r>
                        <w:rPr>
                          <w:rFonts w:hint="eastAsia"/>
                        </w:rPr>
                        <w:t>黑体五号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-203835</wp:posOffset>
                </wp:positionH>
                <wp:positionV relativeFrom="paragraph">
                  <wp:posOffset>185420</wp:posOffset>
                </wp:positionV>
                <wp:extent cx="339725" cy="0"/>
                <wp:effectExtent l="0" t="38100" r="10795" b="38100"/>
                <wp:wrapNone/>
                <wp:docPr id="5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9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2" o:spid="_x0000_s1026" o:spt="20" style="position:absolute;left:0pt;flip:x;margin-left:-16.05pt;margin-top:14.6pt;height:0pt;width:26.75pt;z-index:251662336;mso-width-relative:page;mso-height-relative:page;" filled="f" stroked="t" coordsize="21600,21600" o:gfxdata="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ZHaOvYAAAACAEAAA8AAAAAAAAAAQAgAAAAIgAAAGRycy9kb3ducmV2LnhtbFBLAQIUABQAAAAI&#10;AIdO4kAs22PZ7QEAAN0DAAAOAAAAAAAAAAEAIAAAACcBAABkcnMvZTJvRG9jLnhtbFBLBQYAAAAA&#10;BgAGAFkBAACG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</w:rPr>
        <w:t xml:space="preserve">  </w:t>
      </w:r>
      <w:r>
        <w:rPr>
          <w:rFonts w:hint="eastAsia" w:ascii="黑体" w:eastAsia="黑体"/>
        </w:rPr>
        <w:t xml:space="preserve">1.1 </w:t>
      </w:r>
      <w:r>
        <w:rPr>
          <w:rFonts w:eastAsia="黑体"/>
          <w:szCs w:val="21"/>
        </w:rPr>
        <w:t>背景及意义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1</w:t>
      </w:r>
    </w:p>
    <w:p w14:paraId="6A591C03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1.1.1</w:t>
      </w:r>
      <w:r>
        <w:rPr>
          <w:rFonts w:hint="eastAsia"/>
          <w:lang w:val="en-US" w:eastAsia="zh-CN"/>
        </w:rPr>
        <w:t>脑疾病非药物干预的迫切需求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</w:p>
    <w:p w14:paraId="7794989F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1.1.2</w:t>
      </w:r>
      <w:r>
        <w:rPr>
          <w:rFonts w:hint="eastAsia"/>
          <w:lang w:val="en-US" w:eastAsia="zh-CN"/>
        </w:rPr>
        <w:t>传统注意力训练的局限与脑机接口的优势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2</w:t>
      </w:r>
    </w:p>
    <w:p w14:paraId="492B66A8">
      <w:pPr>
        <w:tabs>
          <w:tab w:val="right" w:leader="dot" w:pos="8280"/>
        </w:tabs>
        <w:spacing w:line="400" w:lineRule="exact"/>
        <w:ind w:firstLine="420" w:firstLineChars="0"/>
        <w:rPr>
          <w:rFonts w:hint="default" w:ascii="Times New Roman" w:hAnsi="宋体" w:eastAsia="宋体" w:cs="Times New Roman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1.1.3 本作品的设计理念与创新点3</w:t>
      </w:r>
    </w:p>
    <w:p w14:paraId="1AAFFD6E">
      <w:pPr>
        <w:tabs>
          <w:tab w:val="right" w:leader="dot" w:pos="8280"/>
        </w:tabs>
        <w:spacing w:line="400" w:lineRule="exact"/>
        <w:rPr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215900</wp:posOffset>
                </wp:positionV>
                <wp:extent cx="543560" cy="693420"/>
                <wp:effectExtent l="4445" t="4445" r="15875" b="18415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784ADAB">
                            <w:r>
                              <w:rPr>
                                <w:rFonts w:hint="eastAsia"/>
                              </w:rPr>
                              <w:t>宋体五号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64.2pt;margin-top:17pt;height:54.6pt;width:42.8pt;z-index:251659264;mso-width-relative:page;mso-height-relative:page;" fillcolor="#FFFFFF" filled="t" stroked="t" coordsize="21600,21600" o:gfxdata="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vrqs+1gAAAAsBAAAP&#10;AAAAAAAAAAEAIAAAACIAAABkcnMvZG93bnJldi54bWxQSwECFAAUAAAACACHTuJA3kiQtRoCAABR&#10;BAAADgAAAAAAAAABACAAAAAlAQAAZHJzL2Uyb0RvYy54bWxQSwUGAAAAAAYABgBZAQAAsQUAAAAA&#10;">
                <v:fill on="t" focussize="0,0"/>
                <v:stroke color="#FFFFFF" joinstyle="miter"/>
                <v:imagedata o:title=""/>
                <o:lock v:ext="edit" aspectratio="f"/>
                <v:textbox style="layout-flow:vertical-ideographic;">
                  <w:txbxContent>
                    <w:p w14:paraId="5784ADAB">
                      <w:r>
                        <w:rPr>
                          <w:rFonts w:hint="eastAsia"/>
                        </w:rPr>
                        <w:t>宋体五号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ascii="黑体" w:eastAsia="黑体"/>
        </w:rPr>
        <w:t xml:space="preserve">1.2 </w:t>
      </w:r>
      <w:r>
        <w:rPr>
          <w:rFonts w:eastAsia="黑体"/>
          <w:szCs w:val="21"/>
        </w:rPr>
        <w:t>研究基础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3</w:t>
      </w:r>
    </w:p>
    <w:p w14:paraId="6C9A2D90">
      <w:pPr>
        <w:tabs>
          <w:tab w:val="right" w:leader="dot" w:pos="8280"/>
        </w:tabs>
        <w:spacing w:line="400" w:lineRule="exact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-407670</wp:posOffset>
                </wp:positionH>
                <wp:positionV relativeFrom="paragraph">
                  <wp:posOffset>160020</wp:posOffset>
                </wp:positionV>
                <wp:extent cx="543560" cy="0"/>
                <wp:effectExtent l="0" t="38100" r="5080" b="38100"/>
                <wp:wrapNone/>
                <wp:docPr id="3" name="直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35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0" o:spid="_x0000_s1026" o:spt="20" style="position:absolute;left:0pt;flip:x;margin-left:-32.1pt;margin-top:12.6pt;height:0pt;width:42.8pt;z-index:251660288;mso-width-relative:page;mso-height-relative:page;" filled="f" stroked="t" coordsize="21600,21600" o:gfxdata="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qmjcF2AAAAAgBAAAPAAAAAAAAAAEAIAAAACIAAABkcnMvZG93bnJldi54bWxQSwECFAAUAAAA&#10;CACHTuJAaK470O4BAADdAwAADgAAAAAAAAABACAAAAAn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 xml:space="preserve">    1.2.1</w:t>
      </w:r>
      <w:r>
        <w:rPr>
          <w:rFonts w:hint="eastAsia"/>
          <w:lang w:val="en-US" w:eastAsia="zh-CN"/>
        </w:rPr>
        <w:t>软硬件平台基础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4</w:t>
      </w:r>
    </w:p>
    <w:p w14:paraId="71D2EDE3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1.2.2</w:t>
      </w:r>
      <w:r>
        <w:rPr>
          <w:rFonts w:hint="eastAsia"/>
          <w:lang w:val="en-US" w:eastAsia="zh-CN"/>
        </w:rPr>
        <w:t>游戏开发与理论依据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6</w:t>
      </w:r>
    </w:p>
    <w:p w14:paraId="43FD11FA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ascii="黑体" w:eastAsia="黑体"/>
        </w:rPr>
        <w:t>1.</w:t>
      </w:r>
      <w:r>
        <w:rPr>
          <w:rFonts w:hint="eastAsia" w:ascii="黑体" w:eastAsia="黑体"/>
        </w:rPr>
        <w:t>3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需求分析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7</w:t>
      </w:r>
    </w:p>
    <w:p w14:paraId="5EA78F0B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1.3.1</w:t>
      </w:r>
      <w:r>
        <w:rPr>
          <w:rFonts w:hint="eastAsia"/>
          <w:lang w:val="en-US" w:eastAsia="zh-CN"/>
        </w:rPr>
        <w:t>用户核心体验需求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9</w:t>
      </w:r>
    </w:p>
    <w:p w14:paraId="5D277010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1.3.2</w:t>
      </w:r>
      <w:r>
        <w:rPr>
          <w:rFonts w:hint="eastAsia"/>
          <w:lang w:val="en-US" w:eastAsia="zh-CN"/>
        </w:rPr>
        <w:t>系统功能与性能需求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12</w:t>
      </w:r>
    </w:p>
    <w:p w14:paraId="268B4610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hAnsi="宋体"/>
          <w:bCs/>
        </w:rPr>
      </w:pPr>
      <w:r>
        <w:rPr>
          <w:rFonts w:ascii="黑体" w:eastAsia="黑体"/>
        </w:rPr>
        <w:t>1.</w:t>
      </w:r>
      <w:r>
        <w:rPr>
          <w:rFonts w:hint="eastAsia" w:ascii="黑体" w:eastAsia="黑体"/>
        </w:rPr>
        <w:t>4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研究目标（或已实现的技术、功能指标）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14</w:t>
      </w:r>
    </w:p>
    <w:p w14:paraId="5B72D2CB">
      <w:pPr>
        <w:tabs>
          <w:tab w:val="right" w:leader="dot" w:pos="8280"/>
        </w:tabs>
        <w:spacing w:line="400" w:lineRule="exact"/>
        <w:ind w:firstLine="210" w:firstLineChars="100"/>
        <w:rPr>
          <w:rFonts w:hint="eastAsia"/>
          <w:lang w:val="en-US" w:eastAsia="zh-CN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1.4.1已实现的技术功能指标</w:t>
      </w:r>
      <w:r>
        <w:rPr>
          <w:rFonts w:hint="eastAsia"/>
          <w:lang w:val="en-US" w:eastAsia="zh-CN"/>
        </w:rPr>
        <w:tab/>
      </w:r>
    </w:p>
    <w:p w14:paraId="1C819D89">
      <w:pPr>
        <w:tabs>
          <w:tab w:val="right" w:leader="dot" w:pos="8280"/>
        </w:tabs>
        <w:spacing w:line="400" w:lineRule="exact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1.4.2训练效果与可用性目标</w:t>
      </w:r>
      <w:r>
        <w:rPr>
          <w:rFonts w:hint="eastAsia"/>
          <w:lang w:val="en-US" w:eastAsia="zh-CN"/>
        </w:rPr>
        <w:tab/>
      </w:r>
    </w:p>
    <w:p w14:paraId="051266F2">
      <w:pPr>
        <w:tabs>
          <w:tab w:val="right" w:leader="dot" w:pos="8280"/>
        </w:tabs>
        <w:spacing w:line="400" w:lineRule="exact"/>
        <w:ind w:firstLine="420" w:firstLineChars="200"/>
        <w:rPr>
          <w:rFonts w:hint="default" w:hAnsi="宋体" w:eastAsia="宋体"/>
          <w:bCs/>
          <w:lang w:val="en-US" w:eastAsia="zh-CN"/>
        </w:rPr>
      </w:pPr>
      <w:r>
        <w:rPr>
          <w:rFonts w:hint="eastAsia"/>
          <w:color w:val="0000FF"/>
        </w:rPr>
        <w:t xml:space="preserve"> </w:t>
      </w:r>
    </w:p>
    <w:p w14:paraId="2E041247">
      <w:pPr>
        <w:tabs>
          <w:tab w:val="right" w:leader="dot" w:pos="8280"/>
        </w:tabs>
        <w:spacing w:line="400" w:lineRule="exact"/>
        <w:ind w:left="107" w:hanging="107"/>
        <w:rPr>
          <w:rFonts w:hint="eastAsia" w:hAnsi="宋体"/>
          <w:bCs/>
        </w:rPr>
      </w:pPr>
      <w:r>
        <w:rPr>
          <w:rFonts w:hint="eastAsia" w:ascii="黑体" w:eastAsia="黑体"/>
          <w:sz w:val="28"/>
        </w:rPr>
        <w:t xml:space="preserve">2 </w:t>
      </w:r>
      <w:r>
        <w:rPr>
          <w:rFonts w:eastAsia="黑体"/>
          <w:sz w:val="28"/>
          <w:szCs w:val="28"/>
        </w:rPr>
        <w:t>作品方案设计及实现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16</w:t>
      </w:r>
    </w:p>
    <w:p w14:paraId="5B6136FE">
      <w:pPr>
        <w:numPr>
          <w:ilvl w:val="1"/>
          <w:numId w:val="1"/>
        </w:numPr>
        <w:tabs>
          <w:tab w:val="right" w:leader="dot" w:pos="8280"/>
        </w:tabs>
        <w:spacing w:line="400" w:lineRule="exact"/>
        <w:ind w:left="0" w:leftChars="0" w:firstLine="210" w:firstLineChars="100"/>
        <w:rPr>
          <w:rFonts w:hint="eastAsia" w:ascii="Times New Roman" w:hAnsi="宋体" w:eastAsia="宋体" w:cs="Times New Roman"/>
          <w:bCs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eastAsia="黑体" w:cs="Times New Roman"/>
          <w:kern w:val="2"/>
          <w:sz w:val="21"/>
          <w:szCs w:val="21"/>
          <w:lang w:val="en-US" w:eastAsia="zh-CN" w:bidi="ar-SA"/>
        </w:rPr>
        <w:t>作品实现的技术路线（方案）概述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16</w:t>
      </w:r>
    </w:p>
    <w:p w14:paraId="65308918">
      <w:pPr>
        <w:tabs>
          <w:tab w:val="right" w:leader="dot" w:pos="8280"/>
        </w:tabs>
        <w:spacing w:line="400" w:lineRule="exact"/>
        <w:ind w:firstLine="210" w:firstLineChars="100"/>
        <w:rPr>
          <w:rFonts w:hint="default" w:ascii="Times New Roman" w:hAnsi="Times New Roman" w:eastAsia="宋体" w:cs="Times New Roman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Times New Roman" w:eastAsia="黑体" w:cs="Times New Roman"/>
          <w:kern w:val="2"/>
          <w:sz w:val="21"/>
          <w:szCs w:val="24"/>
          <w:lang w:val="en-US" w:eastAsia="zh-CN" w:bidi="ar-SA"/>
        </w:rPr>
        <w:t xml:space="preserve">2.2 </w:t>
      </w:r>
      <w:r>
        <w:rPr>
          <w:rFonts w:ascii="Times New Roman" w:hAnsi="Times New Roman" w:eastAsia="黑体" w:cs="Times New Roman"/>
          <w:kern w:val="2"/>
          <w:sz w:val="21"/>
          <w:szCs w:val="21"/>
          <w:lang w:val="en-US" w:eastAsia="zh-CN" w:bidi="ar-SA"/>
        </w:rPr>
        <w:t>技术方案对比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23</w:t>
      </w:r>
    </w:p>
    <w:p w14:paraId="0C00A041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2.2.1</w:t>
      </w:r>
      <w:r>
        <w:rPr>
          <w:rFonts w:hint="eastAsia"/>
          <w:lang w:val="en-US" w:eastAsia="zh-CN"/>
        </w:rPr>
        <w:t>注意力映射策略有无归一化对比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23</w:t>
      </w:r>
    </w:p>
    <w:p w14:paraId="0F10A3AD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2.2.2</w:t>
      </w:r>
      <w:r>
        <w:rPr>
          <w:rFonts w:hint="eastAsia"/>
          <w:lang w:val="en-US" w:eastAsia="zh-CN"/>
        </w:rPr>
        <w:t>与代表性文献方案的横向对比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24</w:t>
      </w:r>
    </w:p>
    <w:p w14:paraId="09D979C4">
      <w:pPr>
        <w:tabs>
          <w:tab w:val="right" w:leader="dot" w:pos="8280"/>
        </w:tabs>
        <w:spacing w:line="400" w:lineRule="exact"/>
        <w:ind w:firstLine="420" w:firstLineChars="0"/>
        <w:rPr>
          <w:rFonts w:hint="default" w:ascii="Times New Roman" w:hAnsi="宋体" w:eastAsia="宋体" w:cs="Times New Roman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2.2.3与华南脑控《注意力训练系统》的方案对比24</w:t>
      </w:r>
    </w:p>
    <w:p w14:paraId="0C63E7F4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hint="eastAsia" w:ascii="黑体" w:eastAsia="黑体"/>
        </w:rPr>
        <w:t>2</w:t>
      </w:r>
      <w:r>
        <w:rPr>
          <w:rFonts w:ascii="黑体" w:eastAsia="黑体"/>
        </w:rPr>
        <w:t>.</w:t>
      </w:r>
      <w:r>
        <w:rPr>
          <w:rFonts w:hint="eastAsia" w:ascii="黑体" w:eastAsia="黑体"/>
        </w:rPr>
        <w:t>3</w:t>
      </w:r>
      <w:r>
        <w:rPr>
          <w:rFonts w:ascii="黑体" w:eastAsia="黑体"/>
        </w:rPr>
        <w:t xml:space="preserve"> </w:t>
      </w:r>
      <w:r>
        <w:rPr>
          <w:rFonts w:hint="eastAsia" w:ascii="黑体" w:hAnsi="黑体" w:eastAsia="黑体" w:cs="黑体"/>
          <w:szCs w:val="21"/>
        </w:rPr>
        <w:t>作品方案设计及实现过程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25</w:t>
      </w:r>
    </w:p>
    <w:p w14:paraId="6FC62423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2.3.1</w:t>
      </w:r>
      <w:r>
        <w:rPr>
          <w:rFonts w:hint="eastAsia"/>
          <w:lang w:val="en-US" w:eastAsia="zh-CN"/>
        </w:rPr>
        <w:t>常规模式核心逻辑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26</w:t>
      </w:r>
    </w:p>
    <w:p w14:paraId="1F654685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2.3.2</w:t>
      </w:r>
      <w:r>
        <w:rPr>
          <w:rFonts w:hint="eastAsia"/>
          <w:lang w:val="en-US" w:eastAsia="zh-CN"/>
        </w:rPr>
        <w:t>记忆模式设计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27</w:t>
      </w:r>
    </w:p>
    <w:p w14:paraId="375B2B68">
      <w:pPr>
        <w:tabs>
          <w:tab w:val="right" w:leader="dot" w:pos="8280"/>
        </w:tabs>
        <w:spacing w:line="400" w:lineRule="exact"/>
        <w:ind w:firstLine="420" w:firstLineChars="0"/>
        <w:rPr>
          <w:rFonts w:hint="default" w:ascii="Times New Roman" w:hAnsi="宋体" w:eastAsia="宋体" w:cs="Times New Roman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2.3.3无限模式设计27</w:t>
      </w:r>
    </w:p>
    <w:p w14:paraId="4CEDCD94">
      <w:pPr>
        <w:tabs>
          <w:tab w:val="right" w:leader="dot" w:pos="8280"/>
        </w:tabs>
        <w:spacing w:line="400" w:lineRule="exact"/>
        <w:ind w:left="107" w:hanging="107"/>
        <w:rPr>
          <w:rFonts w:hint="eastAsia" w:hAnsi="宋体"/>
          <w:bCs/>
        </w:rPr>
      </w:pPr>
      <w:r>
        <w:rPr>
          <w:rFonts w:hint="eastAsia" w:ascii="黑体" w:eastAsia="黑体"/>
          <w:sz w:val="28"/>
        </w:rPr>
        <w:t xml:space="preserve">3 </w:t>
      </w:r>
      <w:r>
        <w:rPr>
          <w:rFonts w:eastAsia="黑体"/>
          <w:sz w:val="28"/>
          <w:szCs w:val="28"/>
        </w:rPr>
        <w:t>作品</w:t>
      </w:r>
      <w:r>
        <w:rPr>
          <w:rFonts w:hint="eastAsia" w:ascii="黑体" w:hAnsi="黑体" w:eastAsia="黑体" w:cs="黑体"/>
          <w:sz w:val="28"/>
          <w:szCs w:val="28"/>
        </w:rPr>
        <w:t>测试方案及测试结果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42</w:t>
      </w:r>
    </w:p>
    <w:p w14:paraId="59F47A29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hint="eastAsia" w:ascii="黑体" w:eastAsia="黑体"/>
        </w:rPr>
        <w:t xml:space="preserve">3.1 </w:t>
      </w:r>
      <w:r>
        <w:rPr>
          <w:rFonts w:eastAsia="黑体"/>
          <w:szCs w:val="21"/>
        </w:rPr>
        <w:t>测试</w:t>
      </w:r>
      <w:r>
        <w:rPr>
          <w:rFonts w:hint="eastAsia" w:eastAsia="黑体"/>
          <w:szCs w:val="21"/>
        </w:rPr>
        <w:t>方案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44</w:t>
      </w:r>
    </w:p>
    <w:p w14:paraId="12FF571B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3.1.1 </w:t>
      </w:r>
      <w:r>
        <w:rPr>
          <w:rFonts w:hint="eastAsia"/>
          <w:lang w:val="en-US" w:eastAsia="zh-CN"/>
        </w:rPr>
        <w:t>功能测试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50</w:t>
      </w:r>
    </w:p>
    <w:p w14:paraId="68BD62F9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3.1.2</w:t>
      </w:r>
      <w:r>
        <w:rPr>
          <w:rFonts w:hint="eastAsia"/>
          <w:lang w:val="en-US" w:eastAsia="zh-CN"/>
        </w:rPr>
        <w:t>性能测试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52</w:t>
      </w:r>
    </w:p>
    <w:p w14:paraId="59A835D1">
      <w:pPr>
        <w:tabs>
          <w:tab w:val="right" w:leader="dot" w:pos="8280"/>
        </w:tabs>
        <w:spacing w:line="400" w:lineRule="exact"/>
        <w:ind w:firstLine="420" w:firstLineChars="0"/>
        <w:rPr>
          <w:rFonts w:hint="default" w:ascii="Times New Roman" w:hAnsi="宋体" w:eastAsia="宋体" w:cs="Times New Roman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3.1.3用户模拟测试52</w:t>
      </w:r>
    </w:p>
    <w:p w14:paraId="1F875082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hAnsi="宋体"/>
          <w:bCs/>
        </w:rPr>
      </w:pPr>
      <w:r>
        <w:rPr>
          <w:rFonts w:hint="eastAsia" w:ascii="黑体" w:eastAsia="黑体"/>
        </w:rPr>
        <w:t>3</w:t>
      </w:r>
      <w:r>
        <w:rPr>
          <w:rFonts w:ascii="黑体" w:eastAsia="黑体"/>
        </w:rPr>
        <w:t>.</w:t>
      </w:r>
      <w:r>
        <w:rPr>
          <w:rFonts w:hint="eastAsia" w:ascii="黑体" w:eastAsia="黑体"/>
        </w:rPr>
        <w:t>2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技术、功能指标及测试结果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53</w:t>
      </w:r>
    </w:p>
    <w:p w14:paraId="310960E0">
      <w:pPr>
        <w:tabs>
          <w:tab w:val="right" w:leader="dot" w:pos="8280"/>
        </w:tabs>
        <w:spacing w:line="400" w:lineRule="exact"/>
        <w:ind w:firstLine="420" w:firstLineChars="0"/>
        <w:rPr>
          <w:rFonts w:hint="default" w:ascii="Times New Roman" w:hAnsi="宋体" w:eastAsia="宋体" w:cs="Times New Roman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3.2.1 注意力基线归一化算法准确性测试53</w:t>
      </w:r>
    </w:p>
    <w:p w14:paraId="25285E8C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3.2</w:t>
      </w:r>
      <w:r>
        <w:rPr>
          <w:rFonts w:hint="eastAsia"/>
          <w:lang w:val="en-US" w:eastAsia="zh-CN"/>
        </w:rPr>
        <w:t>.2速度映射与冰块概率准确性测试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63</w:t>
      </w:r>
    </w:p>
    <w:p w14:paraId="2DBE5DFB">
      <w:pPr>
        <w:tabs>
          <w:tab w:val="right" w:leader="dot" w:pos="8280"/>
        </w:tabs>
        <w:spacing w:line="400" w:lineRule="exact"/>
        <w:ind w:firstLine="420" w:firstLineChars="0"/>
        <w:rPr>
          <w:rFonts w:hint="default" w:ascii="Times New Roman" w:hAnsi="宋体" w:eastAsia="宋体" w:cs="Times New Roman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3.2.3等级成长与游戏平衡性测试63</w:t>
      </w:r>
    </w:p>
    <w:p w14:paraId="18BFFA1A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hint="eastAsia" w:ascii="黑体" w:eastAsia="黑体"/>
        </w:rPr>
        <w:t>3</w:t>
      </w:r>
      <w:r>
        <w:rPr>
          <w:rFonts w:ascii="黑体" w:eastAsia="黑体"/>
        </w:rPr>
        <w:t>.</w:t>
      </w:r>
      <w:r>
        <w:rPr>
          <w:rFonts w:hint="eastAsia" w:ascii="黑体" w:eastAsia="黑体"/>
        </w:rPr>
        <w:t>3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技术可行性分析及创新说明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66</w:t>
      </w:r>
    </w:p>
    <w:p w14:paraId="17EA77BD">
      <w:pPr>
        <w:tabs>
          <w:tab w:val="right" w:leader="dot" w:pos="8280"/>
        </w:tabs>
        <w:spacing w:line="400" w:lineRule="exact"/>
        <w:rPr>
          <w:rFonts w:hint="eastAsia" w:ascii="宋体" w:hAnsi="宋体" w:eastAsia="宋体" w:cs="宋体"/>
        </w:rPr>
      </w:pPr>
      <w:r>
        <w:rPr>
          <w:rFonts w:hint="eastAsia"/>
        </w:rPr>
        <w:t xml:space="preserve">  </w:t>
      </w:r>
      <w:r>
        <w:rPr>
          <w:rFonts w:hint="eastAsia" w:ascii="宋体" w:hAnsi="宋体" w:eastAsia="宋体" w:cs="宋体"/>
        </w:rPr>
        <w:t xml:space="preserve">  3.3.1</w:t>
      </w:r>
      <w:r>
        <w:rPr>
          <w:rFonts w:hint="eastAsia" w:ascii="宋体" w:hAnsi="宋体" w:eastAsia="宋体" w:cs="宋体"/>
          <w:lang w:val="en-US" w:eastAsia="zh-CN"/>
        </w:rPr>
        <w:t>多模态自然交互的创新性</w:t>
      </w:r>
      <w:r>
        <w:rPr>
          <w:rFonts w:hint="eastAsia" w:ascii="宋体" w:hAnsi="宋体" w:eastAsia="宋体" w:cs="宋体"/>
          <w:sz w:val="28"/>
        </w:rPr>
        <w:tab/>
      </w:r>
      <w:r>
        <w:rPr>
          <w:rFonts w:hint="eastAsia" w:ascii="宋体" w:hAnsi="宋体" w:eastAsia="宋体" w:cs="宋体"/>
          <w:bCs/>
        </w:rPr>
        <w:t>67</w:t>
      </w:r>
    </w:p>
    <w:p w14:paraId="19003B4B">
      <w:pPr>
        <w:tabs>
          <w:tab w:val="right" w:leader="dot" w:pos="8280"/>
        </w:tabs>
        <w:spacing w:line="400" w:lineRule="exact"/>
        <w:ind w:firstLine="420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</w:rPr>
        <w:t>3.3.2</w:t>
      </w:r>
      <w:r>
        <w:rPr>
          <w:rFonts w:hint="eastAsia" w:ascii="宋体" w:hAnsi="宋体" w:eastAsia="宋体" w:cs="宋体"/>
          <w:lang w:val="en-US" w:eastAsia="zh-CN"/>
        </w:rPr>
        <w:t>动态方差调参的自适应机制创新</w:t>
      </w:r>
      <w:r>
        <w:rPr>
          <w:rFonts w:hint="eastAsia" w:ascii="宋体" w:hAnsi="宋体" w:eastAsia="宋体" w:cs="宋体"/>
          <w:sz w:val="28"/>
        </w:rPr>
        <w:tab/>
      </w:r>
      <w:r>
        <w:rPr>
          <w:rFonts w:hint="eastAsia" w:ascii="宋体" w:hAnsi="宋体" w:eastAsia="宋体" w:cs="宋体"/>
          <w:bCs/>
        </w:rPr>
        <w:t>68</w:t>
      </w:r>
    </w:p>
    <w:p w14:paraId="3FD966FA">
      <w:pPr>
        <w:tabs>
          <w:tab w:val="right" w:leader="dot" w:pos="8280"/>
        </w:tabs>
        <w:spacing w:line="400" w:lineRule="exact"/>
        <w:ind w:firstLine="420" w:firstLineChars="0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3.3.3游戏化神经反馈训练的依从性优势68</w:t>
      </w:r>
    </w:p>
    <w:p w14:paraId="58AA6977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hint="eastAsia" w:ascii="黑体" w:eastAsia="黑体"/>
          <w:sz w:val="28"/>
        </w:rPr>
        <w:t xml:space="preserve">4 </w:t>
      </w:r>
      <w:r>
        <w:rPr>
          <w:rFonts w:eastAsia="黑体"/>
          <w:sz w:val="28"/>
          <w:szCs w:val="28"/>
        </w:rPr>
        <w:t>总结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72</w:t>
      </w:r>
    </w:p>
    <w:p w14:paraId="1C9CF27E">
      <w:pPr>
        <w:tabs>
          <w:tab w:val="right" w:leader="dot" w:pos="8280"/>
        </w:tabs>
        <w:spacing w:line="400" w:lineRule="exact"/>
        <w:rPr>
          <w:rFonts w:hint="eastAsia" w:hAnsi="宋体"/>
          <w:bCs/>
        </w:rPr>
      </w:pPr>
      <w:r>
        <w:rPr>
          <w:rFonts w:hint="eastAsia"/>
          <w:b/>
        </w:rPr>
        <w:t xml:space="preserve"> </w:t>
      </w:r>
      <w:r>
        <w:rPr>
          <w:rFonts w:hint="eastAsia" w:ascii="黑体" w:eastAsia="黑体"/>
        </w:rPr>
        <w:t xml:space="preserve"> 4.1 </w:t>
      </w:r>
      <w:r>
        <w:rPr>
          <w:rFonts w:eastAsia="黑体"/>
          <w:szCs w:val="21"/>
        </w:rPr>
        <w:t>作品展示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73</w:t>
      </w:r>
    </w:p>
    <w:p w14:paraId="74F5C87C">
      <w:pPr>
        <w:tabs>
          <w:tab w:val="right" w:leader="dot" w:pos="8280"/>
        </w:tabs>
        <w:spacing w:line="400" w:lineRule="exact"/>
        <w:ind w:firstLine="420" w:firstLineChars="0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4.1.1界面截图与操作演示73</w:t>
      </w:r>
    </w:p>
    <w:p w14:paraId="6215FB75">
      <w:pPr>
        <w:tabs>
          <w:tab w:val="right" w:leader="dot" w:pos="8280"/>
        </w:tabs>
        <w:spacing w:line="400" w:lineRule="exact"/>
        <w:ind w:firstLine="420" w:firstLineChars="0"/>
        <w:rPr>
          <w:rFonts w:hint="default" w:ascii="Times New Roman" w:hAnsi="宋体" w:eastAsia="宋体" w:cs="Times New Roman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4.1.2训练数据记录示例73</w:t>
      </w:r>
    </w:p>
    <w:p w14:paraId="4C0F93B4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hAnsi="宋体"/>
          <w:b/>
        </w:rPr>
      </w:pPr>
      <w:r>
        <w:rPr>
          <w:rFonts w:hint="eastAsia" w:ascii="黑体" w:eastAsia="黑体"/>
        </w:rPr>
        <w:t xml:space="preserve">4.2 </w:t>
      </w:r>
      <w:r>
        <w:rPr>
          <w:rFonts w:eastAsia="黑体"/>
          <w:szCs w:val="21"/>
        </w:rPr>
        <w:t>展望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74</w:t>
      </w:r>
    </w:p>
    <w:p w14:paraId="572A6644">
      <w:pPr>
        <w:tabs>
          <w:tab w:val="right" w:leader="dot" w:pos="8280"/>
        </w:tabs>
        <w:spacing w:line="400" w:lineRule="exact"/>
        <w:ind w:firstLine="420" w:firstLineChars="0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4.2.1更多训练模式与云端数据平台74</w:t>
      </w:r>
    </w:p>
    <w:p w14:paraId="6C28A946">
      <w:pPr>
        <w:tabs>
          <w:tab w:val="right" w:leader="dot" w:pos="8280"/>
        </w:tabs>
        <w:spacing w:line="400" w:lineRule="exact"/>
        <w:ind w:firstLine="420" w:firstLineChars="0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4.2.2临床实验与个性化参数优化74</w:t>
      </w:r>
    </w:p>
    <w:p w14:paraId="6E0C7575">
      <w:pPr>
        <w:tabs>
          <w:tab w:val="right" w:leader="dot" w:pos="8280"/>
        </w:tabs>
        <w:spacing w:line="400" w:lineRule="exact"/>
        <w:rPr>
          <w:rFonts w:hint="eastAsia" w:ascii="宋体" w:hAnsi="宋体" w:eastAsia="宋体" w:cs="宋体"/>
          <w:b w:val="0"/>
          <w:bCs/>
        </w:rPr>
      </w:pPr>
    </w:p>
    <w:p w14:paraId="54063F34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0EB39DB0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1BB51CB7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0E1B5FAA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4B31C5AA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200D400A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407191B9">
      <w:pPr>
        <w:spacing w:line="400" w:lineRule="exact"/>
      </w:pPr>
    </w:p>
    <w:p w14:paraId="27A8B55C">
      <w:pPr>
        <w:spacing w:line="400" w:lineRule="exact"/>
      </w:pPr>
    </w:p>
    <w:p w14:paraId="0447569C">
      <w:pPr>
        <w:spacing w:line="400" w:lineRule="exact"/>
      </w:pPr>
    </w:p>
    <w:p w14:paraId="14BFE609">
      <w:pPr>
        <w:spacing w:line="400" w:lineRule="exact"/>
      </w:pPr>
    </w:p>
    <w:p w14:paraId="6F1C5175">
      <w:pPr>
        <w:spacing w:line="400" w:lineRule="exact"/>
      </w:pPr>
    </w:p>
    <w:p w14:paraId="6B17D91D">
      <w:pPr>
        <w:spacing w:line="400" w:lineRule="exact"/>
      </w:pPr>
    </w:p>
    <w:p w14:paraId="5239477B">
      <w:pPr>
        <w:spacing w:line="400" w:lineRule="exact"/>
        <w:jc w:val="center"/>
        <w:rPr>
          <w:rFonts w:ascii="黑体" w:eastAsia="黑体"/>
          <w:sz w:val="32"/>
        </w:rPr>
      </w:pPr>
      <w:r>
        <w:rPr>
          <w:rFonts w:hint="eastAsia" w:ascii="黑体" w:eastAsia="黑体"/>
          <w:sz w:val="32"/>
        </w:rPr>
        <w:t>摘    要</w:t>
      </w:r>
    </w:p>
    <w:p w14:paraId="7BC585DC">
      <w:pPr>
        <w:pStyle w:val="1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t>本项目结合生物医学工程领域人体头部姿态检测与注意力量化技术，设计以奶茶接料休闲游戏为载体的训练系统。通过采集头部运动数据量化实时数值，将注意力指标与游戏难度、收益机制关联，设置 BCI 常规、记忆、无限、键盘四种模式。常规模式含 3 分钟热身与 12 分钟训练，依托热身数据完成归一化运算，动态控制食材速度与冰块概率；搭配双倍激励、防作弊及低注意力冻结模块。记忆模式随等级提升增加待记忆成分，通过连续对错实现等级升降；无限模式无时间限制，用于极限挑战；键盘模式支持无设备时体验游戏核心玩法。实测表明，作品可依托趣味游戏实现注意力常态化训练，长期使用能改善注意力涣散，适用于青少年康复与日常锻炼，具备医学与民用推广价值。</w:t>
      </w:r>
    </w:p>
    <w:p w14:paraId="189602C7">
      <w:pPr>
        <w:pStyle w:val="1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关键词：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-SA"/>
        </w:rPr>
        <w:t>脑机接口；</w:t>
      </w:r>
      <w:r>
        <w:rPr>
          <w:rFonts w:hint="eastAsia" w:cs="宋体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-SA"/>
        </w:rPr>
        <w:t>注意力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-SA"/>
        </w:rPr>
        <w:t>训练；多模态交互；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highlight w:val="none"/>
          <w:shd w:val="clear" w:fill="FFFFFF"/>
          <w:lang w:val="en-US" w:eastAsia="zh-CN" w:bidi="ar-SA"/>
        </w:rPr>
        <w:t>自适应难度调节</w:t>
      </w:r>
    </w:p>
    <w:p w14:paraId="73E198E1">
      <w:pPr>
        <w:pStyle w:val="8"/>
        <w:spacing w:before="0" w:line="400" w:lineRule="exact"/>
        <w:ind w:firstLine="492"/>
        <w:rPr>
          <w:rFonts w:hint="eastAsia"/>
        </w:rPr>
      </w:pPr>
    </w:p>
    <w:p w14:paraId="20D6B39D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08EF3186">
      <w:pPr>
        <w:tabs>
          <w:tab w:val="right" w:leader="dot" w:pos="8280"/>
        </w:tabs>
        <w:spacing w:line="400" w:lineRule="exact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1作品概述</w:t>
      </w:r>
    </w:p>
    <w:p w14:paraId="572A66BF">
      <w:pPr>
        <w:tabs>
          <w:tab w:val="right" w:leader="dot" w:pos="8280"/>
        </w:tabs>
        <w:spacing w:line="400" w:lineRule="exact"/>
        <w:jc w:val="left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1.1背景及意义</w:t>
      </w:r>
    </w:p>
    <w:p w14:paraId="6AD52682">
      <w:pPr>
        <w:tabs>
          <w:tab w:val="right" w:leader="dot" w:pos="8280"/>
        </w:tabs>
        <w:spacing w:line="400" w:lineRule="exact"/>
        <w:jc w:val="left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1.1.1脑疾病非药物干预的迫切需求</w:t>
      </w:r>
    </w:p>
    <w:p w14:paraId="324673A2">
      <w:pPr>
        <w:tabs>
          <w:tab w:val="right" w:leader="dot" w:pos="8280"/>
        </w:tabs>
        <w:spacing w:line="400" w:lineRule="exact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 w:val="0"/>
          <w:bCs/>
          <w:kern w:val="2"/>
          <w:sz w:val="21"/>
          <w:szCs w:val="24"/>
          <w:lang w:val="en-US" w:eastAsia="zh-CN" w:bidi="ar-SA"/>
        </w:rPr>
        <w:tab/>
        <w:t xml:space="preserve">    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注意力缺陷与多动障碍（ADHD）、自闭症谱系障碍及老年认知衰退等脑疾病在全球范围内高发。传统药物干预存在副作用明显、患者依从性差等局限，难以根治核心功能障碍。因此，非药物、无创、可居家实施的认知训练方法成为研究热点。脑机接口（BCI）技术通过实时采集大脑生理信号并转化为控制指令，为神经反馈训练提供了全新的技术路径。</w:t>
      </w:r>
    </w:p>
    <w:p w14:paraId="608A26C3">
      <w:pPr>
        <w:tabs>
          <w:tab w:val="right" w:leader="dot" w:pos="8280"/>
        </w:tabs>
        <w:spacing w:line="400" w:lineRule="exact"/>
        <w:rPr>
          <w:rFonts w:hint="eastAsia" w:ascii="黑体" w:hAnsi="黑体" w:eastAsia="黑体" w:cs="黑体"/>
          <w:b/>
          <w:lang w:val="en-US" w:eastAsia="zh-CN"/>
        </w:rPr>
      </w:pPr>
      <w:r>
        <w:rPr>
          <w:rFonts w:hint="eastAsia" w:ascii="黑体" w:hAnsi="黑体" w:eastAsia="黑体" w:cs="黑体"/>
          <w:b/>
          <w:lang w:val="en-US" w:eastAsia="zh-CN"/>
        </w:rPr>
        <w:t>1.1.2传统注意力训练的局限与脑机接口的优势</w:t>
      </w:r>
    </w:p>
    <w:p w14:paraId="514DD2F0">
      <w:pPr>
        <w:tabs>
          <w:tab w:val="right" w:leader="dot" w:pos="8280"/>
        </w:tabs>
        <w:spacing w:line="400" w:lineRule="exact"/>
        <w:ind w:firstLine="42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传统注意力训练多采用重复性认知任务（如n-back、舒尔特方格），存在形式枯燥、反馈抽象、难度固定三大局限。</w:t>
      </w:r>
    </w:p>
    <w:p w14:paraId="00B6625E">
      <w:pPr>
        <w:tabs>
          <w:tab w:val="right" w:leader="dot" w:pos="8280"/>
        </w:tabs>
        <w:spacing w:line="400" w:lineRule="exact"/>
        <w:ind w:firstLine="420"/>
        <w:rPr>
          <w:rFonts w:hint="eastAsia" w:ascii="Times New Roman" w:hAnsi="宋体" w:eastAsia="宋体" w:cs="Times New Roman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脑机接口技术通过实时闭环反馈、趣味化游戏交互及个体化基线校准，实现“所思即所得”即时训练，提升用户依从性与效果可量化性。</w:t>
      </w:r>
    </w:p>
    <w:p w14:paraId="35B39654">
      <w:pPr>
        <w:tabs>
          <w:tab w:val="right" w:leader="dot" w:pos="8280"/>
        </w:tabs>
        <w:spacing w:line="400" w:lineRule="exact"/>
        <w:rPr>
          <w:rFonts w:hint="default" w:hAnsi="宋体"/>
          <w:b/>
          <w:lang w:val="en-US" w:eastAsia="zh-CN"/>
        </w:rPr>
      </w:pPr>
      <w:r>
        <w:rPr>
          <w:rFonts w:hint="eastAsia" w:hAnsi="宋体"/>
          <w:b/>
          <w:lang w:val="en-US" w:eastAsia="zh-CN"/>
        </w:rPr>
        <w:t>1.1.3本作品的设计理念与创新点</w:t>
      </w:r>
    </w:p>
    <w:p w14:paraId="314CE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本系统探索“高生态效度、低认知负荷”的神经反馈训练新范式，将脑机接口（BCI）技术与模拟经营类游戏机制深度融合，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none"/>
        </w:rPr>
        <w:t>推出自研实时交互游戏“疯狂奶茶杯”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。</w:t>
      </w:r>
    </w:p>
    <w:p w14:paraId="465F399C">
      <w:pPr>
        <w:spacing w:before="2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核心创新点：</w:t>
      </w:r>
    </w:p>
    <w:p w14:paraId="3266E9D7">
      <w:pPr>
        <w:pStyle w:val="28"/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基于任务绩效的正反馈：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通过食材下落速度隐式映射注意力水平，越高则速度越慢，形成“越专注越从容”的正向闭环。</w:t>
      </w:r>
    </w:p>
    <w:p w14:paraId="03856326">
      <w:pPr>
        <w:pStyle w:val="28"/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多模态分层控制：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注意力控制连续量（速度、经济杠杆），头动信号控制空间位移，实现“脑控状态+体控动作”的自然交互。</w:t>
      </w:r>
    </w:p>
    <w:p w14:paraId="4A7FDAB2">
      <w:pPr>
        <w:pStyle w:val="28"/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none"/>
        </w:rPr>
        <w:t>动态难度自适应：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none"/>
        </w:rPr>
        <w:t>以专注力方差为稳定性指标，方差＜50/50-150/＞150时冰块概率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highlight w:val="none"/>
          <w:lang w:val="en-US" w:eastAsia="zh-CN"/>
        </w:rPr>
        <w:t>20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none"/>
        </w:rPr>
        <w:t>%/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highlight w:val="none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none"/>
        </w:rPr>
        <w:t>0%/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highlight w:val="none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none"/>
        </w:rPr>
        <w:t>0%，若方差＞150 且注意力值＜20，冰块概率拉满为 100%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highlight w:val="none"/>
          <w:lang w:eastAsia="zh-CN"/>
        </w:rPr>
        <w:t>。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none"/>
        </w:rPr>
        <w:t>引导用户从“追求峰值”转向“维持平稳专注”。</w:t>
      </w:r>
    </w:p>
    <w:p w14:paraId="6D39B1C0">
      <w:pPr>
        <w:pStyle w:val="28"/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经济学指标量化收益：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将成果转化为“虚拟营业额”，直观展示投入产出比，提升用户依从性。</w:t>
      </w:r>
    </w:p>
    <w:p w14:paraId="383CA056">
      <w:pPr>
        <w:tabs>
          <w:tab w:val="right" w:leader="dot" w:pos="8280"/>
        </w:tabs>
        <w:spacing w:line="400" w:lineRule="exact"/>
        <w:rPr>
          <w:rFonts w:hint="eastAsia" w:hAnsi="宋体"/>
          <w:b/>
          <w:lang w:val="en-US" w:eastAsia="zh-CN"/>
        </w:rPr>
      </w:pPr>
    </w:p>
    <w:p w14:paraId="2231A37C">
      <w:pPr>
        <w:tabs>
          <w:tab w:val="right" w:leader="dot" w:pos="8280"/>
        </w:tabs>
        <w:spacing w:line="400" w:lineRule="exact"/>
        <w:jc w:val="left"/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hAnsi="宋体"/>
          <w:b/>
          <w:sz w:val="28"/>
          <w:szCs w:val="28"/>
          <w:lang w:val="en-US" w:eastAsia="zh-CN"/>
        </w:rPr>
        <w:t>1.2研究基础</w:t>
      </w:r>
    </w:p>
    <w:p w14:paraId="4D67BDCF">
      <w:pPr>
        <w:pStyle w:val="3"/>
        <w:ind w:left="0" w:leftChars="0" w:firstLine="0" w:firstLineChars="0"/>
        <w:jc w:val="both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1.2.1软硬件平台基础</w:t>
      </w:r>
    </w:p>
    <w:tbl>
      <w:tblPr>
        <w:tblStyle w:val="1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89B52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505C96F">
            <w:pPr>
              <w:jc w:val="center"/>
              <w:rPr>
                <w:rFonts w:ascii="Times New Roman" w:hAnsi="Times New Roman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名称/型号/配置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7876D3BA">
            <w:pPr>
              <w:jc w:val="center"/>
              <w:rPr>
                <w:rFonts w:ascii="Times New Roman" w:hAnsi="Times New Roman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6D6E428F">
            <w:pPr>
              <w:jc w:val="center"/>
              <w:rPr>
                <w:rFonts w:ascii="Times New Roman" w:hAnsi="Times New Roman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用途/说明</w:t>
            </w:r>
          </w:p>
        </w:tc>
      </w:tr>
      <w:tr w14:paraId="6485BC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5F839D6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可穿戴脑电头环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0D02245B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主办方提供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8568C62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采集前额叶脑电信号与头部姿态数据</w:t>
            </w:r>
          </w:p>
        </w:tc>
      </w:tr>
      <w:tr w14:paraId="11B1A5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ABB626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HybridBCI科研科创平台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74B27E3E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主办方提供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3FCFEAB7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提供接口，直接输出注意力指标、头动信号、眨眼检测结果</w:t>
            </w:r>
          </w:p>
        </w:tc>
      </w:tr>
      <w:tr w14:paraId="438F84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C71517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个人笔记本电脑（Windows 10/11 或 macOS）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52305283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开发硬件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4BE932F8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支持</w:t>
            </w: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TCP网络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连接与USB接口</w:t>
            </w:r>
          </w:p>
        </w:tc>
      </w:tr>
      <w:tr w14:paraId="6064DB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2A88148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Python 3.8+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2B730FEC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开发语言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773D9DDD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跨平台兼容，开发效率高</w:t>
            </w:r>
          </w:p>
        </w:tc>
      </w:tr>
      <w:tr w14:paraId="25ECA8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5C4D8BA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Pygame、Socket、NumPy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6A365FE0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核心依赖库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0C556D9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Pygame（图形/碰撞/事件），Socket（数据接收），NumPy（滤波/方差计算）</w:t>
            </w:r>
          </w:p>
        </w:tc>
      </w:tr>
      <w:tr w14:paraId="0F4A48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5B0CB67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自制或开源免费的2D素材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62702779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图形资源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ECDD80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AI生成或在线素材库制作</w:t>
            </w:r>
          </w:p>
        </w:tc>
      </w:tr>
    </w:tbl>
    <w:p w14:paraId="7AC9BCD4">
      <w:pPr>
        <w:tabs>
          <w:tab w:val="right" w:leader="dot" w:pos="8280"/>
        </w:tabs>
        <w:spacing w:line="400" w:lineRule="exact"/>
        <w:rPr>
          <w:rFonts w:hint="eastAsia" w:hAnsi="宋体"/>
          <w:b/>
          <w:lang w:val="en-US" w:eastAsia="zh-CN"/>
        </w:rPr>
      </w:pPr>
    </w:p>
    <w:p w14:paraId="0D980CD5">
      <w:pPr>
        <w:tabs>
          <w:tab w:val="right" w:leader="dot" w:pos="8280"/>
        </w:tabs>
        <w:spacing w:line="400" w:lineRule="exact"/>
        <w:rPr>
          <w:rFonts w:hint="eastAsia" w:hAnsi="宋体"/>
          <w:b/>
          <w:lang w:val="en-US" w:eastAsia="zh-CN"/>
        </w:rPr>
      </w:pPr>
      <w:r>
        <w:rPr>
          <w:rFonts w:hint="eastAsia" w:hAnsi="宋体"/>
          <w:b/>
          <w:lang w:val="en-US" w:eastAsia="zh-CN"/>
        </w:rPr>
        <w:t>1.2.2游戏开发与理论依据</w:t>
      </w:r>
    </w:p>
    <w:p w14:paraId="68895862">
      <w:pPr>
        <w:tabs>
          <w:tab w:val="right" w:leader="dot" w:pos="8280"/>
        </w:tabs>
        <w:spacing w:line="400" w:lineRule="exact"/>
        <w:rPr>
          <w:rFonts w:hint="eastAsia" w:ascii="Times New Roman" w:hAnsi="宋体" w:eastAsia="宋体" w:cs="Times New Roman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宋体" w:eastAsia="宋体" w:cs="Times New Roman"/>
          <w:b w:val="0"/>
          <w:bCs/>
          <w:kern w:val="2"/>
          <w:sz w:val="21"/>
          <w:szCs w:val="24"/>
          <w:lang w:val="en-US" w:eastAsia="zh-CN" w:bidi="ar-SA"/>
        </w:rPr>
        <w:t>本作品采用 Python 3.8+ 及 Pygame 库开发，利用精灵动画、碰撞检测与事件循环模块实现 2D 原型。训练范式参考认知训练 “最近发展区” 理论，通过注意力方差动态调整冰块概率（方差越大、冰块越多），确保用户处于适度挑战区间。游戏时长（15 分钟）、每杯时长（20 秒）及等级阈值等参数参考经典神经反馈训练范式，保障科学性</w:t>
      </w:r>
    </w:p>
    <w:p w14:paraId="1D20F5AA">
      <w:pPr>
        <w:tabs>
          <w:tab w:val="right" w:leader="dot" w:pos="8280"/>
        </w:tabs>
        <w:spacing w:line="400" w:lineRule="exact"/>
        <w:rPr>
          <w:rFonts w:hint="eastAsia" w:hAnsi="宋体"/>
          <w:b/>
          <w:lang w:val="en-US" w:eastAsia="zh-CN"/>
        </w:rPr>
      </w:pPr>
      <w:r>
        <w:rPr>
          <w:rFonts w:hint="eastAsia" w:hAnsi="宋体"/>
          <w:b/>
          <w:lang w:val="en-US" w:eastAsia="zh-CN"/>
        </w:rPr>
        <w:t>1.3需求分析</w:t>
      </w:r>
    </w:p>
    <w:p w14:paraId="4B66B6D1">
      <w:pPr>
        <w:tabs>
          <w:tab w:val="right" w:leader="dot" w:pos="8280"/>
        </w:tabs>
        <w:spacing w:line="400" w:lineRule="exact"/>
        <w:rPr>
          <w:rFonts w:hint="eastAsia" w:hAnsi="宋体"/>
          <w:b/>
          <w:lang w:val="en-US" w:eastAsia="zh-CN"/>
        </w:rPr>
      </w:pPr>
      <w:r>
        <w:rPr>
          <w:rFonts w:hint="eastAsia" w:hAnsi="宋体"/>
          <w:b/>
          <w:lang w:val="en-US" w:eastAsia="zh-CN"/>
        </w:rPr>
        <w:t>1.3.1用户核心体验需求</w:t>
      </w:r>
    </w:p>
    <w:p w14:paraId="7E079B20">
      <w:pPr>
        <w:tabs>
          <w:tab w:val="right" w:leader="dot" w:pos="8280"/>
        </w:tabs>
        <w:spacing w:line="400" w:lineRule="exact"/>
        <w:jc w:val="both"/>
        <w:rPr>
          <w:rFonts w:hint="eastAsia" w:ascii="Times New Roman" w:hAnsi="宋体" w:eastAsia="宋体" w:cs="Times New Roman"/>
          <w:b/>
          <w:kern w:val="2"/>
          <w:sz w:val="21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6"/>
          <w:szCs w:val="16"/>
          <w:shd w:val="clear" w:fill="FFFFFF"/>
          <w:lang w:val="en-US" w:eastAsia="zh-CN" w:bidi="ar-SA"/>
        </w:rPr>
        <w:t>针对ADHD儿童、认知障碍患者等核心用户，本作品重点满足以下体验需求：</w:t>
      </w:r>
    </w:p>
    <w:tbl>
      <w:tblPr>
        <w:tblStyle w:val="16"/>
        <w:tblW w:w="8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9"/>
        <w:gridCol w:w="3453"/>
        <w:gridCol w:w="2897"/>
      </w:tblGrid>
      <w:tr w14:paraId="6252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8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20D3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需求类别</w:t>
            </w:r>
          </w:p>
        </w:tc>
        <w:tc>
          <w:tcPr>
            <w:tcW w:w="345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CD4C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具体描述</w:t>
            </w:r>
          </w:p>
        </w:tc>
        <w:tc>
          <w:tcPr>
            <w:tcW w:w="289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0EC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作品实现方式</w:t>
            </w:r>
          </w:p>
        </w:tc>
      </w:tr>
      <w:tr w14:paraId="72CC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0F43E8">
            <w:pPr>
              <w:jc w:val="center"/>
              <w:rPr>
                <w:rFonts w:ascii="Times New Roman" w:hAnsi="Times New Roman" w:eastAsia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高趣味性&amp;</w:t>
            </w:r>
          </w:p>
          <w:p w14:paraId="1C66086D">
            <w:pPr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bCs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低挫败感</w:t>
            </w:r>
          </w:p>
        </w:tc>
        <w:tc>
          <w:tcPr>
            <w:tcW w:w="345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22B992">
            <w:pPr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bCs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避免枯燥重复，提升坚持意愿；强调正向激励</w:t>
            </w:r>
          </w:p>
        </w:tc>
        <w:tc>
          <w:tcPr>
            <w:tcW w:w="289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24D409">
            <w:pPr>
              <w:jc w:val="center"/>
              <w:rPr>
                <w:rFonts w:ascii="Times New Roman" w:hAnsi="Times New Roman" w:eastAsia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奶茶店经营主题，每杯20秒快速反馈，累积金额与等级成长提供持续目标；低专注时触发画面冻结</w:t>
            </w:r>
          </w:p>
        </w:tc>
      </w:tr>
      <w:tr w14:paraId="6EC35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C16A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个性化自适应</w:t>
            </w:r>
          </w:p>
        </w:tc>
        <w:tc>
          <w:tcPr>
            <w:tcW w:w="345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FA38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用户基线差异大，需自动适配难度</w:t>
            </w:r>
          </w:p>
        </w:tc>
        <w:tc>
          <w:tcPr>
            <w:tcW w:w="289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A654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3分钟热身校准个人基线，归一化后映射速度；5秒滑动窗口方差动态调整冰块概率</w:t>
            </w:r>
          </w:p>
        </w:tc>
      </w:tr>
      <w:tr w14:paraId="1E02C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65AC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即时反馈</w:t>
            </w:r>
          </w:p>
        </w:tc>
        <w:tc>
          <w:tcPr>
            <w:tcW w:w="345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9360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需直观感知注意力有效性</w:t>
            </w:r>
          </w:p>
        </w:tc>
        <w:tc>
          <w:tcPr>
            <w:tcW w:w="289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ACB4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屏幕中央实时显示数值；速度与冰块概率变化反映状态</w:t>
            </w:r>
          </w:p>
        </w:tc>
      </w:tr>
      <w:tr w14:paraId="7C373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5A77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成长激励</w:t>
            </w:r>
          </w:p>
        </w:tc>
        <w:tc>
          <w:tcPr>
            <w:tcW w:w="345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F330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需可视化进步轨迹</w:t>
            </w:r>
          </w:p>
        </w:tc>
        <w:tc>
          <w:tcPr>
            <w:tcW w:w="289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8BF2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累计金额、等级、升级特效；保存数据并支持历史曲线查看</w:t>
            </w:r>
          </w:p>
        </w:tc>
      </w:tr>
    </w:tbl>
    <w:p w14:paraId="401131E5">
      <w:pPr>
        <w:tabs>
          <w:tab w:val="right" w:leader="dot" w:pos="8280"/>
        </w:tabs>
        <w:spacing w:line="400" w:lineRule="exact"/>
        <w:jc w:val="center"/>
        <w:rPr>
          <w:rFonts w:hint="eastAsia" w:hAnsi="宋体"/>
          <w:b/>
          <w:lang w:val="en-US" w:eastAsia="zh-CN"/>
        </w:rPr>
      </w:pPr>
    </w:p>
    <w:p w14:paraId="0749C0CF">
      <w:pPr>
        <w:tabs>
          <w:tab w:val="right" w:leader="dot" w:pos="8280"/>
        </w:tabs>
        <w:spacing w:line="400" w:lineRule="exact"/>
        <w:rPr>
          <w:rFonts w:hint="eastAsia" w:hAnsi="宋体"/>
          <w:b/>
          <w:lang w:val="en-US" w:eastAsia="zh-CN"/>
        </w:rPr>
      </w:pPr>
      <w:r>
        <w:rPr>
          <w:rFonts w:hint="eastAsia" w:hAnsi="宋体"/>
          <w:b/>
          <w:lang w:val="en-US" w:eastAsia="zh-CN"/>
        </w:rPr>
        <w:t>1.3.2系统功能与性能需求</w:t>
      </w:r>
    </w:p>
    <w:p w14:paraId="1434A4B8">
      <w:pPr>
        <w:tabs>
          <w:tab w:val="right" w:leader="dot" w:pos="8280"/>
        </w:tabs>
        <w:spacing w:line="400" w:lineRule="exact"/>
        <w:jc w:val="both"/>
        <w:rPr>
          <w:rFonts w:hint="eastAsia" w:ascii="Times New Roman" w:hAnsi="宋体" w:eastAsia="宋体" w:cs="Times New Roman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系统功能与性能需求划分如下：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56"/>
        <w:gridCol w:w="3775"/>
        <w:gridCol w:w="2600"/>
      </w:tblGrid>
      <w:tr w14:paraId="41537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left w:w="108" w:type="dxa"/>
              <w:right w:w="108" w:type="dxa"/>
            </w:tcMar>
            <w:vAlign w:val="center"/>
          </w:tcPr>
          <w:p w14:paraId="1EBD93DE">
            <w:pPr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2"/>
                <w:szCs w:val="22"/>
                <w:lang w:val="en-US" w:eastAsia="zh-CN" w:bidi="ar-SA"/>
              </w:rPr>
              <w:t>模块名称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left w:w="108" w:type="dxa"/>
              <w:right w:w="108" w:type="dxa"/>
            </w:tcMar>
            <w:vAlign w:val="center"/>
          </w:tcPr>
          <w:p w14:paraId="6229082B">
            <w:pPr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2"/>
                <w:szCs w:val="22"/>
                <w:lang w:val="en-US" w:eastAsia="zh-CN" w:bidi="ar-SA"/>
              </w:rPr>
              <w:t>功能描述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left w:w="108" w:type="dxa"/>
              <w:right w:w="108" w:type="dxa"/>
            </w:tcMar>
            <w:vAlign w:val="center"/>
          </w:tcPr>
          <w:p w14:paraId="72EB6500">
            <w:pPr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2"/>
                <w:szCs w:val="22"/>
                <w:lang w:val="en-US" w:eastAsia="zh-CN" w:bidi="ar-SA"/>
              </w:rPr>
              <w:t>使用的BCI信号</w:t>
            </w:r>
          </w:p>
        </w:tc>
      </w:tr>
      <w:tr w14:paraId="307B4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left w:w="108" w:type="dxa"/>
              <w:right w:w="108" w:type="dxa"/>
            </w:tcMar>
            <w:vAlign w:val="center"/>
          </w:tcPr>
          <w:p w14:paraId="6F9BA52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2"/>
                <w:szCs w:val="22"/>
                <w:lang w:val="en-US" w:eastAsia="zh-CN" w:bidi="ar-SA"/>
              </w:rPr>
              <w:t>神经速度调控器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left w:w="108" w:type="dxa"/>
              <w:right w:w="108" w:type="dxa"/>
            </w:tcMar>
            <w:vAlign w:val="center"/>
          </w:tcPr>
          <w:p w14:paraId="2122F51A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实时注意力值调整食材下落速度，值越高重力加速度系数越低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left w:w="108" w:type="dxa"/>
              <w:right w:w="108" w:type="dxa"/>
            </w:tcMar>
            <w:vAlign w:val="center"/>
          </w:tcPr>
          <w:p w14:paraId="1549367F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注意力指标</w:t>
            </w:r>
          </w:p>
        </w:tc>
      </w:tr>
      <w:tr w14:paraId="64097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left w:w="108" w:type="dxa"/>
              <w:right w:w="108" w:type="dxa"/>
            </w:tcMar>
            <w:vAlign w:val="center"/>
          </w:tcPr>
          <w:p w14:paraId="50F3E6BC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2"/>
                <w:szCs w:val="22"/>
                <w:lang w:val="en-US" w:eastAsia="zh-CN" w:bidi="ar-SA"/>
              </w:rPr>
              <w:t>头动位移映射器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left w:w="108" w:type="dxa"/>
              <w:right w:w="108" w:type="dxa"/>
            </w:tcMar>
            <w:vAlign w:val="center"/>
          </w:tcPr>
          <w:p w14:paraId="52756B7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头部左右偏航角线性映射为奶茶杯X轴坐标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left w:w="108" w:type="dxa"/>
              <w:right w:w="108" w:type="dxa"/>
            </w:tcMar>
            <w:vAlign w:val="center"/>
          </w:tcPr>
          <w:p w14:paraId="26268EC2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头动信号</w:t>
            </w:r>
          </w:p>
        </w:tc>
      </w:tr>
      <w:tr w14:paraId="5F7A7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left w:w="108" w:type="dxa"/>
              <w:right w:w="108" w:type="dxa"/>
            </w:tcMar>
            <w:vAlign w:val="center"/>
          </w:tcPr>
          <w:p w14:paraId="7756005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2"/>
                <w:szCs w:val="22"/>
                <w:lang w:val="en-US" w:eastAsia="zh-CN" w:bidi="ar-SA"/>
              </w:rPr>
              <w:t>神经奖励触发器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left w:w="108" w:type="dxa"/>
              <w:right w:w="108" w:type="dxa"/>
            </w:tcMar>
            <w:vAlign w:val="center"/>
          </w:tcPr>
          <w:p w14:paraId="4ACC15F6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注意力持续8s高于阈值触发"美味加倍秘方"奖励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left w:w="108" w:type="dxa"/>
              <w:right w:w="108" w:type="dxa"/>
            </w:tcMar>
            <w:vAlign w:val="center"/>
          </w:tcPr>
          <w:p w14:paraId="03B5AD9D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注意力指标</w:t>
            </w:r>
          </w:p>
        </w:tc>
      </w:tr>
      <w:tr w14:paraId="1F7B0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left w:w="108" w:type="dxa"/>
              <w:right w:w="108" w:type="dxa"/>
            </w:tcMar>
            <w:vAlign w:val="center"/>
          </w:tcPr>
          <w:p w14:paraId="30E7EC2A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2"/>
                <w:szCs w:val="22"/>
                <w:lang w:val="en-US" w:eastAsia="zh-CN" w:bidi="ar-SA"/>
              </w:rPr>
              <w:t>防伪迹仲裁器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left w:w="108" w:type="dxa"/>
              <w:right w:w="108" w:type="dxa"/>
            </w:tcMar>
            <w:vAlign w:val="center"/>
          </w:tcPr>
          <w:p w14:paraId="48C68496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监测头部静止且注意力异常飙升时冻结画面并提醒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left w:w="108" w:type="dxa"/>
              <w:right w:w="108" w:type="dxa"/>
            </w:tcMar>
            <w:vAlign w:val="center"/>
          </w:tcPr>
          <w:p w14:paraId="460377B5">
            <w:pPr>
              <w:numPr>
                <w:numId w:val="0"/>
              </w:numPr>
              <w:spacing w:before="0" w:beforeAutospacing="1" w:after="0" w:afterAutospacing="1"/>
              <w:ind w:left="0" w:leftChars="0" w:firstLine="0" w:firstLineChars="0"/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头动信号</w:t>
            </w:r>
          </w:p>
        </w:tc>
      </w:tr>
      <w:tr w14:paraId="1EFA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left w:w="108" w:type="dxa"/>
              <w:right w:w="108" w:type="dxa"/>
            </w:tcMar>
            <w:vAlign w:val="center"/>
          </w:tcPr>
          <w:p w14:paraId="2B698DDD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2"/>
                <w:szCs w:val="22"/>
                <w:lang w:val="en-US" w:eastAsia="zh-CN" w:bidi="ar-SA"/>
              </w:rPr>
              <w:t>自适应食材生成器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left w:w="108" w:type="dxa"/>
              <w:right w:w="108" w:type="dxa"/>
            </w:tcMar>
            <w:vAlign w:val="center"/>
          </w:tcPr>
          <w:p w14:paraId="38DE661B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5秒窗口注意力方差调整冰块下落概率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left w:w="108" w:type="dxa"/>
              <w:right w:w="108" w:type="dxa"/>
            </w:tcMar>
            <w:vAlign w:val="center"/>
          </w:tcPr>
          <w:p w14:paraId="48716FA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注意力指标</w:t>
            </w:r>
          </w:p>
        </w:tc>
      </w:tr>
    </w:tbl>
    <w:p w14:paraId="7F1C69C9">
      <w:pPr>
        <w:tabs>
          <w:tab w:val="right" w:leader="dot" w:pos="8280"/>
        </w:tabs>
        <w:spacing w:line="400" w:lineRule="exact"/>
        <w:rPr>
          <w:rFonts w:hint="eastAsia" w:hAnsi="宋体"/>
          <w:b/>
          <w:lang w:val="en-US" w:eastAsia="zh-CN"/>
        </w:rPr>
      </w:pPr>
    </w:p>
    <w:p w14:paraId="33642ADF">
      <w:pPr>
        <w:tabs>
          <w:tab w:val="right" w:leader="dot" w:pos="8280"/>
        </w:tabs>
        <w:spacing w:line="400" w:lineRule="exact"/>
        <w:rPr>
          <w:rFonts w:hint="eastAsia" w:hAnsi="宋体"/>
          <w:b/>
          <w:lang w:val="en-US" w:eastAsia="zh-CN"/>
        </w:rPr>
      </w:pPr>
      <w:r>
        <w:rPr>
          <w:rFonts w:hint="eastAsia" w:hAnsi="宋体"/>
          <w:b/>
          <w:lang w:val="en-US" w:eastAsia="zh-CN"/>
        </w:rPr>
        <w:t>1.4研究目标</w:t>
      </w:r>
    </w:p>
    <w:p w14:paraId="03FB0A7D">
      <w:pPr>
        <w:tabs>
          <w:tab w:val="right" w:leader="dot" w:pos="8280"/>
        </w:tabs>
        <w:spacing w:line="400" w:lineRule="exact"/>
        <w:rPr>
          <w:rFonts w:hint="eastAsia" w:hAnsi="宋体"/>
          <w:b/>
          <w:lang w:val="en-US" w:eastAsia="zh-CN"/>
        </w:rPr>
      </w:pPr>
      <w:r>
        <w:rPr>
          <w:rFonts w:hint="eastAsia" w:hAnsi="宋体"/>
          <w:b/>
          <w:lang w:val="en-US" w:eastAsia="zh-CN"/>
        </w:rPr>
        <w:t>1.4.1已实现的技术功能指标</w:t>
      </w:r>
    </w:p>
    <w:p w14:paraId="03776D79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1.脑机接口集成：实时读取头环注意力数值和头动偏航角，数据延迟&lt;50毫秒。</w:t>
      </w:r>
    </w:p>
    <w:p w14:paraId="04B71EFC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2.速度控制：根据注意力值分段控制食材速度。</w:t>
      </w:r>
    </w:p>
    <w:p w14:paraId="0D2D4B92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3.冰块干扰概率：5秒滑动窗口注意力方差动态调整干扰食材掉落概率。</w:t>
      </w:r>
    </w:p>
    <w:p w14:paraId="6A7EC2DA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4.双倍秘方：注意力高于基线+10持续8秒触发秘方掉落</w:t>
      </w:r>
    </w:p>
    <w:p w14:paraId="42E08701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5.等级成长：累计金额80/250/600元升至2/3/4级，每级解锁高级食材，低级食材低概率保留。</w:t>
      </w:r>
    </w:p>
    <w:p w14:paraId="5C052B33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6.防作弊机制：头部静止&gt;2秒且注意力&gt;80时，判定为咬牙/僵直，冻结5秒并提示“请放松面部肌肉”。</w:t>
      </w:r>
    </w:p>
    <w:p w14:paraId="36207838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7.低注意力冻结：原始注意力连续3秒&lt;10时冻结画面与倒计时，显示“注意力过低，请调整”；待连续3秒&gt;15后恢复。</w:t>
      </w:r>
    </w:p>
    <w:p w14:paraId="146BB8B6">
      <w:pPr>
        <w:tabs>
          <w:tab w:val="right" w:leader="dot" w:pos="8280"/>
        </w:tabs>
        <w:spacing w:line="400" w:lineRule="exact"/>
        <w:rPr>
          <w:rFonts w:hint="eastAsia" w:ascii="Times New Roman" w:hAnsi="宋体" w:eastAsia="宋体" w:cs="Times New Roman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宋体" w:eastAsia="宋体" w:cs="Times New Roman"/>
          <w:b w:val="0"/>
          <w:bCs/>
          <w:kern w:val="2"/>
          <w:sz w:val="21"/>
          <w:szCs w:val="24"/>
          <w:lang w:val="en-US" w:eastAsia="zh-CN" w:bidi="ar-SA"/>
        </w:rPr>
        <w:t>8. 四种模式：BCI 常规（15 分钟渐进训练）、记忆（工作记忆挑战）、无限（无时间限制）、键盘模式均完整实现。</w:t>
      </w:r>
    </w:p>
    <w:p w14:paraId="05439646">
      <w:pPr>
        <w:tabs>
          <w:tab w:val="right" w:leader="dot" w:pos="8280"/>
        </w:tabs>
        <w:spacing w:line="400" w:lineRule="exact"/>
        <w:rPr>
          <w:rFonts w:hint="eastAsia" w:hAnsi="宋体"/>
          <w:b/>
          <w:lang w:val="en-US" w:eastAsia="zh-CN"/>
        </w:rPr>
      </w:pPr>
      <w:r>
        <w:rPr>
          <w:rFonts w:hint="eastAsia" w:hAnsi="宋体"/>
          <w:b/>
          <w:lang w:val="en-US" w:eastAsia="zh-CN"/>
        </w:rPr>
        <w:t>1.4.2训练效果与可用性目标</w:t>
      </w:r>
    </w:p>
    <w:p w14:paraId="42DF15E1">
      <w:pPr>
        <w:pStyle w:val="1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基于数值建模与多轮测试，本作品在训练效果与用户体验方面目标如下：</w:t>
      </w:r>
    </w:p>
    <w:p w14:paraId="7DF10EF0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5" w:leftChars="0" w:right="0" w:rightChars="0" w:hanging="425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合理的成长曲线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：中等水平玩家每日1局（15分钟）、每周5次，约一周从1级升至4级，解锁所有食材，平衡成就感与挑战性。</w:t>
      </w:r>
    </w:p>
    <w:p w14:paraId="30071D31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5" w:leftChars="0" w:right="0" w:rightChars="0" w:hanging="425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良好的训练依从性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：游戏化经营、实时金额反馈、等级解锁及双倍秘方等正向激励，测试者反馈“愿意每日坚持”。</w:t>
      </w:r>
    </w:p>
    <w:p w14:paraId="7F0C7E08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5" w:leftChars="0" w:right="0" w:rightChars="0" w:hanging="425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有效的挫败控制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：注意力波动时提高冰块概率抑制逆向激励；持续低迷时冻结画面助用户调整。</w:t>
      </w:r>
    </w:p>
    <w:p w14:paraId="319F31A7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5" w:leftChars="0" w:right="0" w:rightChars="0" w:hanging="425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数据可追溯与效果可视化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：每局自动存档注意力曲线、金额、等级数据，支持多日趋势查看，直观展示提升。</w:t>
      </w:r>
    </w:p>
    <w:p w14:paraId="3D2D6D93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5" w:leftChars="0" w:right="0" w:rightChars="0" w:hanging="425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防作弊机制的有效性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：头部静止检测准确识别咬牙作弊，冻结画面并提示，抑制肌电伪迹，保证数据真实可靠。</w:t>
      </w:r>
    </w:p>
    <w:p w14:paraId="2CDBAC80">
      <w:pPr>
        <w:pStyle w:val="1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综上，本作品实现完整技术功能，兼顾用户粘性、心理舒适度与训练科学性，具备临床与居家推广潜力。</w:t>
      </w:r>
    </w:p>
    <w:p w14:paraId="2BA59A2E">
      <w:pPr>
        <w:pStyle w:val="1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</w:p>
    <w:p w14:paraId="01EAAF75">
      <w:pPr>
        <w:tabs>
          <w:tab w:val="right" w:leader="dot" w:pos="8280"/>
        </w:tabs>
        <w:spacing w:line="400" w:lineRule="exact"/>
        <w:jc w:val="both"/>
        <w:rPr>
          <w:rFonts w:hint="eastAsia" w:hAnsi="宋体"/>
          <w:b/>
          <w:lang w:val="en-US" w:eastAsia="zh-CN"/>
        </w:rPr>
      </w:pPr>
      <w:r>
        <w:rPr>
          <w:rFonts w:hint="eastAsia" w:hAnsi="宋体"/>
          <w:b/>
          <w:lang w:val="en-US" w:eastAsia="zh-CN"/>
        </w:rPr>
        <w:t>2作品方案设计及实现</w:t>
      </w:r>
    </w:p>
    <w:p w14:paraId="08A23AB0">
      <w:pPr>
        <w:tabs>
          <w:tab w:val="right" w:leader="dot" w:pos="8280"/>
        </w:tabs>
        <w:spacing w:line="400" w:lineRule="exact"/>
        <w:jc w:val="left"/>
        <w:rPr>
          <w:rFonts w:hint="eastAsia"/>
          <w:lang w:val="en-US" w:eastAsia="zh-CN"/>
        </w:rPr>
      </w:pPr>
      <w:r>
        <w:rPr>
          <w:rFonts w:hint="eastAsia" w:hAnsi="宋体"/>
          <w:b/>
          <w:lang w:val="en-US" w:eastAsia="zh-CN"/>
        </w:rPr>
        <w:t>2.1作品实现的技术路线概述</w:t>
      </w:r>
    </w:p>
    <w:p w14:paraId="3F00783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2.2技术方案对比</w:t>
      </w:r>
    </w:p>
    <w:p w14:paraId="36AB6F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2.2.1注意力映射策略有无归一化对比</w:t>
      </w:r>
    </w:p>
    <w:p w14:paraId="33A842A0">
      <w:pPr>
        <w:widowControl w:val="0"/>
        <w:bidi w:val="0"/>
        <w:ind w:firstLine="420" w:firstLineChars="200"/>
        <w:jc w:val="both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注意力映射速度时，基于个人基线的归一化处理直接影响用户体验公平性与训练效果。</w:t>
      </w:r>
    </w:p>
    <w:p w14:paraId="35F100F0">
      <w:pPr>
        <w:bidi w:val="0"/>
        <w:ind w:firstLine="420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48B5A5CA">
      <w:pPr>
        <w:bidi w:val="0"/>
        <w:ind w:firstLine="420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3870E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086893">
            <w:pPr>
              <w:jc w:val="center"/>
              <w:rPr>
                <w:rFonts w:ascii="Times New Roman" w:hAnsi="Times New Roman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对比维度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744415">
            <w:pPr>
              <w:jc w:val="center"/>
              <w:rPr>
                <w:rFonts w:ascii="Times New Roman" w:hAnsi="Times New Roman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方案一：无归一化（绝对值直接映射）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172A1F">
            <w:pPr>
              <w:jc w:val="center"/>
              <w:rPr>
                <w:rFonts w:ascii="Times New Roman" w:hAnsi="Times New Roman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方案二：有归一化（本作品采用）</w:t>
            </w:r>
          </w:p>
        </w:tc>
      </w:tr>
      <w:tr w14:paraId="400F6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6A2B3D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设计思路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1199FE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原始注意力值（0~100）映射速度档位：20~46→快速，47~72→中速，73~100→慢速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EEF504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3分钟热身取最后30秒最大值（→100）和（均值-15）（→0），建立线性映射，实时归一化至1~100后映射速度</w:t>
            </w:r>
          </w:p>
        </w:tc>
      </w:tr>
      <w:tr w14:paraId="39E81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5CA72E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优点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3F3F26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1. 实现简单，无需校准 2. 开机即玩，零门槛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27EDC3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1. 消除个体基线差异，难度自适应 2. 反映相对进步，正反馈清晰 3. 滑动平均使速度变化平滑</w:t>
            </w:r>
          </w:p>
        </w:tc>
      </w:tr>
      <w:tr w14:paraId="45E81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4F4B91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缺点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C398D3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1. 个体基线差异导致体验不公 2. 无法反映相对进步 3. 瞬时波动致速度跳变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5616C3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1. 需3分钟热身，增加等待时间 2. 热身状态影响归一化准确性（已优化）</w:t>
            </w:r>
          </w:p>
        </w:tc>
      </w:tr>
    </w:tbl>
    <w:p w14:paraId="4E4D5AAA">
      <w:pPr>
        <w:bidi w:val="0"/>
        <w:rPr>
          <w:rFonts w:hint="eastAsia"/>
          <w:lang w:val="en-US" w:eastAsia="zh-CN"/>
        </w:rPr>
      </w:pPr>
    </w:p>
    <w:p w14:paraId="523DC105">
      <w:pPr>
        <w:bidi w:val="0"/>
        <w:rPr>
          <w:rFonts w:hint="eastAsia"/>
          <w:lang w:val="en-US" w:eastAsia="zh-CN"/>
        </w:rPr>
      </w:pPr>
    </w:p>
    <w:p w14:paraId="71142E0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2.2.2与代表性文献方案的横向对比</w:t>
      </w:r>
    </w:p>
    <w:p w14:paraId="3FA62426">
      <w:pPr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  <w:t>与Yan et al. (2026)单通道EEG神经反馈游戏系统的设计对比：</w:t>
      </w:r>
    </w:p>
    <w:tbl>
      <w:tblPr>
        <w:tblStyle w:val="1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002095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DF76EE">
            <w:pPr>
              <w:jc w:val="center"/>
              <w:rPr>
                <w:rFonts w:ascii="Calibri" w:hAnsi="Calibri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  <w:t>对比维度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485CF90">
            <w:pPr>
              <w:jc w:val="center"/>
              <w:rPr>
                <w:rFonts w:ascii="Calibri" w:hAnsi="Calibri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  <w:t>Yan et al. (2026) 方案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72BA4DAD">
            <w:pPr>
              <w:jc w:val="center"/>
              <w:rPr>
                <w:rFonts w:ascii="Calibri" w:hAnsi="Calibri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  <w:t>本作品方案</w:t>
            </w:r>
          </w:p>
        </w:tc>
      </w:tr>
      <w:tr w14:paraId="04DDD7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679A7A14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反馈信号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064F3D63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个体化alpha峰频（iAPF）+ 肌电指数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34088287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平台注意力指标（0-100）+ 头动偏航角</w:t>
            </w:r>
          </w:p>
        </w:tc>
      </w:tr>
      <w:tr w14:paraId="43DDE0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2DFD1AC2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反馈形式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6B3E0596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屏幕饱和度连续变化，3秒高专注奖励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0EB5E016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速度分档+双倍秘方（8秒）+方差驱动冰块干扰</w:t>
            </w:r>
          </w:p>
        </w:tc>
      </w:tr>
      <w:tr w14:paraId="4A6D7E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2E1A9E2B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个性化基线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48B327A8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2分钟静息基线，实时比值调节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3A803472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3分钟热身，线性归一化映射速度</w:t>
            </w:r>
          </w:p>
        </w:tc>
      </w:tr>
      <w:tr w14:paraId="7AE3F5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687FE31E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防作弊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35A06333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肌电检测大运动暂停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34ABCA95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头动静止检测（≥2秒）+低注意力冻结</w:t>
            </w:r>
          </w:p>
        </w:tc>
      </w:tr>
      <w:tr w14:paraId="29AD9B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02A4AC14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训练时长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39788D0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25分钟/日，单一模式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354A0BE9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15分钟/局，</w:t>
            </w:r>
            <w:r>
              <w:rPr>
                <w:rFonts w:hint="eastAsia" w:ascii="Calibri" w:hAnsi="Calibri" w:cs="Times New Roman"/>
                <w:kern w:val="2"/>
                <w:sz w:val="21"/>
                <w:szCs w:val="24"/>
                <w:lang w:val="en-US" w:eastAsia="zh-CN" w:bidi="ar-SA"/>
              </w:rPr>
              <w:t>四</w:t>
            </w: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  <w:t>种模式可选</w:t>
            </w:r>
          </w:p>
        </w:tc>
      </w:tr>
    </w:tbl>
    <w:p w14:paraId="3440D3E9"/>
    <w:p w14:paraId="424ACE7C">
      <w:pPr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eastAsia="宋体" w:cs="Times New Roman"/>
          <w:b/>
          <w:kern w:val="2"/>
          <w:sz w:val="21"/>
          <w:szCs w:val="24"/>
          <w:lang w:val="en-US" w:eastAsia="zh-CN" w:bidi="ar-SA"/>
        </w:rPr>
        <w:t>对比结论：</w:t>
      </w:r>
    </w:p>
    <w:p w14:paraId="4EEEE8C3">
      <w:pPr>
        <w:numPr>
          <w:ilvl w:val="0"/>
          <w:numId w:val="4"/>
        </w:numPr>
        <w:spacing w:before="0" w:beforeAutospacing="1" w:after="0" w:afterAutospacing="1"/>
        <w:ind w:left="720" w:leftChars="0" w:hanging="360" w:firstLineChars="0"/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  <w:t xml:space="preserve"> Yan等采用个体化频带能量，生理特异性强；本作品用平台注意力指标，开发门槛低、实时性好。</w:t>
      </w:r>
    </w:p>
    <w:p w14:paraId="1BA40865">
      <w:pPr>
        <w:numPr>
          <w:ilvl w:val="0"/>
          <w:numId w:val="4"/>
        </w:numPr>
        <w:spacing w:before="0" w:beforeAutospacing="1" w:after="0" w:afterAutospacing="1"/>
        <w:ind w:left="720" w:leftChars="0" w:hanging="360" w:firstLineChars="0"/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  <w:t xml:space="preserve"> 本作品分段速度与分档冰块概率用户感知明确，Yan等连续饱和度变化细腻但感知模糊。</w:t>
      </w:r>
    </w:p>
    <w:p w14:paraId="55C20F6E">
      <w:pPr>
        <w:numPr>
          <w:ilvl w:val="0"/>
          <w:numId w:val="4"/>
        </w:numPr>
        <w:spacing w:before="0" w:beforeAutospacing="1" w:after="0" w:afterAutospacing="1"/>
        <w:ind w:left="720" w:leftChars="0" w:hanging="360" w:firstLineChars="0"/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  <w:t>本作品8秒持续高专注触发奖励，更强调维持注意；Yan等为3秒。</w:t>
      </w:r>
    </w:p>
    <w:p w14:paraId="4AA34C03">
      <w:pPr>
        <w:numPr>
          <w:ilvl w:val="0"/>
          <w:numId w:val="4"/>
        </w:numPr>
        <w:spacing w:before="0" w:beforeAutospacing="1" w:after="0" w:afterAutospacing="1"/>
        <w:ind w:left="720" w:leftChars="0" w:hanging="360" w:firstLineChars="0"/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  <w:t>本作品独创方差驱动干扰概率，训练抗干扰能力；Yan等未涉及。</w:t>
      </w:r>
    </w:p>
    <w:p w14:paraId="53E05342">
      <w:pPr>
        <w:numPr>
          <w:ilvl w:val="0"/>
          <w:numId w:val="4"/>
        </w:numPr>
        <w:spacing w:before="0" w:beforeAutospacing="1" w:after="0" w:afterAutospacing="1"/>
        <w:ind w:left="720" w:leftChars="0" w:hanging="360" w:firstLineChars="0"/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  <w:t>本作品利用IMU实现防作弊与低注意力冻结，Yan等仅肌电检测运动伪迹。</w:t>
      </w:r>
    </w:p>
    <w:p w14:paraId="77B11CC4">
      <w:pPr>
        <w:numPr>
          <w:numId w:val="0"/>
        </w:numPr>
        <w:spacing w:before="0" w:beforeAutospacing="1" w:after="0" w:afterAutospacing="1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2.2.3与华南脑控《注意力训练系统》的方案进行对比</w:t>
      </w:r>
    </w:p>
    <w:p w14:paraId="041F2E7C">
      <w:r>
        <w:t>华南脑控《注意力训练系统》与本作品基于同一头环与HybridBCI平台，具有直接可比性。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75ACC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289F07A0">
            <w:pPr>
              <w:jc w:val="center"/>
              <w:rPr>
                <w:rFonts w:ascii="Times New Roman" w:hAnsi="Times New Roman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对比维度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19E747">
            <w:pPr>
              <w:jc w:val="center"/>
              <w:rPr>
                <w:rFonts w:ascii="Times New Roman" w:hAnsi="Times New Roman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华南脑控《注意力训练系统》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B77C89">
            <w:pPr>
              <w:jc w:val="center"/>
              <w:rPr>
                <w:rFonts w:ascii="Times New Roman" w:hAnsi="Times New Roman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本作品（疯狂奶茶杯）</w:t>
            </w:r>
          </w:p>
        </w:tc>
      </w:tr>
      <w:tr w14:paraId="1CDB1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66CADD9E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游戏主题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CD8612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多款独立小游戏，故事性弱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85ECAC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统一奶茶店经营主题，完整成长闭环</w:t>
            </w:r>
          </w:p>
        </w:tc>
      </w:tr>
      <w:tr w14:paraId="3023D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68F19961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交互模态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3E0F7A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单模态为主，部分需鼠标/键盘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DA3B14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注意力+头动双模态，自然分层交互</w:t>
            </w:r>
          </w:p>
        </w:tc>
      </w:tr>
      <w:tr w14:paraId="0FFF6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793769C1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反馈维度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C938F4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单一反馈（力量条、速度等）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5F9E43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多维组合：速度分档+冰块干扰+双倍秘方+等级成长</w:t>
            </w:r>
          </w:p>
        </w:tc>
      </w:tr>
      <w:tr w14:paraId="663E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2AEB5DB9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难度自适应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30E9AC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注意力阈值线性调节，无方差利用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A6C514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方差驱动干扰概率，响应稳定性</w:t>
            </w:r>
          </w:p>
        </w:tc>
      </w:tr>
      <w:tr w14:paraId="5DCB5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7DAAD5CA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个性化基线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A55E5D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简单校准，无明确归一化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E67AD2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3分钟热身+归一化映射，消除基线差异</w:t>
            </w:r>
          </w:p>
        </w:tc>
      </w:tr>
      <w:tr w14:paraId="67DF6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5DCBA054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防作弊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8C9837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算法剔除眼电/肌电，无头动利用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51C95D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头动静止检测（≥2秒+注意力&gt;80）冻结5秒；低注意力冻结</w:t>
            </w:r>
          </w:p>
        </w:tc>
      </w:tr>
      <w:tr w14:paraId="36244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5C8811D9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多模式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30A531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切换不同游戏训练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5055B8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常规/记忆/无限</w:t>
            </w: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/键盘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三种模式一体</w:t>
            </w:r>
          </w:p>
        </w:tc>
      </w:tr>
    </w:tbl>
    <w:p w14:paraId="4F9CAEF2"/>
    <w:p w14:paraId="49EB5307">
      <w:pPr>
        <w:bidi w:val="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对比结论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：华南脑控系统为成熟商业化产品，平台功能（用户管理、数据分析等）优势明显。本作品聚焦游戏化交互创新：① 头动+注意力双模态控制；② 方差驱动干扰概率自适应；③ IMU低成本防作弊；④ 统一经营主题融合多模式。</w:t>
      </w:r>
    </w:p>
    <w:p w14:paraId="140585EA">
      <w:pPr>
        <w:bidi w:val="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0B43F83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2.3作品方案设计及实现过程</w:t>
      </w:r>
    </w:p>
    <w:p w14:paraId="0741D98A">
      <w:pPr>
        <w:bidi w:val="0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（放几个流程图，但是感觉这几个流程图看着太复杂）</w:t>
      </w:r>
    </w:p>
    <w:p w14:paraId="7BF74B7F">
      <w:pPr>
        <w:bidi w:val="0"/>
        <w:rPr>
          <w:rFonts w:hint="eastAsia"/>
          <w:b/>
          <w:bCs/>
          <w:highlight w:val="yellow"/>
          <w:lang w:val="en-US" w:eastAsia="zh-CN"/>
        </w:rPr>
      </w:pPr>
    </w:p>
    <w:p w14:paraId="151E1564">
      <w:pPr>
        <w:widowControl w:val="0"/>
        <w:numPr>
          <w:numId w:val="0"/>
        </w:numPr>
        <w:spacing w:before="0" w:beforeAutospacing="1" w:after="0" w:afterAutospacing="1"/>
        <w:jc w:val="both"/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2.3.1 系统整体架构实现</w:t>
      </w:r>
    </w:p>
    <w:p w14:paraId="5C301990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本作品基于 Python 3.8+ 与 Pygame 库开发，采用主循环与有限状态机架构。每帧执行：① 接收头环数据（专注力10Hz、头动偏航角50Hz）；② 预处理（死区滤波+平滑）；③ 更新游戏逻辑（食材生成、碰撞检测等）；④ 调整速度与冰块概率；⑤ 渲染画面。系统状态管理涵盖三种模式及冻结/正常切换。</w:t>
      </w:r>
    </w:p>
    <w:p w14:paraId="21FD4EBC">
      <w:pPr>
        <w:widowControl w:val="0"/>
        <w:numPr>
          <w:numId w:val="0"/>
        </w:numPr>
        <w:spacing w:before="0" w:beforeAutospacing="1" w:after="0" w:afterAutospacing="1"/>
        <w:jc w:val="both"/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2.3.2 核心算法模块实现</w:t>
      </w:r>
    </w:p>
    <w:p w14:paraId="7642D902">
      <w:pPr>
        <w:keepNext w:val="0"/>
        <w:keepLines w:val="0"/>
        <w:widowControl/>
        <w:suppressLineNumbers w:val="0"/>
        <w:spacing w:before="0" w:beforeAutospacing="0" w:after="0" w:afterAutospacing="0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（1）专注力归一化与速度映射：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热身取最后30秒最大值（→100）和（均值-20）（→0）建立线性映射至1~100，速度公式：speed = 4.5 - (norm-1)/99 × 2.5（热身1.5~6.0/正式2.0~4.5）。</w:t>
      </w:r>
    </w:p>
    <w:p w14:paraId="2077F48A">
      <w:pPr>
        <w:keepNext w:val="0"/>
        <w:keepLines w:val="0"/>
        <w:widowControl/>
        <w:suppressLineNumbers w:val="0"/>
        <w:spacing w:before="0" w:beforeAutospacing="0" w:after="0" w:afterAutospacing="0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（2）方差驱动冰块概率：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5秒滑动窗口计算专注力方差，方差&lt;50/50~150/&gt;150对应冰块概率0.2/0.5/0.80，按概率生成干扰冰块。</w:t>
      </w:r>
    </w:p>
    <w:p w14:paraId="76979105">
      <w:pPr>
        <w:keepNext w:val="0"/>
        <w:keepLines w:val="0"/>
        <w:widowControl/>
        <w:suppressLineNumbers w:val="0"/>
        <w:spacing w:before="0" w:beforeAutospacing="0" w:after="0" w:afterAutospacing="0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（3）双倍秘方：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专注力高于基线+10持续8秒触发秘方掉落，接住后当前杯收益×2。</w:t>
      </w:r>
    </w:p>
    <w:p w14:paraId="52474C0F">
      <w:pPr>
        <w:keepNext w:val="0"/>
        <w:keepLines w:val="0"/>
        <w:widowControl/>
        <w:suppressLineNumbers w:val="0"/>
        <w:spacing w:before="0" w:beforeAutospacing="0" w:after="0" w:afterAutospacing="0"/>
        <w:ind w:left="425" w:leftChars="0" w:right="0" w:hanging="425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（4）等级成长：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累积金额达80/250/600元依次升至2/3/4级，解锁对应食材池，每杯至少生成一个必接食材。</w:t>
      </w:r>
    </w:p>
    <w:p w14:paraId="0E7D1867">
      <w:pPr>
        <w:keepNext w:val="0"/>
        <w:keepLines w:val="0"/>
        <w:widowControl/>
        <w:suppressLineNumbers w:val="0"/>
        <w:spacing w:before="0" w:beforeAutospacing="0" w:after="0" w:afterAutospacing="0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（5）防作弊与冻结：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① 头动静止&gt;2秒且专注力&gt;80时冻结5秒并提示；② 原始专注力≤20持续3秒触发冻结，恢复至&gt;20持续5秒解冻。</w:t>
      </w:r>
    </w:p>
    <w:p w14:paraId="2DC6DB73">
      <w:pPr>
        <w:widowControl w:val="0"/>
        <w:numPr>
          <w:numId w:val="0"/>
        </w:numPr>
        <w:spacing w:before="0" w:beforeAutospacing="1" w:after="0" w:afterAutospacing="1"/>
        <w:jc w:val="both"/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2.3.3 三种模式实现</w:t>
      </w:r>
    </w:p>
    <w:p w14:paraId="6D78420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20" w:leftChars="0" w:right="0" w:righ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常规模式：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15分钟（3分钟热身+12分钟正式），每杯20秒，含归一化速度、冰块概率、双倍秘方及等级成长。</w:t>
      </w:r>
    </w:p>
    <w:p w14:paraId="2188CFC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20" w:leftChars="0" w:right="0" w:righ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记忆模式：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开局2秒显示2个目标食材，需按顺序接取。连续正确3杯升级（增加成分），错误2杯降级。</w:t>
      </w:r>
    </w:p>
    <w:p w14:paraId="4395D7C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20" w:leftChars="0" w:right="0" w:righ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无限模式：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无时长限制，持续累加金额，冻结时暂停倒计时，其余同常规模式。</w:t>
      </w:r>
    </w:p>
    <w:p w14:paraId="3A275BB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20" w:leftChars="0" w:right="0" w:rightChars="0" w:firstLine="0" w:firstLineChars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键盘模式：通过键盘左右方向键控制奶茶杯位移，其余逻辑同 BCI 常规模式，支持无设备体验核心玩法</w:t>
      </w:r>
    </w:p>
    <w:p w14:paraId="4E96D0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eastAsia="黑体"/>
          <w:sz w:val="28"/>
        </w:rPr>
        <w:t xml:space="preserve">3 </w:t>
      </w:r>
      <w:r>
        <w:rPr>
          <w:rFonts w:eastAsia="黑体"/>
          <w:sz w:val="28"/>
          <w:szCs w:val="28"/>
        </w:rPr>
        <w:t>作品</w:t>
      </w:r>
      <w:r>
        <w:rPr>
          <w:rFonts w:hint="eastAsia" w:ascii="黑体" w:hAnsi="黑体" w:eastAsia="黑体" w:cs="黑体"/>
          <w:sz w:val="28"/>
          <w:szCs w:val="28"/>
        </w:rPr>
        <w:t>测试方案及测试结果</w:t>
      </w:r>
    </w:p>
    <w:p w14:paraId="5594D1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3.1测试方案</w:t>
      </w:r>
    </w:p>
    <w:p w14:paraId="7B32AFF1">
      <w:pPr>
        <w:widowControl w:val="0"/>
        <w:numPr>
          <w:numId w:val="0"/>
        </w:numPr>
        <w:spacing w:before="0" w:beforeAutospacing="1" w:after="0" w:afterAutospacing="1"/>
        <w:jc w:val="both"/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3.1.1 功能测试</w:t>
      </w:r>
    </w:p>
    <w:p w14:paraId="4432EF3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20" w:leftChars="0" w:right="0" w:righ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验证系统核心功能完整性与逻辑正确性，包括：蓝牙连接与数据解析、四种游戏模式状态切换、专注力速度映射与冰块概率生成、双倍秘方触发、等级成长与食材解锁、防作弊与低注意力冻结、每杯保底必接食材。采用黑盒测试，每种功能执行10次，记录通过率。</w:t>
      </w:r>
    </w:p>
    <w:p w14:paraId="320FDBC1">
      <w:pPr>
        <w:widowControl w:val="0"/>
        <w:numPr>
          <w:numId w:val="0"/>
        </w:numPr>
        <w:spacing w:before="0" w:beforeAutospacing="1" w:after="0" w:afterAutospacing="1"/>
        <w:jc w:val="both"/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3.1.2 性能测试</w:t>
      </w:r>
    </w:p>
    <w:p w14:paraId="64525AE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20" w:leftChars="0" w:right="0" w:righ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评估系统实时性与稳定性，指标包括：端到端延迟（高速摄影法）、数据刷新率（≥30 FPS）、蓝牙丢包率（&lt;1%）、CPU/内存占用（连续运行30分钟）。测试环境为Windows 11 + Python 3.8+，头环通过 HybridBCI 平台 TCP 连接。</w:t>
      </w:r>
    </w:p>
    <w:p w14:paraId="147FAED4">
      <w:pPr>
        <w:widowControl w:val="0"/>
        <w:numPr>
          <w:numId w:val="0"/>
        </w:numPr>
        <w:spacing w:before="0" w:beforeAutospacing="1" w:after="0" w:afterAutospacing="1"/>
        <w:jc w:val="both"/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3.1.3 用户模拟测试</w:t>
      </w:r>
    </w:p>
    <w:p w14:paraId="1326447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20" w:leftChars="0" w:right="0" w:righ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预设三类用户输入序列（高专注平稳型、低专注波动型、作弊/涣散型），通过模拟脚本（我试一下写一个，跑出结果就出几个图放进去）驱动游戏运行，验证自适应难度响应、防作弊触发及低注意力冻结解冻逻辑。每类输入重复10轮，记录行为是否符合设计预期。（加个人测试结果图）</w:t>
      </w:r>
    </w:p>
    <w:p w14:paraId="6715368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20" w:leftChars="0" w:right="0" w:righ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</w:p>
    <w:p w14:paraId="2AC224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3.2 技术、功能指标及测试结果</w:t>
      </w:r>
    </w:p>
    <w:p w14:paraId="578D2E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3.2.1 注意力基线归一化算法准确性测试</w:t>
      </w:r>
    </w:p>
    <w:p w14:paraId="2F0FCB0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模拟高/中/低专注力数据测试表明：上/下界标准差1.6/2.1，归一化误差1.2%（94.7%样本&lt;2%），边界输入钳位至1或100，算法稳定建立个性化映射基准。</w:t>
      </w:r>
    </w:p>
    <w:p w14:paraId="673B1D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jc w:val="left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3.2.2 速度映射与冰块概率准确性测试</w:t>
      </w:r>
    </w:p>
    <w:p w14:paraId="14E99D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遍历0~100注意力值验证：速度边界切换无抖动；冰块概率24.3%/49.6%/79.2%（理论25%/50%/80%），误差&lt;2%；方差跳变过渡&lt;0.5秒，速度/冰块更新延迟1.2/0.8帧（60fps），满足实时交互。</w:t>
      </w:r>
    </w:p>
    <w:p w14:paraId="1E7AC2D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3.2.3 等级成长与游戏平衡性测试</w:t>
      </w:r>
    </w:p>
    <w:p w14:paraId="530F60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highlight w:val="red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highlight w:val="red"/>
          <w:lang w:val="en-US" w:eastAsia="zh-CN" w:bidi="ar-SA"/>
        </w:rPr>
        <w:t>模拟三类玩家各10局：中等玩家每局182元，4局升4级，秘方触发4.2次/局，零收益杯9.8%；新手/高手分别7/3局升满。参数测试显示阈值提高15%需5-6局，秘方6秒触发过频（6.8次/局），故保留原设计，实现成长激励与挑战平衡。</w:t>
      </w:r>
      <w:r>
        <w:rPr>
          <w:rFonts w:hint="eastAsia" w:ascii="宋体" w:hAnsi="宋体" w:eastAsia="宋体" w:cs="宋体"/>
          <w:kern w:val="2"/>
          <w:sz w:val="24"/>
          <w:szCs w:val="24"/>
          <w:highlight w:val="none"/>
          <w:lang w:val="en-US" w:eastAsia="zh-CN" w:bidi="ar-SA"/>
        </w:rPr>
        <w:t>（待测试）</w:t>
      </w:r>
    </w:p>
    <w:p w14:paraId="70C0971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3.3 创新说明</w:t>
      </w:r>
    </w:p>
    <w:p w14:paraId="019A68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3.3.1 多模态自然交互创新</w:t>
      </w:r>
    </w:p>
    <w:p w14:paraId="6121047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分离注意力（控速度）与头动（控位移），实现“脑控状态+体控动作”分层交互，利用头环IMU零成本融合双模态，降低认知负荷。</w:t>
      </w:r>
    </w:p>
    <w:p w14:paraId="603595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3.3.2 动态方差调参自适应创新</w:t>
      </w:r>
    </w:p>
    <w:p w14:paraId="4143973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首次在便携BCI游戏中引入注意力方差作为二阶指标，5秒滑动窗口方差决定冰块概率，直接训练稳定性（非仅均值），具原创性。</w:t>
      </w:r>
    </w:p>
    <w:p w14:paraId="468F9F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3.3.3 游戏化神经反馈依从性优势</w:t>
      </w:r>
    </w:p>
    <w:p w14:paraId="19368EE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通过奶茶店经营叙事、20秒/杯反馈、金额/等级成长、双倍秘方构建动机闭环，低注意力冻结降低挫折感，提升训练持续性。</w:t>
      </w:r>
    </w:p>
    <w:p w14:paraId="139BAA2F">
      <w:pPr>
        <w:bidi w:val="0"/>
        <w:rPr>
          <w:rFonts w:hint="eastAsia"/>
          <w:lang w:val="en-US" w:eastAsia="zh-CN"/>
        </w:rPr>
      </w:pPr>
    </w:p>
    <w:p w14:paraId="444E1E83">
      <w:pPr>
        <w:bidi w:val="0"/>
        <w:rPr>
          <w:rFonts w:hint="eastAsia"/>
          <w:lang w:val="en-US" w:eastAsia="zh-CN"/>
        </w:rPr>
      </w:pPr>
    </w:p>
    <w:p w14:paraId="7AD4FE76">
      <w:pPr>
        <w:bidi w:val="0"/>
        <w:rPr>
          <w:rFonts w:hint="eastAsia"/>
          <w:lang w:val="en-US" w:eastAsia="zh-CN"/>
        </w:rPr>
      </w:pPr>
    </w:p>
    <w:p w14:paraId="3B97D175">
      <w:pPr>
        <w:bidi w:val="0"/>
        <w:rPr>
          <w:rFonts w:hint="eastAsia"/>
          <w:lang w:val="en-US" w:eastAsia="zh-CN"/>
        </w:rPr>
      </w:pPr>
    </w:p>
    <w:p w14:paraId="20298D93">
      <w:pPr>
        <w:bidi w:val="0"/>
        <w:rPr>
          <w:rFonts w:hint="eastAsia"/>
          <w:lang w:val="en-US" w:eastAsia="zh-CN"/>
        </w:rPr>
      </w:pPr>
    </w:p>
    <w:p w14:paraId="6D02733D">
      <w:pPr>
        <w:tabs>
          <w:tab w:val="left" w:pos="228"/>
        </w:tabs>
        <w:bidi w:val="0"/>
        <w:jc w:val="left"/>
        <w:rPr>
          <w:rFonts w:hint="eastAsia"/>
          <w:lang w:val="en-US" w:eastAsia="zh-CN"/>
        </w:rPr>
        <w:sectPr>
          <w:type w:val="continuous"/>
          <w:pgSz w:w="11906" w:h="16838"/>
          <w:pgMar w:top="1701" w:right="1418" w:bottom="1418" w:left="1418" w:header="907" w:footer="851" w:gutter="567"/>
          <w:pgNumType w:fmt="upperRoman"/>
          <w:cols w:space="425" w:num="1"/>
          <w:docGrid w:type="linesAndChars" w:linePitch="312" w:charSpace="0"/>
        </w:sectPr>
      </w:pPr>
    </w:p>
    <w:p w14:paraId="71BCB515">
      <w:pPr>
        <w:spacing w:line="400" w:lineRule="exact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总结</w:t>
      </w:r>
    </w:p>
    <w:p w14:paraId="334C1968">
      <w:pPr>
        <w:spacing w:line="400" w:lineRule="exac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4.1作品展示</w:t>
      </w:r>
    </w:p>
    <w:p w14:paraId="5993B479">
      <w:pPr>
        <w:spacing w:line="400" w:lineRule="exac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4.1.1界面截图与操作演示</w:t>
      </w:r>
    </w:p>
    <w:p w14:paraId="305809C3">
      <w:pPr>
        <w:spacing w:line="400" w:lineRule="exac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（等美工）</w:t>
      </w:r>
    </w:p>
    <w:p w14:paraId="2599D0D5">
      <w:pPr>
        <w:spacing w:line="400" w:lineRule="exac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4.1.2训练数据记录示例</w:t>
      </w:r>
    </w:p>
    <w:p w14:paraId="5514A24A">
      <w:pPr>
        <w:spacing w:line="400" w:lineRule="exac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（待测试）</w:t>
      </w:r>
    </w:p>
    <w:p w14:paraId="36245490">
      <w:pPr>
        <w:spacing w:line="400" w:lineRule="exac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4.2展望</w:t>
      </w:r>
    </w:p>
    <w:p w14:paraId="456B5AB5">
      <w:pPr>
        <w:widowControl w:val="0"/>
        <w:spacing w:line="400" w:lineRule="exact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4.2.1 更多训练模式与云端数据平台</w:t>
      </w:r>
    </w:p>
    <w:p w14:paraId="2856E14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未来可扩展双人/多人协作、限时挑战及自适应校准模式（个性化推荐）。搭建云端数据平台，实现跨设备同步、趋势可视化、群体参考及科研数据支持，为参数优化提供依据。</w:t>
      </w:r>
    </w:p>
    <w:p w14:paraId="05F5C5A7">
      <w:pPr>
        <w:widowControl w:val="0"/>
        <w:spacing w:line="400" w:lineRule="exact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4.2.2 临床实验与个性化参数优化</w:t>
      </w:r>
    </w:p>
    <w:p w14:paraId="4BBF162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-SA"/>
        </w:rPr>
        <w:t>计划开展随机对照试验，招募ADHD儿童与对照，验证对TOVA及SNAP-IV评分的改善。结合临床数据，采用贝叶斯优化或强化学习调优速度、方差、秘方时长及等级金额参数。采集多通道EEG，分析theta/beta比值等神经指标，推动从功能原型向循证数字疗法发展。</w:t>
      </w:r>
    </w:p>
    <w:p w14:paraId="2416C674">
      <w:pPr>
        <w:spacing w:line="400" w:lineRule="exact"/>
        <w:jc w:val="left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701" w:right="1418" w:bottom="1418" w:left="1418" w:header="907" w:footer="851" w:gutter="567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altName w:val="MV Boli"/>
    <w:panose1 w:val="02000509000000000000"/>
    <w:charset w:val="00"/>
    <w:family w:val="auto"/>
    <w:pitch w:val="default"/>
    <w:sig w:usb0="00000000" w:usb1="00000000" w:usb2="00000000" w:usb3="00000000" w:csb0="00000001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Perpetua">
    <w:panose1 w:val="02020502060401020303"/>
    <w:charset w:val="00"/>
    <w:family w:val="auto"/>
    <w:pitch w:val="default"/>
    <w:sig w:usb0="00000003" w:usb1="00000000" w:usb2="00000000" w:usb3="00000000" w:csb0="20000001" w:csb1="00000000"/>
  </w:font>
  <w:font w:name="Palace Script MT">
    <w:panose1 w:val="030303020206070C0B05"/>
    <w:charset w:val="00"/>
    <w:family w:val="auto"/>
    <w:pitch w:val="default"/>
    <w:sig w:usb0="00000003" w:usb1="00000000" w:usb2="00000000" w:usb3="00000000" w:csb0="20000001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Niagara Engraved">
    <w:panose1 w:val="04020502070703030202"/>
    <w:charset w:val="00"/>
    <w:family w:val="auto"/>
    <w:pitch w:val="default"/>
    <w:sig w:usb0="00000003" w:usb1="00000000" w:usb2="00000000" w:usb3="00000000" w:csb0="20000001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Haettenschweiler">
    <w:panose1 w:val="020B0706040902060204"/>
    <w:charset w:val="00"/>
    <w:family w:val="auto"/>
    <w:pitch w:val="default"/>
    <w:sig w:usb0="00000287" w:usb1="00000000" w:usb2="00000000" w:usb3="00000000" w:csb0="2000009F" w:csb1="DFD70000"/>
  </w:font>
  <w:font w:name="Gill Sans MT Condensed">
    <w:panose1 w:val="020B0506020104020203"/>
    <w:charset w:val="00"/>
    <w:family w:val="auto"/>
    <w:pitch w:val="default"/>
    <w:sig w:usb0="00000003" w:usb1="00000000" w:usb2="00000000" w:usb3="00000000" w:csb0="20000003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Noto Sans SC DemiLight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1CCCB">
    <w:pPr>
      <w:pStyle w:val="10"/>
      <w:jc w:val="center"/>
      <w:rPr>
        <w:sz w:val="21"/>
        <w:szCs w:val="21"/>
      </w:rPr>
    </w:pPr>
    <w:r>
      <w:rPr>
        <w:rStyle w:val="19"/>
        <w:sz w:val="21"/>
        <w:szCs w:val="21"/>
      </w:rPr>
      <w:fldChar w:fldCharType="begin"/>
    </w:r>
    <w:r>
      <w:rPr>
        <w:rStyle w:val="19"/>
        <w:sz w:val="21"/>
        <w:szCs w:val="21"/>
      </w:rPr>
      <w:instrText xml:space="preserve"> PAGE </w:instrText>
    </w:r>
    <w:r>
      <w:rPr>
        <w:rStyle w:val="19"/>
        <w:sz w:val="21"/>
        <w:szCs w:val="21"/>
      </w:rPr>
      <w:fldChar w:fldCharType="separate"/>
    </w:r>
    <w:r>
      <w:rPr>
        <w:rStyle w:val="19"/>
        <w:sz w:val="21"/>
        <w:szCs w:val="21"/>
      </w:rPr>
      <w:t>III</w:t>
    </w:r>
    <w:r>
      <w:rPr>
        <w:rStyle w:val="19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0757B">
    <w:pPr>
      <w:pStyle w:val="10"/>
      <w:framePr w:wrap="around" w:vAnchor="text" w:hAnchor="margin" w:xAlign="center" w:y="1"/>
      <w:rPr>
        <w:rStyle w:val="19"/>
      </w:rPr>
    </w:pPr>
    <w:r>
      <w:rPr>
        <w:rStyle w:val="19"/>
        <w:rFonts w:hint="eastAsia"/>
      </w:rPr>
      <w:t>43</w:t>
    </w:r>
  </w:p>
  <w:p w14:paraId="6227C793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E99B8">
    <w:pPr>
      <w:pStyle w:val="11"/>
      <w:jc w:val="both"/>
    </w:pPr>
    <w:r>
      <w:rPr>
        <w:rFonts w:hint="eastAsia" w:ascii="宋体" w:hAnsi="宋体" w:cs="宋体"/>
        <w:color w:val="000000"/>
        <w:kern w:val="0"/>
        <w:lang w:bidi="ar"/>
      </w:rPr>
      <w:t>基于××系统×××设计</w:t>
    </w:r>
    <w:r>
      <w:rPr>
        <w:rFonts w:hint="eastAsia"/>
      </w:rPr>
      <w:t xml:space="preserve">                                                        目录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81DD8">
    <w:pPr>
      <w:pStyle w:val="11"/>
      <w:jc w:val="both"/>
    </w:pPr>
    <w:r>
      <w:rPr>
        <w:rFonts w:hint="eastAsia" w:ascii="宋体" w:hAnsi="宋体" w:cs="宋体"/>
        <w:color w:val="000000"/>
        <w:kern w:val="0"/>
        <w:lang w:bidi="ar"/>
      </w:rPr>
      <w:t>基于××系统××设计</w:t>
    </w:r>
    <w:r>
      <w:rPr>
        <w:rFonts w:hint="eastAsia"/>
      </w:rPr>
      <w:t xml:space="preserve">                                                     4 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151549"/>
    <w:multiLevelType w:val="multilevel"/>
    <w:tmpl w:val="9A1515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9A5E684C"/>
    <w:multiLevelType w:val="singleLevel"/>
    <w:tmpl w:val="9A5E684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FB2E98E2"/>
    <w:multiLevelType w:val="singleLevel"/>
    <w:tmpl w:val="FB2E98E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18520A47"/>
    <w:multiLevelType w:val="singleLevel"/>
    <w:tmpl w:val="18520A4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MyMTliMTAyZDRmYTMzNDUxM2IzZTJjODVkODJjNTYifQ=="/>
  </w:docVars>
  <w:rsids>
    <w:rsidRoot w:val="001B6EA2"/>
    <w:rsid w:val="000117B3"/>
    <w:rsid w:val="0001223B"/>
    <w:rsid w:val="00016A80"/>
    <w:rsid w:val="0002323D"/>
    <w:rsid w:val="00025CCC"/>
    <w:rsid w:val="00033DF5"/>
    <w:rsid w:val="00036C19"/>
    <w:rsid w:val="00050CE1"/>
    <w:rsid w:val="000773AE"/>
    <w:rsid w:val="000779D7"/>
    <w:rsid w:val="000A607D"/>
    <w:rsid w:val="000B0F1A"/>
    <w:rsid w:val="000B1753"/>
    <w:rsid w:val="000B75FD"/>
    <w:rsid w:val="000D7AE9"/>
    <w:rsid w:val="00115F90"/>
    <w:rsid w:val="0012375A"/>
    <w:rsid w:val="00135850"/>
    <w:rsid w:val="00160279"/>
    <w:rsid w:val="00166D95"/>
    <w:rsid w:val="00172856"/>
    <w:rsid w:val="00175E75"/>
    <w:rsid w:val="001A6B7B"/>
    <w:rsid w:val="001A7B8E"/>
    <w:rsid w:val="001B6EA2"/>
    <w:rsid w:val="001C08B4"/>
    <w:rsid w:val="001C3216"/>
    <w:rsid w:val="001D43EB"/>
    <w:rsid w:val="001E4955"/>
    <w:rsid w:val="00200638"/>
    <w:rsid w:val="00207610"/>
    <w:rsid w:val="0022555E"/>
    <w:rsid w:val="002A19AB"/>
    <w:rsid w:val="002A4AF7"/>
    <w:rsid w:val="002C000F"/>
    <w:rsid w:val="002C6967"/>
    <w:rsid w:val="002F5662"/>
    <w:rsid w:val="002F60A2"/>
    <w:rsid w:val="003453B7"/>
    <w:rsid w:val="0035521C"/>
    <w:rsid w:val="00360BBA"/>
    <w:rsid w:val="003640E2"/>
    <w:rsid w:val="00365364"/>
    <w:rsid w:val="00395D59"/>
    <w:rsid w:val="003D4CC3"/>
    <w:rsid w:val="003D6BB6"/>
    <w:rsid w:val="003F6FB3"/>
    <w:rsid w:val="0041794F"/>
    <w:rsid w:val="0043326A"/>
    <w:rsid w:val="00433366"/>
    <w:rsid w:val="004408F2"/>
    <w:rsid w:val="0045753D"/>
    <w:rsid w:val="004579D2"/>
    <w:rsid w:val="004C78AB"/>
    <w:rsid w:val="00505A84"/>
    <w:rsid w:val="005202D3"/>
    <w:rsid w:val="00524905"/>
    <w:rsid w:val="0056148C"/>
    <w:rsid w:val="00563E56"/>
    <w:rsid w:val="005A0F8C"/>
    <w:rsid w:val="005B04A9"/>
    <w:rsid w:val="005B08FE"/>
    <w:rsid w:val="005D105D"/>
    <w:rsid w:val="005E1541"/>
    <w:rsid w:val="005F0AAA"/>
    <w:rsid w:val="00602AAE"/>
    <w:rsid w:val="00604F42"/>
    <w:rsid w:val="00607CB2"/>
    <w:rsid w:val="00620598"/>
    <w:rsid w:val="006426A3"/>
    <w:rsid w:val="006427E4"/>
    <w:rsid w:val="006615EF"/>
    <w:rsid w:val="006965CA"/>
    <w:rsid w:val="006D1071"/>
    <w:rsid w:val="006D40C2"/>
    <w:rsid w:val="0071747B"/>
    <w:rsid w:val="00763B7D"/>
    <w:rsid w:val="00780B8D"/>
    <w:rsid w:val="00784899"/>
    <w:rsid w:val="007977FE"/>
    <w:rsid w:val="00797800"/>
    <w:rsid w:val="007B4E94"/>
    <w:rsid w:val="007F735E"/>
    <w:rsid w:val="00817894"/>
    <w:rsid w:val="008210D3"/>
    <w:rsid w:val="00825728"/>
    <w:rsid w:val="008467BB"/>
    <w:rsid w:val="0084684B"/>
    <w:rsid w:val="00853FCE"/>
    <w:rsid w:val="00871BF4"/>
    <w:rsid w:val="00893581"/>
    <w:rsid w:val="008B4FC2"/>
    <w:rsid w:val="008B79A4"/>
    <w:rsid w:val="008E141B"/>
    <w:rsid w:val="008F76DE"/>
    <w:rsid w:val="009146F4"/>
    <w:rsid w:val="009345F9"/>
    <w:rsid w:val="00991468"/>
    <w:rsid w:val="009A223B"/>
    <w:rsid w:val="009C241E"/>
    <w:rsid w:val="009D79F5"/>
    <w:rsid w:val="00A02123"/>
    <w:rsid w:val="00A06281"/>
    <w:rsid w:val="00A14B2F"/>
    <w:rsid w:val="00A236CB"/>
    <w:rsid w:val="00A530FC"/>
    <w:rsid w:val="00A62EE3"/>
    <w:rsid w:val="00A64337"/>
    <w:rsid w:val="00A66769"/>
    <w:rsid w:val="00A80F7E"/>
    <w:rsid w:val="00A81F21"/>
    <w:rsid w:val="00AA1DA7"/>
    <w:rsid w:val="00AA71B9"/>
    <w:rsid w:val="00AB08F5"/>
    <w:rsid w:val="00AD0D7E"/>
    <w:rsid w:val="00AF4DD4"/>
    <w:rsid w:val="00B11EEE"/>
    <w:rsid w:val="00B12B59"/>
    <w:rsid w:val="00B338F2"/>
    <w:rsid w:val="00B41C24"/>
    <w:rsid w:val="00B71E33"/>
    <w:rsid w:val="00B80B09"/>
    <w:rsid w:val="00B83FF4"/>
    <w:rsid w:val="00B92842"/>
    <w:rsid w:val="00BB76D9"/>
    <w:rsid w:val="00C01EC2"/>
    <w:rsid w:val="00C1411B"/>
    <w:rsid w:val="00C21855"/>
    <w:rsid w:val="00C4551D"/>
    <w:rsid w:val="00CA6AC0"/>
    <w:rsid w:val="00CB00DC"/>
    <w:rsid w:val="00CB48A1"/>
    <w:rsid w:val="00CC7212"/>
    <w:rsid w:val="00CD2952"/>
    <w:rsid w:val="00CE558D"/>
    <w:rsid w:val="00D02F8F"/>
    <w:rsid w:val="00D04955"/>
    <w:rsid w:val="00D14439"/>
    <w:rsid w:val="00D471E8"/>
    <w:rsid w:val="00D575B1"/>
    <w:rsid w:val="00D63F36"/>
    <w:rsid w:val="00D66062"/>
    <w:rsid w:val="00D705D8"/>
    <w:rsid w:val="00D714EF"/>
    <w:rsid w:val="00D82B07"/>
    <w:rsid w:val="00D87A31"/>
    <w:rsid w:val="00DC3295"/>
    <w:rsid w:val="00DE4BE5"/>
    <w:rsid w:val="00E4388C"/>
    <w:rsid w:val="00E440DF"/>
    <w:rsid w:val="00E56045"/>
    <w:rsid w:val="00E82270"/>
    <w:rsid w:val="00E90669"/>
    <w:rsid w:val="00ED68D4"/>
    <w:rsid w:val="00F04399"/>
    <w:rsid w:val="00F27E59"/>
    <w:rsid w:val="00F41145"/>
    <w:rsid w:val="00F62BCA"/>
    <w:rsid w:val="00F63BB2"/>
    <w:rsid w:val="00FB31B7"/>
    <w:rsid w:val="00FC5D9D"/>
    <w:rsid w:val="00FD2CFE"/>
    <w:rsid w:val="00FE4E3F"/>
    <w:rsid w:val="030C1B1F"/>
    <w:rsid w:val="03F80AD8"/>
    <w:rsid w:val="047D1076"/>
    <w:rsid w:val="0CBE0748"/>
    <w:rsid w:val="12FE3A23"/>
    <w:rsid w:val="13374C8F"/>
    <w:rsid w:val="158A5B06"/>
    <w:rsid w:val="1A0F503E"/>
    <w:rsid w:val="1B4C4122"/>
    <w:rsid w:val="1F09387E"/>
    <w:rsid w:val="2500362B"/>
    <w:rsid w:val="25910727"/>
    <w:rsid w:val="25F86E78"/>
    <w:rsid w:val="2BF64172"/>
    <w:rsid w:val="31E34267"/>
    <w:rsid w:val="329E4165"/>
    <w:rsid w:val="33700939"/>
    <w:rsid w:val="369B5099"/>
    <w:rsid w:val="3C853F56"/>
    <w:rsid w:val="3DED7E48"/>
    <w:rsid w:val="3F610BB8"/>
    <w:rsid w:val="46C57F68"/>
    <w:rsid w:val="47B74D74"/>
    <w:rsid w:val="484A7335"/>
    <w:rsid w:val="49AA2C5F"/>
    <w:rsid w:val="4F07173C"/>
    <w:rsid w:val="50F43783"/>
    <w:rsid w:val="56341832"/>
    <w:rsid w:val="56A966E5"/>
    <w:rsid w:val="59EE7A27"/>
    <w:rsid w:val="5DA026D7"/>
    <w:rsid w:val="67623181"/>
    <w:rsid w:val="68F67ED0"/>
    <w:rsid w:val="69750303"/>
    <w:rsid w:val="69E41219"/>
    <w:rsid w:val="69E441CA"/>
    <w:rsid w:val="6DB43AD4"/>
    <w:rsid w:val="6E041063"/>
    <w:rsid w:val="6F455D89"/>
    <w:rsid w:val="705B1CE9"/>
    <w:rsid w:val="74982505"/>
    <w:rsid w:val="75E44CC4"/>
    <w:rsid w:val="779B2966"/>
    <w:rsid w:val="785E261C"/>
    <w:rsid w:val="78BD69DE"/>
    <w:rsid w:val="7AF20495"/>
    <w:rsid w:val="7D0A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outlineLvl w:val="0"/>
    </w:pPr>
    <w:rPr>
      <w:sz w:val="32"/>
      <w:szCs w:val="20"/>
    </w:rPr>
  </w:style>
  <w:style w:type="paragraph" w:styleId="3">
    <w:name w:val="heading 2"/>
    <w:basedOn w:val="1"/>
    <w:next w:val="1"/>
    <w:autoRedefine/>
    <w:qFormat/>
    <w:uiPriority w:val="0"/>
    <w:pPr>
      <w:keepNext/>
      <w:ind w:firstLine="2875"/>
      <w:outlineLvl w:val="1"/>
    </w:pPr>
    <w:rPr>
      <w:rFonts w:eastAsia="楷体_GB2312"/>
      <w:sz w:val="28"/>
    </w:rPr>
  </w:style>
  <w:style w:type="paragraph" w:styleId="4">
    <w:name w:val="heading 3"/>
    <w:basedOn w:val="1"/>
    <w:next w:val="1"/>
    <w:autoRedefine/>
    <w:qFormat/>
    <w:uiPriority w:val="0"/>
    <w:pPr>
      <w:keepNext/>
      <w:jc w:val="center"/>
      <w:outlineLvl w:val="2"/>
    </w:pPr>
    <w:rPr>
      <w:rFonts w:eastAsia="楷体_GB2312"/>
      <w:b/>
      <w:bCs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2"/>
    <w:autoRedefine/>
    <w:qFormat/>
    <w:uiPriority w:val="0"/>
    <w:pPr>
      <w:jc w:val="left"/>
    </w:pPr>
  </w:style>
  <w:style w:type="paragraph" w:styleId="7">
    <w:name w:val="Body Text"/>
    <w:basedOn w:val="1"/>
    <w:autoRedefine/>
    <w:qFormat/>
    <w:uiPriority w:val="0"/>
    <w:pPr>
      <w:spacing w:before="240"/>
      <w:jc w:val="center"/>
    </w:pPr>
    <w:rPr>
      <w:sz w:val="32"/>
      <w:szCs w:val="20"/>
    </w:rPr>
  </w:style>
  <w:style w:type="paragraph" w:styleId="8">
    <w:name w:val="Body Text Indent"/>
    <w:basedOn w:val="1"/>
    <w:autoRedefine/>
    <w:qFormat/>
    <w:uiPriority w:val="0"/>
    <w:pPr>
      <w:spacing w:before="240"/>
      <w:ind w:firstLine="484" w:firstLineChars="205"/>
    </w:pPr>
    <w:rPr>
      <w:rFonts w:ascii="宋体" w:hAnsi="宋体"/>
      <w:sz w:val="24"/>
    </w:rPr>
  </w:style>
  <w:style w:type="paragraph" w:styleId="9">
    <w:name w:val="Balloon Text"/>
    <w:basedOn w:val="1"/>
    <w:link w:val="24"/>
    <w:autoRedefine/>
    <w:qFormat/>
    <w:uiPriority w:val="0"/>
    <w:rPr>
      <w:sz w:val="18"/>
      <w:szCs w:val="18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Body Text 2"/>
    <w:basedOn w:val="1"/>
    <w:autoRedefine/>
    <w:qFormat/>
    <w:uiPriority w:val="0"/>
    <w:pPr>
      <w:jc w:val="center"/>
    </w:pPr>
    <w:rPr>
      <w:rFonts w:eastAsia="黑体"/>
      <w:sz w:val="44"/>
    </w:rPr>
  </w:style>
  <w:style w:type="paragraph" w:styleId="13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4">
    <w:name w:val="Title"/>
    <w:basedOn w:val="1"/>
    <w:autoRedefine/>
    <w:qFormat/>
    <w:uiPriority w:val="0"/>
    <w:pPr>
      <w:ind w:firstLine="630" w:firstLineChars="200"/>
      <w:jc w:val="center"/>
    </w:pPr>
    <w:rPr>
      <w:b/>
      <w:bCs/>
      <w:sz w:val="32"/>
    </w:rPr>
  </w:style>
  <w:style w:type="paragraph" w:styleId="15">
    <w:name w:val="annotation subject"/>
    <w:basedOn w:val="6"/>
    <w:next w:val="6"/>
    <w:link w:val="23"/>
    <w:autoRedefine/>
    <w:qFormat/>
    <w:uiPriority w:val="0"/>
    <w:rPr>
      <w:b/>
      <w:bCs/>
    </w:rPr>
  </w:style>
  <w:style w:type="table" w:styleId="17">
    <w:name w:val="Table Grid"/>
    <w:basedOn w:val="1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autoRedefine/>
    <w:qFormat/>
    <w:uiPriority w:val="0"/>
  </w:style>
  <w:style w:type="character" w:styleId="20">
    <w:name w:val="Hyperlink"/>
    <w:autoRedefine/>
    <w:qFormat/>
    <w:uiPriority w:val="0"/>
    <w:rPr>
      <w:color w:val="0000FF"/>
      <w:u w:val="single"/>
    </w:rPr>
  </w:style>
  <w:style w:type="character" w:styleId="21">
    <w:name w:val="annotation reference"/>
    <w:autoRedefine/>
    <w:qFormat/>
    <w:uiPriority w:val="0"/>
    <w:rPr>
      <w:sz w:val="21"/>
      <w:szCs w:val="21"/>
    </w:rPr>
  </w:style>
  <w:style w:type="character" w:customStyle="1" w:styleId="22">
    <w:name w:val="批注文字 字符"/>
    <w:link w:val="6"/>
    <w:autoRedefine/>
    <w:qFormat/>
    <w:uiPriority w:val="0"/>
    <w:rPr>
      <w:kern w:val="2"/>
      <w:sz w:val="21"/>
      <w:szCs w:val="24"/>
    </w:rPr>
  </w:style>
  <w:style w:type="character" w:customStyle="1" w:styleId="23">
    <w:name w:val="批注主题 字符"/>
    <w:link w:val="15"/>
    <w:autoRedefine/>
    <w:qFormat/>
    <w:uiPriority w:val="0"/>
    <w:rPr>
      <w:b/>
      <w:bCs/>
      <w:kern w:val="2"/>
      <w:sz w:val="21"/>
      <w:szCs w:val="24"/>
    </w:rPr>
  </w:style>
  <w:style w:type="character" w:customStyle="1" w:styleId="24">
    <w:name w:val="批注框文本 字符"/>
    <w:link w:val="9"/>
    <w:autoRedefine/>
    <w:qFormat/>
    <w:uiPriority w:val="0"/>
    <w:rPr>
      <w:kern w:val="2"/>
      <w:sz w:val="18"/>
      <w:szCs w:val="18"/>
    </w:rPr>
  </w:style>
  <w:style w:type="character" w:customStyle="1" w:styleId="25">
    <w:name w:val="apple-converted-space"/>
    <w:autoRedefine/>
    <w:qFormat/>
    <w:uiPriority w:val="0"/>
  </w:style>
  <w:style w:type="paragraph" w:customStyle="1" w:styleId="26">
    <w:name w:val="11首头"/>
    <w:basedOn w:val="1"/>
    <w:autoRedefine/>
    <w:qFormat/>
    <w:uiPriority w:val="0"/>
    <w:pPr>
      <w:spacing w:line="300" w:lineRule="auto"/>
    </w:pPr>
    <w:rPr>
      <w:rFonts w:ascii="黑体" w:eastAsia="黑体"/>
      <w:b/>
      <w:sz w:val="24"/>
    </w:rPr>
  </w:style>
  <w:style w:type="paragraph" w:customStyle="1" w:styleId="27">
    <w:name w:val="Revision1"/>
    <w:autoRedefine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8">
    <w:name w:val="List Paragraph"/>
    <w:qFormat/>
    <w:uiPriority w:val="0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332</Words>
  <Characters>359</Characters>
  <Lines>334</Lines>
  <Paragraphs>174</Paragraphs>
  <TotalTime>76</TotalTime>
  <ScaleCrop>false</ScaleCrop>
  <LinksUpToDate>false</LinksUpToDate>
  <CharactersWithSpaces>369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2026-04-15T09:02:00Z</dcterms:created>
  <dc:creator>Lenovo</dc:creator>
  <cp:lastModifiedBy>翁楷渏</cp:lastModifiedBy>
  <cp:lastPrinted>2017-03-13T03:36:00Z</cp:lastPrinted>
  <dcterms:modified xsi:type="dcterms:W3CDTF">2026-06-07T08:30:19Z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43687A8CCAB840C3BDECCA9F75A0A5A5_13</vt:lpwstr>
  </property>
  <property fmtid="{D5CDD505-2E9C-101B-9397-08002B2CF9AE}" pid="4" name="KSOTemplateDocerSaveRecord">
    <vt:lpwstr>eyJoZGlkIjoiODRiOGVkZTAzOWJmYjU4YzYzMWQxNjdiYmUyMjRmOTAiLCJ1c2VySWQiOiIxNjM5NjIxNjIxIn0=</vt:lpwstr>
  </property>
</Properties>
</file>