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1"/>
        <w:gridCol w:w="1649"/>
        <w:gridCol w:w="1770"/>
        <w:gridCol w:w="1060"/>
        <w:gridCol w:w="1150"/>
        <w:gridCol w:w="10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References</w:t>
            </w:r>
          </w:p>
        </w:tc>
        <w:tc>
          <w:tcPr>
            <w:tcW w:w="159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Input</w:t>
            </w:r>
          </w:p>
        </w:tc>
        <w:tc>
          <w:tcPr>
            <w:tcW w:w="177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Methods</w:t>
            </w:r>
          </w:p>
        </w:tc>
        <w:tc>
          <w:tcPr>
            <w:tcW w:w="106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Wide range of input</w:t>
            </w:r>
          </w:p>
        </w:tc>
        <w:tc>
          <w:tcPr>
            <w:tcW w:w="115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deep learning model</w:t>
            </w:r>
          </w:p>
        </w:tc>
        <w:tc>
          <w:tcPr>
            <w:tcW w:w="100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Feature selection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Reddy SK (2015)</w:t>
            </w:r>
          </w:p>
        </w:tc>
        <w:tc>
          <w:tcPr>
            <w:tcW w:w="159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Exchange rate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(INR/USD, INR/GBP, INR/EUR &amp; INR/JPY)</w:t>
            </w:r>
          </w:p>
        </w:tc>
        <w:tc>
          <w:tcPr>
            <w:tcW w:w="177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ARIMA, Neural Network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&amp; </w:t>
            </w:r>
            <w:r>
              <w:rPr>
                <w:rFonts w:hint="default"/>
                <w:vertAlign w:val="baseline"/>
                <w:lang w:val="en-US" w:eastAsia="zh-CN"/>
              </w:rPr>
              <w:t>Fuzzy models</w:t>
            </w:r>
          </w:p>
        </w:tc>
        <w:tc>
          <w:tcPr>
            <w:tcW w:w="106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×</w:t>
            </w:r>
          </w:p>
        </w:tc>
        <w:tc>
          <w:tcPr>
            <w:tcW w:w="115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×</w:t>
            </w:r>
          </w:p>
        </w:tc>
        <w:tc>
          <w:tcPr>
            <w:tcW w:w="100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Epaphra, M. (2017)</w:t>
            </w:r>
          </w:p>
        </w:tc>
        <w:tc>
          <w:tcPr>
            <w:tcW w:w="159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Exchange rate (</w:t>
            </w:r>
            <w:r>
              <w:rPr>
                <w:rFonts w:hint="default"/>
                <w:vertAlign w:val="baseline"/>
                <w:lang w:val="en-US" w:eastAsia="zh-CN"/>
              </w:rPr>
              <w:t>TZS/USD</w:t>
            </w:r>
            <w:r>
              <w:rPr>
                <w:rFonts w:hint="eastAsia"/>
                <w:vertAlign w:val="baseline"/>
                <w:lang w:val="en-US" w:eastAsia="zh-CN"/>
              </w:rPr>
              <w:t>)</w:t>
            </w:r>
          </w:p>
        </w:tc>
        <w:tc>
          <w:tcPr>
            <w:tcW w:w="177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GARCH&amp;EGARCH</w:t>
            </w:r>
          </w:p>
        </w:tc>
        <w:tc>
          <w:tcPr>
            <w:tcW w:w="106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×</w:t>
            </w:r>
          </w:p>
        </w:tc>
        <w:tc>
          <w:tcPr>
            <w:tcW w:w="115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×</w:t>
            </w:r>
          </w:p>
        </w:tc>
        <w:tc>
          <w:tcPr>
            <w:tcW w:w="100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Kaushik &amp; Giri (2020)</w:t>
            </w:r>
          </w:p>
        </w:tc>
        <w:tc>
          <w:tcPr>
            <w:tcW w:w="159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Macroeconomic variables</w:t>
            </w:r>
          </w:p>
        </w:tc>
        <w:tc>
          <w:tcPr>
            <w:tcW w:w="177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VAR, SVM,LSTM</w:t>
            </w:r>
          </w:p>
        </w:tc>
        <w:tc>
          <w:tcPr>
            <w:tcW w:w="106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×</w:t>
            </w:r>
          </w:p>
        </w:tc>
        <w:tc>
          <w:tcPr>
            <w:tcW w:w="115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√</w:t>
            </w:r>
          </w:p>
        </w:tc>
        <w:tc>
          <w:tcPr>
            <w:tcW w:w="100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Dautel et al. (2020)</w:t>
            </w:r>
          </w:p>
        </w:tc>
        <w:tc>
          <w:tcPr>
            <w:tcW w:w="159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Exchange rate (EUR/USD, GBP/USD, JPY/USD, CHF/USE)</w:t>
            </w:r>
          </w:p>
        </w:tc>
        <w:tc>
          <w:tcPr>
            <w:tcW w:w="177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LSTM, GRU</w:t>
            </w:r>
          </w:p>
        </w:tc>
        <w:tc>
          <w:tcPr>
            <w:tcW w:w="106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×</w:t>
            </w:r>
          </w:p>
        </w:tc>
        <w:tc>
          <w:tcPr>
            <w:tcW w:w="115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√</w:t>
            </w:r>
          </w:p>
        </w:tc>
        <w:tc>
          <w:tcPr>
            <w:tcW w:w="100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Wang et al. (2021)</w:t>
            </w:r>
          </w:p>
        </w:tc>
        <w:tc>
          <w:tcPr>
            <w:tcW w:w="159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Exchange rate(USD/CNY)</w:t>
            </w:r>
          </w:p>
        </w:tc>
        <w:tc>
          <w:tcPr>
            <w:tcW w:w="177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CNN-TLSTM</w:t>
            </w:r>
          </w:p>
        </w:tc>
        <w:tc>
          <w:tcPr>
            <w:tcW w:w="106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×</w:t>
            </w:r>
          </w:p>
        </w:tc>
        <w:tc>
          <w:tcPr>
            <w:tcW w:w="115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√</w:t>
            </w:r>
          </w:p>
        </w:tc>
        <w:tc>
          <w:tcPr>
            <w:tcW w:w="100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√(only target to exchange rate)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Lin et al., </w:t>
            </w:r>
            <w:r>
              <w:rPr>
                <w:rFonts w:hint="eastAsia"/>
                <w:lang w:val="en-US" w:eastAsia="zh-CN"/>
              </w:rPr>
              <w:t>(</w:t>
            </w:r>
            <w:r>
              <w:rPr>
                <w:rFonts w:hint="default"/>
                <w:lang w:val="en-US" w:eastAsia="zh-CN"/>
              </w:rPr>
              <w:t>2022</w:t>
            </w:r>
            <w:r>
              <w:rPr>
                <w:rFonts w:hint="eastAsia"/>
                <w:lang w:val="en-US" w:eastAsia="zh-CN"/>
              </w:rPr>
              <w:t>)</w:t>
            </w:r>
          </w:p>
        </w:tc>
        <w:tc>
          <w:tcPr>
            <w:tcW w:w="159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Baidu index, exchange rate (USD/CNY)</w:t>
            </w:r>
          </w:p>
        </w:tc>
        <w:tc>
          <w:tcPr>
            <w:tcW w:w="177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WOA-STL-BI-LSTM </w:t>
            </w:r>
          </w:p>
        </w:tc>
        <w:tc>
          <w:tcPr>
            <w:tcW w:w="106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×</w:t>
            </w:r>
          </w:p>
        </w:tc>
        <w:tc>
          <w:tcPr>
            <w:tcW w:w="115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√</w:t>
            </w:r>
          </w:p>
        </w:tc>
        <w:tc>
          <w:tcPr>
            <w:tcW w:w="100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Bulut (2017)</w:t>
            </w:r>
          </w:p>
        </w:tc>
        <w:tc>
          <w:tcPr>
            <w:tcW w:w="159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Google Trends, exchange rate of 11 OCED countries </w:t>
            </w:r>
          </w:p>
        </w:tc>
        <w:tc>
          <w:tcPr>
            <w:tcW w:w="1770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PPP model, interest parity model, monetary model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6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×</w:t>
            </w:r>
          </w:p>
        </w:tc>
        <w:tc>
          <w:tcPr>
            <w:tcW w:w="115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×</w:t>
            </w:r>
          </w:p>
        </w:tc>
        <w:tc>
          <w:tcPr>
            <w:tcW w:w="100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Morales-Arias &amp;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default"/>
                <w:lang w:val="en-US" w:eastAsia="zh-CN"/>
              </w:rPr>
              <w:t xml:space="preserve">Moura </w:t>
            </w:r>
            <w:r>
              <w:rPr>
                <w:rFonts w:hint="eastAsia"/>
                <w:lang w:val="en-US" w:eastAsia="zh-CN"/>
              </w:rPr>
              <w:t>(</w:t>
            </w:r>
            <w:r>
              <w:rPr>
                <w:rFonts w:hint="default"/>
                <w:lang w:val="en-US" w:eastAsia="zh-CN"/>
              </w:rPr>
              <w:t>2013</w:t>
            </w:r>
            <w:r>
              <w:rPr>
                <w:rFonts w:hint="eastAsia"/>
                <w:lang w:val="en-US" w:eastAsia="zh-CN"/>
              </w:rPr>
              <w:t>)</w:t>
            </w:r>
          </w:p>
        </w:tc>
        <w:tc>
          <w:tcPr>
            <w:tcW w:w="159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macroeconomic variables, returns/volatility of asset markets&amp; cyclical and confidence indices</w:t>
            </w:r>
          </w:p>
        </w:tc>
        <w:tc>
          <w:tcPr>
            <w:tcW w:w="177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long-horizon regression approach</w:t>
            </w:r>
          </w:p>
        </w:tc>
        <w:tc>
          <w:tcPr>
            <w:tcW w:w="106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√</w:t>
            </w:r>
          </w:p>
        </w:tc>
        <w:tc>
          <w:tcPr>
            <w:tcW w:w="115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×</w:t>
            </w:r>
          </w:p>
        </w:tc>
        <w:tc>
          <w:tcPr>
            <w:tcW w:w="100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Parot et al., (2019)</w:t>
            </w:r>
          </w:p>
        </w:tc>
        <w:tc>
          <w:tcPr>
            <w:tcW w:w="159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Exchange rate (EUR/USD, GBP/USD, JPY/USD)</w:t>
            </w:r>
          </w:p>
        </w:tc>
        <w:tc>
          <w:tcPr>
            <w:tcW w:w="177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ANN, VAR, VECM</w:t>
            </w:r>
          </w:p>
        </w:tc>
        <w:tc>
          <w:tcPr>
            <w:tcW w:w="106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√</w:t>
            </w:r>
          </w:p>
        </w:tc>
        <w:tc>
          <w:tcPr>
            <w:tcW w:w="115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×</w:t>
            </w:r>
          </w:p>
        </w:tc>
        <w:tc>
          <w:tcPr>
            <w:tcW w:w="100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Pilbeam &amp; Langeland (2014)</w:t>
            </w:r>
          </w:p>
        </w:tc>
        <w:tc>
          <w:tcPr>
            <w:tcW w:w="159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Exchange rate (USD/JPY, USD/CHF, USD/GBP, USD/EUR)</w:t>
            </w:r>
          </w:p>
        </w:tc>
        <w:tc>
          <w:tcPr>
            <w:tcW w:w="177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GARCH models</w:t>
            </w:r>
          </w:p>
        </w:tc>
        <w:tc>
          <w:tcPr>
            <w:tcW w:w="106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√</w:t>
            </w:r>
          </w:p>
        </w:tc>
        <w:tc>
          <w:tcPr>
            <w:tcW w:w="115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×</w:t>
            </w:r>
          </w:p>
        </w:tc>
        <w:tc>
          <w:tcPr>
            <w:tcW w:w="100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Salisu et al., (2019)</w:t>
            </w:r>
          </w:p>
        </w:tc>
        <w:tc>
          <w:tcPr>
            <w:tcW w:w="159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Commodity price indices, exchange rate(AUD/USD, CAD/USD, GBP/USD, EUR/USD)</w:t>
            </w:r>
          </w:p>
        </w:tc>
        <w:tc>
          <w:tcPr>
            <w:tcW w:w="177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a bivariate single predictive model </w:t>
            </w:r>
          </w:p>
        </w:tc>
        <w:tc>
          <w:tcPr>
            <w:tcW w:w="106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×</w:t>
            </w:r>
          </w:p>
        </w:tc>
        <w:tc>
          <w:tcPr>
            <w:tcW w:w="115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×</w:t>
            </w:r>
          </w:p>
        </w:tc>
        <w:tc>
          <w:tcPr>
            <w:tcW w:w="100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Altan &amp; Karasu (2019)</w:t>
            </w:r>
          </w:p>
        </w:tc>
        <w:tc>
          <w:tcPr>
            <w:tcW w:w="159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CCI, exchange rate (USD/TRY,  EUR/TRY)</w:t>
            </w:r>
          </w:p>
        </w:tc>
        <w:tc>
          <w:tcPr>
            <w:tcW w:w="177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SVM</w:t>
            </w:r>
          </w:p>
        </w:tc>
        <w:tc>
          <w:tcPr>
            <w:tcW w:w="106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×</w:t>
            </w:r>
          </w:p>
        </w:tc>
        <w:tc>
          <w:tcPr>
            <w:tcW w:w="115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×</w:t>
            </w:r>
          </w:p>
        </w:tc>
        <w:tc>
          <w:tcPr>
            <w:tcW w:w="100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Yasir et al., (2019)</w:t>
            </w:r>
          </w:p>
        </w:tc>
        <w:tc>
          <w:tcPr>
            <w:tcW w:w="159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Sentimental texts( 5.9 million tweets), Exchange rate(PKR/USD, GBP/USD, HKD/USD)</w:t>
            </w:r>
          </w:p>
        </w:tc>
        <w:tc>
          <w:tcPr>
            <w:tcW w:w="177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bookmarkStart w:id="0" w:name="_GoBack"/>
            <w:r>
              <w:rPr>
                <w:rFonts w:hint="eastAsia"/>
                <w:vertAlign w:val="baseline"/>
                <w:lang w:val="en-US" w:eastAsia="zh-CN"/>
              </w:rPr>
              <w:t>CNN-based, linear regression, SVR</w:t>
            </w:r>
            <w:bookmarkEnd w:id="0"/>
          </w:p>
        </w:tc>
        <w:tc>
          <w:tcPr>
            <w:tcW w:w="106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×</w:t>
            </w:r>
          </w:p>
        </w:tc>
        <w:tc>
          <w:tcPr>
            <w:tcW w:w="115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√</w:t>
            </w:r>
          </w:p>
        </w:tc>
        <w:tc>
          <w:tcPr>
            <w:tcW w:w="100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×</w:t>
            </w:r>
          </w:p>
        </w:tc>
      </w:tr>
    </w:tbl>
    <w:p/>
    <w:p/>
    <w:p>
      <w:r>
        <w:rPr>
          <w:rFonts w:hint="eastAsia"/>
          <w:vertAlign w:val="baseline"/>
          <w:lang w:val="en-US" w:eastAsia="zh-CN"/>
        </w:rPr>
        <w:t>Adopt 29 variables, feature selection, and include LSTM, BiLSTM etc. Deep learning models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Poppi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kyYTFkMWQyNDg1NGI5NTI0ZWU5YWIxOWU0ZjEyYTcifQ=="/>
  </w:docVars>
  <w:rsids>
    <w:rsidRoot w:val="5E327F5F"/>
    <w:rsid w:val="0270686F"/>
    <w:rsid w:val="0E053481"/>
    <w:rsid w:val="12EF558E"/>
    <w:rsid w:val="14CB61ED"/>
    <w:rsid w:val="16BB73C7"/>
    <w:rsid w:val="189A3914"/>
    <w:rsid w:val="1DBB691C"/>
    <w:rsid w:val="28814A83"/>
    <w:rsid w:val="304765B2"/>
    <w:rsid w:val="35990E75"/>
    <w:rsid w:val="38CF2661"/>
    <w:rsid w:val="498440B3"/>
    <w:rsid w:val="5805272B"/>
    <w:rsid w:val="5CBD5382"/>
    <w:rsid w:val="5E327F5F"/>
    <w:rsid w:val="62EE44E7"/>
    <w:rsid w:val="7EC50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231</Words>
  <Characters>1248</Characters>
  <Lines>0</Lines>
  <Paragraphs>0</Paragraphs>
  <TotalTime>92</TotalTime>
  <ScaleCrop>false</ScaleCrop>
  <LinksUpToDate>false</LinksUpToDate>
  <CharactersWithSpaces>1396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2023-08-18T08:13:00Z</dcterms:created>
  <dc:creator>小尘</dc:creator>
  <cp:lastModifiedBy>小尘</cp:lastModifiedBy>
  <dcterms:modified xsi:type="dcterms:W3CDTF">2023-08-18T17:06:21Z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B44839B14AC740DC90CAD6925259B10C_11</vt:lpwstr>
  </property>
</Properties>
</file>