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beforeAutospacing="0" w:afterAutospacing="0" w:line="360" w:lineRule="auto"/>
        <w:jc w:val="center"/>
        <w:rPr>
          <w:rFonts w:ascii="Times New Roman" w:hAnsi="Times New Roman" w:eastAsia="宋体"/>
          <w:b/>
          <w:bCs/>
          <w:color w:val="0E101A"/>
          <w:sz w:val="32"/>
          <w:szCs w:val="32"/>
        </w:rPr>
      </w:pPr>
      <w:bookmarkStart w:id="0" w:name="OLE_LINK1"/>
      <w:r>
        <w:rPr>
          <w:rFonts w:ascii="Times New Roman" w:hAnsi="Times New Roman" w:eastAsia="宋体"/>
          <w:b/>
          <w:bCs/>
          <w:color w:val="0E101A"/>
          <w:sz w:val="32"/>
          <w:szCs w:val="32"/>
        </w:rPr>
        <w:t>A new LASSO-BiLSTM-based ensemble learning approach for exchange rate forecasting</w:t>
      </w:r>
    </w:p>
    <w:bookmarkEnd w:id="0"/>
    <w:p>
      <w:pPr>
        <w:jc w:val="center"/>
        <w:rPr>
          <w:rFonts w:ascii="Times New Roman" w:hAnsi="Times New Roman" w:cs="Times New Roman"/>
        </w:rPr>
      </w:pPr>
      <w:r>
        <w:rPr>
          <w:rFonts w:ascii="Times New Roman" w:hAnsi="Times New Roman" w:cs="Times New Roman"/>
        </w:rPr>
        <w:t xml:space="preserve">Siyuan Liu </w:t>
      </w:r>
      <w:r>
        <w:rPr>
          <w:rFonts w:ascii="Times New Roman" w:hAnsi="Times New Roman" w:cs="Times New Roman"/>
          <w:vertAlign w:val="superscript"/>
        </w:rPr>
        <w:t>a</w:t>
      </w:r>
      <w:r>
        <w:rPr>
          <w:rFonts w:ascii="Times New Roman" w:hAnsi="Times New Roman" w:cs="Times New Roman"/>
        </w:rPr>
        <w:t xml:space="preserve">, Qiqian Huang </w:t>
      </w:r>
      <w:r>
        <w:rPr>
          <w:rFonts w:ascii="Times New Roman" w:hAnsi="Times New Roman" w:cs="Times New Roman"/>
          <w:vertAlign w:val="superscript"/>
        </w:rPr>
        <w:t>a</w:t>
      </w:r>
      <w:r>
        <w:rPr>
          <w:rFonts w:ascii="Times New Roman" w:hAnsi="Times New Roman" w:cs="Times New Roman"/>
        </w:rPr>
        <w:t>, M</w:t>
      </w:r>
      <w:r>
        <w:rPr>
          <w:rFonts w:hint="eastAsia" w:ascii="Times New Roman" w:hAnsi="Times New Roman" w:cs="Times New Roman"/>
        </w:rPr>
        <w:t>ingchen</w:t>
      </w:r>
      <w:r>
        <w:rPr>
          <w:rFonts w:ascii="Times New Roman" w:hAnsi="Times New Roman" w:cs="Times New Roman"/>
        </w:rPr>
        <w:t xml:space="preserve"> Li</w:t>
      </w:r>
      <w:r>
        <w:rPr>
          <w:rFonts w:ascii="Times New Roman" w:hAnsi="Times New Roman" w:cs="Times New Roman"/>
          <w:vertAlign w:val="superscript"/>
        </w:rPr>
        <w:t xml:space="preserve"> b,c</w:t>
      </w:r>
      <w:r>
        <w:rPr>
          <w:rFonts w:ascii="Times New Roman" w:hAnsi="Times New Roman" w:cs="Times New Roman"/>
        </w:rPr>
        <w:t xml:space="preserve">, Yunjie Wei </w:t>
      </w:r>
      <w:r>
        <w:rPr>
          <w:rFonts w:ascii="Times New Roman" w:hAnsi="Times New Roman" w:cs="Times New Roman"/>
          <w:vertAlign w:val="superscript"/>
        </w:rPr>
        <w:t>b,d</w:t>
      </w:r>
      <w:r>
        <w:rPr>
          <w:rStyle w:val="20"/>
          <w:rFonts w:ascii="Times New Roman" w:hAnsi="Times New Roman" w:cs="Times New Roman"/>
        </w:rPr>
        <w:footnoteReference w:id="0"/>
      </w:r>
    </w:p>
    <w:p>
      <w:pPr>
        <w:rPr>
          <w:rFonts w:ascii="Times New Roman" w:hAnsi="Times New Roman" w:cs="Times New Roman"/>
        </w:rPr>
      </w:pPr>
      <w:r>
        <w:rPr>
          <w:rFonts w:ascii="Times New Roman" w:hAnsi="Times New Roman" w:cs="Times New Roman"/>
          <w:vertAlign w:val="superscript"/>
        </w:rPr>
        <w:t xml:space="preserve">a </w:t>
      </w:r>
      <w:r>
        <w:rPr>
          <w:rFonts w:ascii="Times New Roman" w:hAnsi="Times New Roman" w:cs="Times New Roman"/>
        </w:rPr>
        <w:t>Beijing 101 High School</w:t>
      </w:r>
    </w:p>
    <w:p>
      <w:pP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Academy of Mathematics and Systems Science, Chinese Academy of Sciences, Beijing, 100190, China</w:t>
      </w:r>
    </w:p>
    <w:p>
      <w:pPr>
        <w:contextualSpacing/>
        <w:rPr>
          <w:rFonts w:ascii="Times New Roman" w:hAnsi="Times New Roman" w:cs="Times New Roman"/>
        </w:rPr>
      </w:pPr>
      <w:r>
        <w:rPr>
          <w:rFonts w:ascii="Times New Roman" w:hAnsi="Times New Roman" w:cs="Times New Roman"/>
          <w:szCs w:val="21"/>
          <w:vertAlign w:val="superscript"/>
        </w:rPr>
        <w:t xml:space="preserve">c </w:t>
      </w:r>
      <w:r>
        <w:rPr>
          <w:rFonts w:ascii="Times New Roman" w:hAnsi="Times New Roman" w:cs="Times New Roman"/>
        </w:rPr>
        <w:t>School of Mathematical Sciences, University of Chinese Academy of Sciences, Beijing 100190</w:t>
      </w:r>
    </w:p>
    <w:p>
      <w:pPr>
        <w:rPr>
          <w:rFonts w:ascii="Times New Roman" w:hAnsi="Times New Roman" w:cs="Times New Roman"/>
          <w:szCs w:val="21"/>
        </w:rPr>
      </w:pPr>
      <w:r>
        <w:rPr>
          <w:rFonts w:ascii="Times New Roman" w:hAnsi="Times New Roman" w:cs="Times New Roman"/>
          <w:szCs w:val="21"/>
          <w:vertAlign w:val="superscript"/>
        </w:rPr>
        <w:t xml:space="preserve">d </w:t>
      </w:r>
      <w:r>
        <w:rPr>
          <w:rFonts w:ascii="Times New Roman" w:hAnsi="Times New Roman" w:cs="Times New Roman"/>
          <w:szCs w:val="21"/>
        </w:rPr>
        <w:t>Center for Forecasting Science, Chinese Academy of Sciences, Beijing 100190, China</w:t>
      </w:r>
    </w:p>
    <w:p>
      <w:pPr>
        <w:widowControl/>
        <w:jc w:val="center"/>
        <w:rPr>
          <w:rFonts w:ascii="Times New Roman" w:hAnsi="Times New Roman" w:cs="Times New Roman"/>
          <w:sz w:val="24"/>
        </w:rPr>
      </w:pPr>
    </w:p>
    <w:p>
      <w:pPr>
        <w:pStyle w:val="12"/>
        <w:spacing w:beforeAutospacing="0" w:afterAutospacing="0" w:line="360" w:lineRule="auto"/>
        <w:rPr>
          <w:rFonts w:ascii="Times New Roman" w:hAnsi="Times New Roman"/>
          <w:color w:val="FF0000"/>
          <w:sz w:val="24"/>
        </w:rPr>
      </w:pPr>
      <w:r>
        <w:rPr>
          <w:rFonts w:ascii="Times New Roman" w:hAnsi="Times New Roman" w:eastAsia="宋体"/>
          <w:b/>
          <w:bCs/>
          <w:color w:val="000000"/>
          <w:kern w:val="0"/>
          <w:sz w:val="28"/>
          <w:szCs w:val="28"/>
          <w:lang w:bidi="ar"/>
        </w:rPr>
        <w:t>Abstract</w:t>
      </w:r>
      <w:r>
        <w:rPr>
          <w:rFonts w:ascii="Times New Roman" w:hAnsi="Times New Roman" w:eastAsia="宋体"/>
          <w:b/>
          <w:bCs/>
          <w:color w:val="000000"/>
          <w:kern w:val="0"/>
          <w:sz w:val="24"/>
          <w:lang w:bidi="ar"/>
        </w:rPr>
        <w:t xml:space="preserve">: </w:t>
      </w:r>
      <w:bookmarkStart w:id="1" w:name="_Hlk143470313"/>
      <w:r>
        <w:rPr>
          <w:rFonts w:ascii="Times New Roman" w:hAnsi="Times New Roman"/>
          <w:sz w:val="24"/>
        </w:rPr>
        <w:t xml:space="preserve">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w:t>
      </w:r>
      <w:r>
        <w:rPr>
          <w:rFonts w:ascii="Times New Roman" w:hAnsi="Times New Roman"/>
          <w:color w:val="FF0000"/>
          <w:sz w:val="24"/>
        </w:rPr>
        <w:t xml:space="preserve">First, 29 variables are selected to reflect economic activites on market and macroeconomic levels. </w:t>
      </w:r>
      <w:r>
        <w:rPr>
          <w:rFonts w:ascii="Times New Roman" w:hAnsi="Times New Roman"/>
          <w:sz w:val="24"/>
        </w:rPr>
        <w:t>Then, LASSO-BiLSTM-based ensemble learning approach is adopted with two steps: 1) LASSO is used to select six variables that are highly correlated with the exchange rate to reduce noises</w:t>
      </w:r>
      <w:r>
        <w:rPr>
          <w:rFonts w:ascii="Times New Roman" w:hAnsi="Times New Roman"/>
          <w:color w:val="FF0000"/>
          <w:sz w:val="24"/>
        </w:rPr>
        <w:t xml:space="preserve">. 2) BiLSTM is employed to forecast exchange rate with the six chosen variables. </w:t>
      </w:r>
      <w:r>
        <w:rPr>
          <w:rFonts w:ascii="Times New Roman" w:hAnsi="Times New Roman"/>
          <w:sz w:val="24"/>
        </w:rPr>
        <w:t xml:space="preserve">Last, to test the effectiveness of BiLSTM, comparisons with four deep learning algorithms, which are extreme learning machine (ELM), kernel extreme learning machine (KELM), long short-term memory (LSTM), and support vector regression (SVR), are conducted. </w:t>
      </w:r>
      <w:r>
        <w:rPr>
          <w:rFonts w:ascii="Times New Roman" w:hAnsi="Times New Roman"/>
          <w:color w:val="FF0000"/>
          <w:sz w:val="24"/>
        </w:rPr>
        <w:t>The result shows that LASSO-BiLSTM outperforms the other models in 1-step forecast (MAE: 0.051, RMSE: 0.072, MDA:0.777). Same conclusion applies to 3-steps and 6-</w:t>
      </w:r>
    </w:p>
    <w:p>
      <w:pPr>
        <w:pStyle w:val="12"/>
        <w:spacing w:beforeAutospacing="0" w:afterAutospacing="0" w:line="360" w:lineRule="auto"/>
        <w:rPr>
          <w:rFonts w:ascii="Times New Roman" w:hAnsi="Times New Roman"/>
        </w:rPr>
      </w:pPr>
      <w:r>
        <w:rPr>
          <w:rFonts w:ascii="Times New Roman" w:hAnsi="Times New Roman"/>
          <w:color w:val="FF0000"/>
          <w:sz w:val="24"/>
        </w:rPr>
        <w:t xml:space="preserve">steps forecast. Overall, the </w:t>
      </w:r>
      <w:r>
        <w:rPr>
          <w:rFonts w:ascii="Times New Roman" w:hAnsi="Times New Roman"/>
          <w:sz w:val="24"/>
        </w:rPr>
        <w:t xml:space="preserve">proposed LASSO-BiLSTM-based ensemble learning method </w:t>
      </w:r>
      <w:r>
        <w:rPr>
          <w:rFonts w:ascii="Times New Roman" w:hAnsi="Times New Roman"/>
          <w:color w:val="FF0000"/>
          <w:sz w:val="24"/>
        </w:rPr>
        <w:t xml:space="preserve">demonstrates high potential in time series </w:t>
      </w:r>
      <w:r>
        <w:rPr>
          <w:rFonts w:ascii="Times New Roman" w:hAnsi="Times New Roman" w:eastAsia="宋体"/>
          <w:color w:val="FF0000"/>
          <w:sz w:val="24"/>
        </w:rPr>
        <w:t>forecasting</w:t>
      </w:r>
      <w:r>
        <w:rPr>
          <w:rFonts w:ascii="Times New Roman" w:hAnsi="Times New Roman"/>
          <w:color w:val="FF0000"/>
          <w:sz w:val="24"/>
        </w:rPr>
        <w:t>.</w:t>
      </w:r>
      <w:bookmarkEnd w:id="1"/>
    </w:p>
    <w:p>
      <w:pPr>
        <w:pStyle w:val="12"/>
        <w:spacing w:beforeAutospacing="0" w:afterAutospacing="0" w:line="360" w:lineRule="auto"/>
        <w:rPr>
          <w:rFonts w:ascii="Times New Roman" w:hAnsi="Times New Roman" w:eastAsia="宋体"/>
          <w:b/>
          <w:bCs/>
          <w:color w:val="FF0000"/>
          <w:kern w:val="0"/>
          <w:sz w:val="31"/>
          <w:szCs w:val="31"/>
          <w:lang w:bidi="ar"/>
        </w:rPr>
      </w:pPr>
      <w:bookmarkStart w:id="2" w:name="_Hlk143470425"/>
      <w:r>
        <w:rPr>
          <w:rFonts w:hint="eastAsia" w:ascii="Times New Roman" w:hAnsi="Times New Roman" w:eastAsia="宋体"/>
          <w:b/>
          <w:bCs/>
          <w:color w:val="000000"/>
          <w:kern w:val="0"/>
          <w:sz w:val="28"/>
          <w:szCs w:val="28"/>
          <w:lang w:bidi="ar"/>
        </w:rPr>
        <w:t>K</w:t>
      </w:r>
      <w:r>
        <w:rPr>
          <w:rFonts w:ascii="Times New Roman" w:hAnsi="Times New Roman" w:eastAsia="宋体"/>
          <w:b/>
          <w:bCs/>
          <w:color w:val="000000"/>
          <w:kern w:val="0"/>
          <w:sz w:val="28"/>
          <w:szCs w:val="28"/>
          <w:lang w:bidi="ar"/>
        </w:rPr>
        <w:t>eywords</w:t>
      </w:r>
      <w:r>
        <w:rPr>
          <w:rFonts w:ascii="Times New Roman" w:hAnsi="Times New Roman" w:eastAsia="宋体"/>
          <w:b/>
          <w:bCs/>
          <w:color w:val="000000"/>
          <w:kern w:val="0"/>
          <w:sz w:val="31"/>
          <w:szCs w:val="31"/>
          <w:lang w:bidi="ar"/>
        </w:rPr>
        <w:t>:</w:t>
      </w:r>
      <w:r>
        <w:rPr>
          <w:rFonts w:hint="eastAsia" w:ascii="Times New Roman" w:hAnsi="Times New Roman" w:eastAsia="宋体"/>
          <w:b/>
          <w:bCs/>
          <w:color w:val="000000"/>
          <w:kern w:val="0"/>
          <w:sz w:val="31"/>
          <w:szCs w:val="31"/>
          <w:lang w:bidi="ar"/>
        </w:rPr>
        <w:t xml:space="preserve"> </w:t>
      </w:r>
      <w:r>
        <w:rPr>
          <w:rFonts w:ascii="Times New Roman" w:hAnsi="Times New Roman" w:eastAsia="宋体"/>
          <w:color w:val="0E101A"/>
          <w:sz w:val="24"/>
        </w:rPr>
        <w:t>Exchange rate forecasting, Macroeconomic factors, Market-based variables</w:t>
      </w:r>
      <w:r>
        <w:rPr>
          <w:rFonts w:ascii="Times New Roman" w:hAnsi="Times New Roman" w:eastAsia="宋体"/>
          <w:color w:val="FF0000"/>
          <w:sz w:val="24"/>
        </w:rPr>
        <w:t xml:space="preserve">, </w:t>
      </w:r>
      <w:bookmarkStart w:id="3" w:name="_Hlk143377312"/>
      <w:r>
        <w:rPr>
          <w:rFonts w:ascii="Times New Roman" w:hAnsi="Times New Roman" w:eastAsia="宋体"/>
          <w:color w:val="FF0000"/>
          <w:sz w:val="24"/>
        </w:rPr>
        <w:t>Time series forecasting</w:t>
      </w:r>
      <w:bookmarkEnd w:id="3"/>
    </w:p>
    <w:bookmarkEnd w:id="2"/>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4" w:name="_Hlk143365693"/>
      <w:r>
        <w:rPr>
          <w:rFonts w:ascii="Times New Roman" w:hAnsi="Times New Roman" w:eastAsia="宋体"/>
          <w:b/>
          <w:bCs/>
          <w:color w:val="0E101A"/>
          <w:sz w:val="28"/>
          <w:szCs w:val="28"/>
        </w:rPr>
        <w:t>Introduction</w:t>
      </w:r>
    </w:p>
    <w:bookmarkEnd w:id="4"/>
    <w:p>
      <w:pPr>
        <w:spacing w:line="360" w:lineRule="auto"/>
        <w:ind w:firstLine="420"/>
        <w:rPr>
          <w:rFonts w:ascii="Times New Roman" w:hAnsi="Times New Roman" w:eastAsia="宋体" w:cs="Times New Roman"/>
          <w:color w:val="0E101A"/>
          <w:sz w:val="24"/>
        </w:rPr>
      </w:pPr>
      <w:bookmarkStart w:id="5" w:name="_Hlk143469191"/>
      <w:r>
        <w:rPr>
          <w:rFonts w:ascii="Times New Roman" w:hAnsi="Times New Roman" w:eastAsia="宋体" w:cs="Times New Roman"/>
          <w:color w:val="0E101A"/>
          <w:sz w:val="24"/>
        </w:rPr>
        <w:t xml:space="preserve">Foreign exchange rates are always characterized by high volatility and uncertainty since it is influenced by numerous unstable factors, </w:t>
      </w:r>
      <w:r>
        <w:rPr>
          <w:rFonts w:ascii="Times New Roman" w:hAnsi="Times New Roman" w:eastAsia="宋体" w:cs="Times New Roman"/>
          <w:color w:val="FF0000"/>
          <w:sz w:val="24"/>
        </w:rPr>
        <w:t>such as economic factors and geopolitical events and environmental factors (Njindan Iyke, 2020)</w:t>
      </w:r>
      <w:r>
        <w:rPr>
          <w:rFonts w:ascii="Times New Roman" w:hAnsi="Times New Roman" w:eastAsia="宋体" w:cs="Times New Roman"/>
          <w:color w:val="0E101A"/>
          <w:sz w:val="24"/>
        </w:rPr>
        <w:t xml:space="preserve">. However, forecasting the foreign exchange rates is essential for the government as it relates to the country’s financial security and may be used to have foresight </w:t>
      </w:r>
      <w:r>
        <w:rPr>
          <w:rFonts w:ascii="Times New Roman" w:hAnsi="Times New Roman" w:eastAsia="宋体" w:cs="Times New Roman"/>
          <w:color w:val="000000" w:themeColor="text1"/>
          <w:sz w:val="24"/>
          <w14:textFill>
            <w14:solidFill>
              <w14:schemeClr w14:val="tx1"/>
            </w14:solidFill>
          </w14:textFill>
        </w:rPr>
        <w:t>on</w:t>
      </w:r>
      <w:r>
        <w:rPr>
          <w:rFonts w:ascii="Times New Roman" w:hAnsi="Times New Roman" w:eastAsia="宋体" w:cs="Times New Roman"/>
          <w:color w:val="0E101A"/>
          <w:sz w:val="24"/>
        </w:rPr>
        <w:t xml:space="preserve"> policymaking </w:t>
      </w:r>
      <w:r>
        <w:rPr>
          <w:rFonts w:ascii="Times New Roman" w:hAnsi="Times New Roman" w:eastAsia="宋体" w:cs="Times New Roman"/>
          <w:color w:val="FF0000"/>
          <w:sz w:val="24"/>
        </w:rPr>
        <w:t>(Sun et al., 2020). Moreover, for enterprises and individuals, accurate foreign exchange rates may help them to hedge risks and gain considerable investment income. Thus, different models are adopted to precisely capture the complexity and nonlinearity of the foreign exchange rates (Rossi, 2013). However, decades of research are still plagued by low prediction accuracy, and the prediction of exchange rate series has become particularly important in recent years as the data magnitude and data modality have been updated (search index, sentiment, etc.).</w:t>
      </w:r>
      <w:bookmarkEnd w:id="5"/>
      <w:r>
        <w:rPr>
          <w:rFonts w:ascii="Times New Roman" w:hAnsi="Times New Roman" w:eastAsia="宋体" w:cs="Times New Roman"/>
          <w:color w:val="FF0000"/>
          <w:sz w:val="24"/>
        </w:rPr>
        <w:t xml:space="preserve"> </w:t>
      </w:r>
      <w:r>
        <w:rPr>
          <w:rFonts w:ascii="Times New Roman" w:hAnsi="Times New Roman" w:eastAsia="宋体" w:cs="Times New Roman"/>
          <w:color w:val="0E101A"/>
          <w:sz w:val="24"/>
        </w:rPr>
        <w:t>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bookmarkStart w:id="6" w:name="_Hlk143375854"/>
      <w:r>
        <w:rPr>
          <w:rFonts w:ascii="Times New Roman" w:hAnsi="Times New Roman" w:eastAsia="宋体" w:cs="Times New Roman"/>
          <w:color w:val="FF0000"/>
          <w:sz w:val="24"/>
        </w:rPr>
        <w:t>Models applied to exchange rate forecasting</w:t>
      </w:r>
      <w:bookmarkEnd w:id="6"/>
      <w:r>
        <w:rPr>
          <w:rFonts w:ascii="Times New Roman" w:hAnsi="Times New Roman" w:eastAsia="宋体" w:cs="Times New Roman"/>
          <w:color w:val="FF0000"/>
          <w:sz w:val="24"/>
        </w:rPr>
        <w:t xml:space="preserve"> can be divided into three categories</w:t>
      </w:r>
      <w:r>
        <w:rPr>
          <w:rFonts w:ascii="Times New Roman" w:hAnsi="Times New Roman" w:eastAsia="宋体" w:cs="Times New Roman"/>
          <w:color w:val="0E101A"/>
          <w:sz w:val="24"/>
        </w:rPr>
        <w:t xml:space="preserve">: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w:t>
      </w:r>
      <w:r>
        <w:rPr>
          <w:rFonts w:ascii="Times New Roman" w:hAnsi="Times New Roman" w:eastAsia="宋体" w:cs="Times New Roman"/>
          <w:color w:val="FF0000"/>
          <w:sz w:val="24"/>
        </w:rPr>
        <w:t xml:space="preserve">Other artificial intelligence models such as multi-functional recurrent fuzzy neural network and new gate control unit network are developed recently (Wang et al, 2022; Nasiri &amp; Ebadzadeh, 2022). </w:t>
      </w:r>
      <w:r>
        <w:rPr>
          <w:rFonts w:ascii="Times New Roman" w:hAnsi="Times New Roman" w:eastAsia="宋体" w:cs="Times New Roman"/>
          <w:color w:val="0E101A"/>
          <w:sz w:val="24"/>
        </w:rPr>
        <w:t>Artificial intelligence models overcome the shortages of econometric and</w:t>
      </w:r>
      <w:r>
        <w:rPr>
          <w:rFonts w:ascii="Times New Roman" w:hAnsi="Times New Roman" w:eastAsia="宋体" w:cs="Times New Roman"/>
          <w:color w:val="000000" w:themeColor="text1"/>
          <w:sz w:val="24"/>
          <w14:textFill>
            <w14:solidFill>
              <w14:schemeClr w14:val="tx1"/>
            </w14:solidFill>
          </w14:textFill>
        </w:rPr>
        <w:t xml:space="preserve"> statistical</w:t>
      </w:r>
      <w:r>
        <w:rPr>
          <w:rFonts w:ascii="Times New Roman" w:hAnsi="Times New Roman" w:eastAsia="宋体" w:cs="Times New Roman"/>
          <w:color w:val="0E101A"/>
          <w:sz w:val="24"/>
        </w:rPr>
        <w:t xml:space="preserve">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 used ICA to extract the noise of time series and then used NN in forecasting. Other hybrid models such as the VMD-CNN-GRU-based model (Zhao et al., 2023), CNN-BiLSTM(Méndez et al., 2023),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 the financial market into account, studying correlations across energy, gold, the stock market, and the exchange rate (Sujit &amp; Kumar, 2011</w:t>
      </w:r>
      <w:r>
        <w:rPr>
          <w:rFonts w:hint="eastAsia" w:ascii="Times New Roman" w:hAnsi="Times New Roman" w:eastAsia="宋体" w:cs="Times New Roman"/>
          <w:color w:val="0E101A"/>
          <w:sz w:val="24"/>
        </w:rPr>
        <w:t>;</w:t>
      </w:r>
      <w:r>
        <w:rPr>
          <w:rFonts w:ascii="Times New Roman" w:hAnsi="Times New Roman" w:eastAsia="宋体" w:cs="Times New Roman"/>
          <w:color w:val="0E101A"/>
          <w:sz w:val="24"/>
        </w:rPr>
        <w:t xml:space="preserve">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However, existing literature uses only macroeconomics variables or market-level variables to predict the exchange rate, and a few uses both. Moreover, among these variables, some may have the highest relevance to the exchange rate (Wei et al., 2018). Thus, selecting the most necessary variables and excluding variables with </w:t>
      </w:r>
      <w:r>
        <w:rPr>
          <w:rFonts w:ascii="Times New Roman" w:hAnsi="Times New Roman" w:eastAsia="宋体" w:cs="Times New Roman"/>
          <w:color w:val="FF0000"/>
          <w:sz w:val="24"/>
        </w:rPr>
        <w:t xml:space="preserve">low </w:t>
      </w:r>
      <w:r>
        <w:rPr>
          <w:rFonts w:ascii="Times New Roman" w:hAnsi="Times New Roman" w:eastAsia="宋体" w:cs="Times New Roman"/>
          <w:color w:val="0E101A"/>
          <w:sz w:val="24"/>
        </w:rPr>
        <w:t>relevance may reduce noise, providing a more accurate result.</w:t>
      </w:r>
    </w:p>
    <w:p>
      <w:pPr>
        <w:spacing w:line="360" w:lineRule="auto"/>
        <w:ind w:firstLine="420"/>
        <w:rPr>
          <w:rFonts w:ascii="Times New Roman" w:hAnsi="Times New Roman" w:eastAsia="宋体" w:cs="Times New Roman"/>
          <w:color w:val="FF0000"/>
          <w:sz w:val="24"/>
        </w:rPr>
      </w:pPr>
      <w:bookmarkStart w:id="7" w:name="_Hlk143365669"/>
      <w:bookmarkStart w:id="8" w:name="_Hlk143468180"/>
      <w:r>
        <w:rPr>
          <w:rFonts w:ascii="Times New Roman" w:hAnsi="Times New Roman" w:eastAsia="宋体" w:cs="Times New Roman"/>
          <w:color w:val="FF0000"/>
          <w:sz w:val="24"/>
        </w:rPr>
        <w:t>Therefore, a novel LASSO-BiLSTM-based ensemble learning approach for exchange rate forecasting is proposed. First, this study collect the exchange rate historical data with related variables, whose external variables contain 29 variables in 4 areas; second, this study adopt the LASSO method to screen many variables in order to reduce the amount of subsequent calculations and to improve the accuracy; third, this study adopt the neural network model of Bi-LSTM to forecast the exchange rate series; finally, this study adopt a variety of prediction evaluation indexes to assess the prediction results in order to illustrate the superiority of the model proposed in this study.</w:t>
      </w:r>
    </w:p>
    <w:bookmarkEnd w:id="7"/>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rPr>
        <w:t xml:space="preserve">The major contributions in this paper are as follows. </w:t>
      </w:r>
      <w:bookmarkStart w:id="9" w:name="_Hlk143365282"/>
      <w:r>
        <w:rPr>
          <w:rFonts w:ascii="Times New Roman" w:hAnsi="Times New Roman" w:eastAsia="宋体" w:cs="Times New Roman"/>
          <w:color w:val="FF0000"/>
          <w:sz w:val="24"/>
        </w:rPr>
        <w:t>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the collected features are filtered using LASSO, an efficient tool, to improve the prediction efficiency and accuracy. Third, the prediction is performed using an efficient Bi-LSTM model, which, to the best of our knowledge, is the first time it has been applied to exchange rate prediction.</w:t>
      </w:r>
      <w:bookmarkEnd w:id="8"/>
    </w:p>
    <w:bookmarkEnd w:id="9"/>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The rest of this study is organized as follows. </w:t>
      </w:r>
      <w:r>
        <w:rPr>
          <w:rFonts w:ascii="Times New Roman" w:hAnsi="Times New Roman" w:eastAsia="宋体" w:cs="Times New Roman"/>
          <w:color w:val="FF0000"/>
          <w:sz w:val="24"/>
        </w:rPr>
        <w:t>Section 2 shows the literature review related to this study.</w:t>
      </w:r>
      <w:r>
        <w:rPr>
          <w:rFonts w:ascii="Times New Roman" w:hAnsi="Times New Roman" w:eastAsia="宋体" w:cs="Times New Roman"/>
          <w:color w:val="0E101A"/>
          <w:sz w:val="24"/>
        </w:rPr>
        <w:t xml:space="preserve"> Section 3 introduces the related models, including LASSO, SVR, ELM, LSTM, BiLSTM, and KELM. Section 4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5. </w:t>
      </w:r>
      <w:r>
        <w:rPr>
          <w:rFonts w:ascii="Times New Roman" w:hAnsi="Times New Roman" w:eastAsia="宋体" w:cs="Times New Roman"/>
          <w:color w:val="FF0000"/>
          <w:sz w:val="24"/>
        </w:rPr>
        <w:t xml:space="preserve">In Section 6, we discuss the results of the study, including a description of the contributions of this study, shortcomings and perspectives for the future. </w:t>
      </w:r>
      <w:r>
        <w:rPr>
          <w:rFonts w:hint="eastAsia" w:ascii="Times New Roman" w:hAnsi="Times New Roman" w:eastAsia="宋体" w:cs="Times New Roman"/>
          <w:color w:val="FF0000"/>
          <w:sz w:val="24"/>
        </w:rPr>
        <w:t>Figure</w:t>
      </w:r>
      <w:r>
        <w:rPr>
          <w:rFonts w:ascii="Times New Roman" w:hAnsi="Times New Roman" w:eastAsia="宋体" w:cs="Times New Roman"/>
          <w:color w:val="FF0000"/>
          <w:sz w:val="24"/>
        </w:rPr>
        <w:t xml:space="preserve"> 1 below demonstrates the overall process of this study.</w:t>
      </w:r>
    </w:p>
    <w:p>
      <w:pPr>
        <w:keepNext/>
        <w:spacing w:line="360" w:lineRule="auto"/>
        <w:rPr>
          <w:rFonts w:ascii="Times New Roman" w:hAnsi="Times New Roman" w:cs="Times New Roman"/>
        </w:rPr>
      </w:pPr>
      <w:r>
        <w:rPr>
          <w:rFonts w:ascii="Times New Roman" w:hAnsi="Times New Roman" w:cs="Times New Roman"/>
        </w:rPr>
        <w:drawing>
          <wp:inline distT="0" distB="0" distL="114300" distR="114300">
            <wp:extent cx="5270500" cy="2971165"/>
            <wp:effectExtent l="0" t="0" r="635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
                    <a:stretch>
                      <a:fillRect/>
                    </a:stretch>
                  </pic:blipFill>
                  <pic:spPr>
                    <a:xfrm>
                      <a:off x="0" y="0"/>
                      <a:ext cx="5270500" cy="2971165"/>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12"/>
        <w:numPr>
          <w:ilvl w:val="0"/>
          <w:numId w:val="1"/>
        </w:numPr>
        <w:spacing w:before="312" w:beforeLines="100" w:beforeAutospacing="0" w:afterAutospacing="0" w:line="360" w:lineRule="auto"/>
        <w:outlineLvl w:val="0"/>
        <w:rPr>
          <w:rFonts w:ascii="Times New Roman" w:hAnsi="Times New Roman" w:eastAsia="宋体"/>
          <w:b/>
          <w:bCs/>
          <w:color w:val="FF0000"/>
          <w:sz w:val="28"/>
          <w:szCs w:val="28"/>
        </w:rPr>
      </w:pPr>
      <w:bookmarkStart w:id="10" w:name="_Toc114151810"/>
      <w:r>
        <w:rPr>
          <w:rFonts w:ascii="Times New Roman" w:hAnsi="Times New Roman" w:eastAsia="宋体"/>
          <w:b/>
          <w:bCs/>
          <w:color w:val="FF0000"/>
          <w:sz w:val="28"/>
          <w:szCs w:val="28"/>
        </w:rPr>
        <w:t>Literature Review</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This section reviews relevant literature about exchange rate forecasting with forecasting model and variable selection. </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 xml:space="preserve">2.1 Forecasting model </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Traditionally, econometrics and statistic methods are univariate or multivariate analyses of time series. For example, by adopting ARIMA, Reddy SK (2015) investigates the behavior of daily exchange rates of the Indian Rupee (INR) against four other currencies. To improve, ensemble approaches based on econometrics and statistic models are used, such as ARIMA-based time series methods, GARCH-based and VAR-based learning (Pilbeam &amp; Langeland, 2014; Khashei et al., 2015; Brownlees &amp; Gallo, 2009; Epaphra, 2017; Parot et al., 2019). </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However, univariate or multivariate analysis has limited capacity to analyze nonlinear data and requires linearity assumption. Machine learning can overcome these barriers effectively. For instance, Panda and Narasimhan (2007) found that neural network ANN outperforms linear autoregressive (LAR) and random walk (RW) models. Evolutionary support vector machine (SVR) and other ensemble learning approaches all demonstrate adaptive properties such as non-parametric, noise-tolerant, allowing machine learning models to map non-linear functions effectively (Fu et al., 2019; Sun &amp; Yu, 2019; Amelot et al., 2020; Kaushik &amp; Giri, 2020).</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The remaining shortages of machine learning, such as overfitting, and backpropagated error decay, are then improved by deep learning method. Kaushik and Giri (2020) proposed the LSTM-RNN model that achieves higher prediction accuracy. Sun et al. (2020) proposed a new ensemble deep learning approach LSTM-B to improve forecasting accuracy and potential trading profitability. Dautel et al. (2020) examines the effectiveness of GRU and indicate its suitability in exchange rate forecasting. Other deep learning models, such as MLP, CNN, NGCU and MFRFNN, are also implemented in time series prediction (Wang et al., 2021; Wang et al., 2022; Nasiri &amp; Ebadzadeh, 2022; Singh et al., 2022; Liu et al., 2023). However, to best of our knowledge, the deep learning model BiLSTM hasn’t been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2022). Since BiLSTM has a strong capacity to capture future information and analyze sentiments effectively, adopting BiLSTM in the Forex market can better adapt to the instability of exchange rates and economic uncertainty. </w:t>
      </w:r>
    </w:p>
    <w:p>
      <w:pPr>
        <w:pStyle w:val="21"/>
        <w:spacing w:before="156" w:beforeLines="50" w:line="360" w:lineRule="auto"/>
        <w:ind w:left="0" w:leftChars="0"/>
        <w:outlineLvl w:val="1"/>
        <w:rPr>
          <w:rFonts w:ascii="Times New Roman" w:hAnsi="Times New Roman" w:eastAsia="宋体"/>
          <w:color w:val="FF0000"/>
          <w:sz w:val="24"/>
        </w:rPr>
      </w:pPr>
      <w:r>
        <w:rPr>
          <w:rFonts w:ascii="Times New Roman" w:hAnsi="Times New Roman" w:cs="Times New Roman"/>
          <w:b/>
          <w:bCs/>
          <w:i/>
          <w:iCs/>
          <w:color w:val="FF0000"/>
          <w:sz w:val="24"/>
        </w:rPr>
        <w:t>2.2 Variable selection</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Multiple domains of variables are adopted to forecast exchange rates. The most commonly used are macroeconomics variables and research shows that the movement of the exchange rate is tightly related to the performance of macroeconomic fundamentals (Huang et al., 2004; Rime et al., 2010; Molodtsova &amp; Papell, 2012; Chaudhuri &amp; Ghosh, 2016; Beckmann &amp; Schüssler, 2016; Ca’ Zorzi et al., 2017; Beckmann &amp; Czudaj, 2017). Financial variables, such as Dow Jones and stock market </w:t>
      </w:r>
      <w:r>
        <w:rPr>
          <w:rFonts w:ascii="Times New Roman" w:hAnsi="Times New Roman" w:eastAsia="宋体"/>
          <w:color w:val="FF0000"/>
          <w:sz w:val="24"/>
          <w:highlight w:val="yellow"/>
        </w:rPr>
        <w:t>indices a</w:t>
      </w:r>
      <w:r>
        <w:rPr>
          <w:rFonts w:ascii="Times New Roman" w:hAnsi="Times New Roman" w:eastAsia="宋体"/>
          <w:color w:val="FF0000"/>
          <w:sz w:val="24"/>
        </w:rPr>
        <w:t>re also frequently adopted to capture the volatility of exchange rates (Huang et al., 2007; Yuan, 2013; Xiao, 2013; Raheem, 2020). Other variables that reflect market sentiment also show predictive power (Heiden et al., 2013; Bulut, 2017; Lin et al., 2022). However, only a few research adopt variables from different domains at the same time (Morales-Arias &amp; Moura, 2013). To improve, this study selects macroeconomic variables, indicators in the financial market, sentimental index, and composite indicators to reflect economic activities comprehensively. Table 1 below provides a summary of current exchange rate forecasting literatures.</w:t>
      </w:r>
    </w:p>
    <w:p>
      <w:pPr>
        <w:spacing w:line="360" w:lineRule="auto"/>
        <w:jc w:val="left"/>
        <w:rPr>
          <w:rFonts w:ascii="Times New Roman" w:hAnsi="Times New Roman" w:eastAsia="宋体" w:cs="Times New Roman"/>
          <w:color w:val="FF0000"/>
          <w:sz w:val="24"/>
        </w:rPr>
      </w:pPr>
      <w:r>
        <w:rPr>
          <w:rFonts w:ascii="Times New Roman" w:hAnsi="Times New Roman" w:eastAsia="宋体" w:cs="Times New Roman"/>
          <w:color w:val="FF0000"/>
          <w:sz w:val="24"/>
        </w:rPr>
        <w:t>Table 1: Summary of current exchange rate forecasting references</w:t>
      </w:r>
    </w:p>
    <w:tbl>
      <w:tblPr>
        <w:tblStyle w:val="1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8"/>
        <w:gridCol w:w="2124"/>
        <w:gridCol w:w="1647"/>
        <w:gridCol w:w="847"/>
        <w:gridCol w:w="1016"/>
        <w:gridCol w:w="112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References</w:t>
            </w:r>
          </w:p>
        </w:tc>
        <w:tc>
          <w:tcPr>
            <w:tcW w:w="124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Data set</w:t>
            </w:r>
          </w:p>
        </w:tc>
        <w:tc>
          <w:tcPr>
            <w:tcW w:w="96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Methods</w:t>
            </w:r>
          </w:p>
        </w:tc>
        <w:tc>
          <w:tcPr>
            <w:tcW w:w="497"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Wide range of data</w:t>
            </w:r>
          </w:p>
        </w:tc>
        <w:tc>
          <w:tcPr>
            <w:tcW w:w="59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deep learning model</w:t>
            </w:r>
          </w:p>
        </w:tc>
        <w:tc>
          <w:tcPr>
            <w:tcW w:w="662"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Feature selection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Reddy SK (2015)</w:t>
            </w:r>
          </w:p>
        </w:tc>
        <w:tc>
          <w:tcPr>
            <w:tcW w:w="124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w:t>
            </w:r>
          </w:p>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(INR/USD, INR/GBP, INR/EUR &amp; INR/JPY)</w:t>
            </w:r>
          </w:p>
        </w:tc>
        <w:tc>
          <w:tcPr>
            <w:tcW w:w="96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ARIMA, Neural Network &amp; Fuzzy models</w:t>
            </w:r>
          </w:p>
        </w:tc>
        <w:tc>
          <w:tcPr>
            <w:tcW w:w="497"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Epaphra, M.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(TZS/USD)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GARCH&amp;EGARCH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Kaushik &amp; Giri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VAR, SVM,LSTM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Dautel et al.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 CHF/USE)</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LSTM, GRU</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Wang et al. (2021)</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CNN-TLSTM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√(only target to exchange rate)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Lin et al., (2022)</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Baidu index, exchange rate (USD/CNY)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WOA-STL-BI-LSTM </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Bulut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Google Trends, exchange rate of 11 OCED countries </w:t>
            </w:r>
          </w:p>
        </w:tc>
        <w:tc>
          <w:tcPr>
            <w:tcW w:w="966" w:type="pct"/>
            <w:shd w:val="clear" w:color="auto" w:fill="auto"/>
          </w:tcPr>
          <w:p>
            <w:pPr>
              <w:widowControl/>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PPP model, interest parity model, monetary model</w:t>
            </w:r>
          </w:p>
          <w:p>
            <w:pPr>
              <w:jc w:val="left"/>
              <w:rPr>
                <w:rFonts w:ascii="Times New Roman" w:hAnsi="Times New Roman" w:eastAsia="宋体" w:cs="Times New Roman"/>
                <w:color w:val="FF0000"/>
                <w:szCs w:val="21"/>
              </w:rPr>
            </w:pP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Morales-Arias &amp; Moura (2013)</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 returns/volatility of asset markets &amp; cyclical and confidence indices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long-horizon regression approach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Parot et al., (2019)</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ANN, VAR, VECM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Pilbeam &amp; Langeland (2014)</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(USD/JPY, USD/CHF, USD/GBP, USD/EUR)</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 models</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p>
            <w:pPr>
              <w:jc w:val="left"/>
              <w:rPr>
                <w:rFonts w:ascii="Times New Roman" w:hAnsi="Times New Roman" w:eastAsia="宋体" w:cs="Times New Roman"/>
                <w:color w:val="FF0000"/>
                <w:szCs w:val="21"/>
                <w:lang w:bidi="ar"/>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Salisu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Commodity price indices, exchange rate(AUD/USD, CAD/USD, GBP/USD, EUR/USD)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 bivariate single predictive model</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Altan &amp; Karasu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CCI, exchange rate (USD/TRY,  EUR/TRY)</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SVM</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Yasir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Sentimental texts (5.9 million tweets), Exchange rate(PKR/USD, GBP/USD, HKD/USD)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CNN-based, linear regression, SVR</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bl>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Methodology</w:t>
      </w:r>
      <w:bookmarkEnd w:id="10"/>
    </w:p>
    <w:p>
      <w:pPr>
        <w:spacing w:line="360" w:lineRule="auto"/>
        <w:ind w:firstLine="360"/>
        <w:rPr>
          <w:rFonts w:ascii="Times New Roman" w:hAnsi="Times New Roman" w:cs="Times New Roman"/>
          <w:sz w:val="24"/>
        </w:rPr>
      </w:pPr>
      <w:r>
        <w:rPr>
          <w:rFonts w:ascii="Times New Roman" w:hAnsi="Times New Roman" w:cs="Times New Roman"/>
          <w:sz w:val="24"/>
        </w:rPr>
        <w:t>Several machine learning approaches were used in the method.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USD/CNY, and its accuracy will be compared amongst these models.</w:t>
      </w:r>
    </w:p>
    <w:p>
      <w:pPr>
        <w:pStyle w:val="21"/>
        <w:spacing w:before="156" w:beforeLines="50" w:line="360" w:lineRule="auto"/>
        <w:ind w:left="0" w:leftChars="0"/>
        <w:outlineLvl w:val="1"/>
        <w:rPr>
          <w:rFonts w:ascii="Times New Roman" w:hAnsi="Times New Roman" w:cs="Times New Roman"/>
          <w:b/>
          <w:bCs/>
          <w:i/>
          <w:iCs/>
          <w:sz w:val="24"/>
        </w:rPr>
      </w:pPr>
      <w:bookmarkStart w:id="11" w:name="_Toc114151811"/>
      <w:r>
        <w:rPr>
          <w:rFonts w:ascii="Times New Roman" w:hAnsi="Times New Roman" w:cs="Times New Roman"/>
          <w:b/>
          <w:bCs/>
          <w:i/>
          <w:iCs/>
          <w:sz w:val="24"/>
        </w:rPr>
        <w:t>3.1 Least absolute shrinkage and selection operator</w:t>
      </w:r>
      <w:bookmarkEnd w:id="11"/>
    </w:p>
    <w:p>
      <w:pPr>
        <w:spacing w:line="360" w:lineRule="auto"/>
        <w:ind w:firstLine="360"/>
        <w:rPr>
          <w:rFonts w:ascii="Times New Roman" w:hAnsi="Times New Roman" w:cs="Times New Roman"/>
          <w:sz w:val="24"/>
        </w:rPr>
      </w:pPr>
      <w:r>
        <w:rPr>
          <w:rFonts w:ascii="Times New Roman" w:hAnsi="Times New Roman" w:cs="Times New Roman"/>
          <w:sz w:val="24"/>
        </w:rPr>
        <w:t xml:space="preserve">The LASSO is a powerful method for variable selection and constructing regression. </w:t>
      </w:r>
      <w:r>
        <w:rPr>
          <w:rFonts w:ascii="Times New Roman" w:hAnsi="Times New Roman" w:cs="Times New Roman"/>
          <w:color w:val="FF0000"/>
          <w:sz w:val="24"/>
        </w:rPr>
        <w:t>This method was proposed by Tibshirani (1996), which is used to enhance the testing accuracy of machine learning models. LASSO adds a penalty to the model’s residual sum of squares (RSS) (Tibshirani, 1996)</w:t>
      </w:r>
      <w:r>
        <w:rPr>
          <w:rFonts w:ascii="Times New Roman" w:hAnsi="Times New Roman" w:cs="Times New Roman"/>
          <w:sz w:val="24"/>
        </w:rPr>
        <w:t xml:space="preserve">. </w:t>
      </w:r>
      <w:r>
        <w:rPr>
          <w:rFonts w:ascii="Times New Roman" w:hAnsi="Times New Roman" w:cs="Times New Roman"/>
          <w:color w:val="FF0000"/>
          <w:sz w:val="24"/>
        </w:rPr>
        <w:t xml:space="preserve">The variable will be penalized more </w:t>
      </w:r>
      <w:r>
        <w:rPr>
          <w:rFonts w:ascii="Times New Roman" w:hAnsi="Times New Roman" w:cs="Times New Roman"/>
          <w:sz w:val="24"/>
        </w:rPr>
        <w:t xml:space="preserve">if the RSS exceeds the penalty term; therefore, a regularization process will be applied to shrink some of its coefficients to zero so the penalty will not be too high (Tibshirani, 1997). </w:t>
      </w:r>
      <w:r>
        <w:rPr>
          <w:rFonts w:ascii="Times New Roman" w:hAnsi="Times New Roman" w:cs="Times New Roman"/>
          <w:color w:val="FF0000"/>
          <w:sz w:val="24"/>
        </w:rPr>
        <w:t xml:space="preserve">Thus, only features with non-zero coefficient are left,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several advantages. First, the LASSO can increase the interpretability of the regression model due to the shrinkage of several redundant or least correlated variables.</w:t>
      </w:r>
      <w:r>
        <w:rPr>
          <w:rFonts w:ascii="Times New Roman" w:hAnsi="Times New Roman" w:cs="Times New Roman"/>
          <w:color w:val="FF0000"/>
          <w:sz w:val="24"/>
        </w:rPr>
        <w:t xml:space="preserve"> Researchers can then interpret the most significant explanatory variable, eliminating irrelevant variables that are not correlated. Second, this process reduces overfitting. </w:t>
      </w:r>
      <w:r>
        <w:rPr>
          <w:rFonts w:ascii="Times New Roman" w:hAnsi="Times New Roman" w:cs="Times New Roman"/>
          <w:sz w:val="24"/>
        </w:rPr>
        <w:t>Overfitting usually occurs when the training model has too many explanatory variables. Although the model will fit well in training, it does not accurately predict t</w:t>
      </w:r>
      <w:r>
        <w:rPr>
          <w:rFonts w:ascii="Times New Roman" w:hAnsi="Times New Roman" w:cs="Times New Roman"/>
          <w:color w:val="000000"/>
          <w:sz w:val="24"/>
        </w:rPr>
        <w:t>he testing data</w:t>
      </w:r>
      <w:r>
        <w:rPr>
          <w:rFonts w:ascii="Times New Roman" w:hAnsi="Times New Roman" w:cs="Times New Roman"/>
          <w:sz w:val="24"/>
        </w:rPr>
        <w:t>.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the formula is assumed to be</w:t>
      </w:r>
    </w:p>
    <w:p>
      <w:pPr>
        <w:spacing w:line="360" w:lineRule="auto"/>
        <w:jc w:val="center"/>
        <w:rPr>
          <w:rFonts w:ascii="Times New Roman" w:hAnsi="Times New Roman" w:cs="Times New Roman"/>
          <w:sz w:val="24"/>
        </w:rPr>
      </w:pPr>
      <m:oMath>
        <m:r>
          <m:rPr/>
          <w:rPr>
            <w:rFonts w:ascii="Cambria Math" w:hAnsi="Cambria Math" w:cs="Times New Roman"/>
            <w:sz w:val="24"/>
          </w:rPr>
          <m:t>Y=X</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ε</m:t>
        </m:r>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(1)</w:t>
      </w:r>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color w:val="FF0000"/>
          <w:sz w:val="24"/>
        </w:rPr>
      </w:pPr>
      <w:r>
        <w:rPr>
          <w:rFonts w:ascii="Times New Roman" w:hAnsi="Times New Roman" w:cs="Times New Roman"/>
          <w:iCs/>
          <w:sz w:val="24"/>
        </w:rPr>
        <w:tab/>
      </w:r>
      <w:r>
        <w:rPr>
          <w:rFonts w:ascii="Times New Roman" w:hAnsi="Times New Roman" w:cs="Times New Roman"/>
          <w:iCs/>
          <w:sz w:val="24"/>
        </w:rPr>
        <w:t xml:space="preserve">The LASSO minimizes the RSS with an upper bound to the sum of the absolute values of the model parameters. The upper bound is denoted as t. </w:t>
      </w:r>
      <w:r>
        <w:rPr>
          <w:rFonts w:ascii="Times New Roman" w:hAnsi="Times New Roman" w:cs="Times New Roman"/>
          <w:iCs/>
          <w:color w:val="FF0000"/>
          <w:sz w:val="24"/>
        </w:rPr>
        <w:t>The LASSO formula is now shown in equation 2.</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w:t>
      </w:r>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(3)</w:t>
      </w:r>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jc w:val="center"/>
        <w:rPr>
          <w:rFonts w:ascii="Times New Roman" w:hAnsi="Times New Roman" w:cs="Times New Roman"/>
          <w:i/>
          <w:sz w:val="24"/>
        </w:rPr>
      </w:pPr>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r>
                  <m:rPr/>
                  <w:rPr>
                    <w:rFonts w:ascii="Cambria Math" w:hAnsi="Cambria Math" w:cs="Times New Roman"/>
                    <w:sz w:val="24"/>
                  </w:rPr>
                  <m:t xml:space="preserve">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(4)</w:t>
      </w:r>
    </w:p>
    <w:p>
      <w:pPr>
        <w:spacing w:line="360" w:lineRule="auto"/>
        <w:ind w:firstLine="480" w:firstLineChars="200"/>
        <w:rPr>
          <w:rFonts w:ascii="Times New Roman" w:hAnsi="Times New Roman" w:cs="Times New Roman"/>
          <w:sz w:val="24"/>
        </w:rPr>
      </w:pPr>
      <w:r>
        <w:rPr>
          <w:rFonts w:ascii="Times New Roman" w:hAnsi="Times New Roman" w:cs="Times New Roman"/>
          <w:color w:val="FF0000"/>
          <w:sz w:val="24"/>
        </w:rPr>
        <w:t xml:space="preserve">After the shrinkage, </w:t>
      </w:r>
      <w:r>
        <w:rPr>
          <w:rFonts w:ascii="Times New Roman" w:hAnsi="Times New Roman" w:eastAsia="宋体" w:cs="Times New Roman"/>
          <w:color w:val="FF0000"/>
          <w:sz w:val="24"/>
        </w:rPr>
        <w:t>this study</w:t>
      </w:r>
      <w:r>
        <w:rPr>
          <w:rFonts w:ascii="Times New Roman" w:hAnsi="Times New Roman" w:cs="Times New Roman"/>
          <w:color w:val="FF0000"/>
          <w:sz w:val="24"/>
        </w:rPr>
        <w:t xml:space="preserve"> assumes the jth coefficient </w:t>
      </w:r>
      <w:r>
        <w:rPr>
          <w:rFonts w:ascii="Times New Roman" w:hAnsi="Times New Roman" w:cs="Times New Roman"/>
          <w:color w:val="FF0000"/>
          <w:sz w:val="24"/>
          <w:lang w:val="el-GR"/>
        </w:rPr>
        <w:t>β</w:t>
      </w:r>
      <w:r>
        <w:rPr>
          <w:rFonts w:ascii="Times New Roman" w:hAnsi="Times New Roman" w:cs="Times New Roman"/>
          <w:color w:val="FF0000"/>
          <w:sz w:val="24"/>
          <w:vertAlign w:val="subscript"/>
        </w:rPr>
        <w:t>j</w:t>
      </w:r>
      <w:r>
        <w:rPr>
          <w:rFonts w:ascii="Times New Roman" w:hAnsi="Times New Roman" w:cs="Times New Roman"/>
          <w:color w:val="FF0000"/>
          <w:sz w:val="24"/>
        </w:rPr>
        <w:t>(</w:t>
      </w:r>
      <w:r>
        <w:rPr>
          <w:rFonts w:ascii="Times New Roman" w:hAnsi="Times New Roman" w:cs="Times New Roman"/>
          <w:color w:val="FF0000"/>
          <w:sz w:val="24"/>
          <w:lang w:val="el-GR"/>
        </w:rPr>
        <w:t>λ</w:t>
      </w:r>
      <w:r>
        <w:rPr>
          <w:rFonts w:ascii="Times New Roman" w:hAnsi="Times New Roman" w:cs="Times New Roman"/>
          <w:color w:val="FF0000"/>
          <w:sz w:val="24"/>
        </w:rPr>
        <w:t xml:space="preserve">) = 0. </w:t>
      </w:r>
      <w:r>
        <w:rPr>
          <w:rFonts w:ascii="Times New Roman" w:hAnsi="Times New Roman" w:cs="Times New Roman"/>
          <w:sz w:val="24"/>
        </w:rPr>
        <w:t xml:space="preserve">In this circumstance, these features with coefficient = 0 will be excluded from the model. </w:t>
      </w:r>
      <w:r>
        <w:rPr>
          <w:rFonts w:ascii="Times New Roman" w:hAnsi="Times New Roman" w:cs="Times New Roman"/>
          <w:color w:val="FF0000"/>
          <w:sz w:val="24"/>
        </w:rPr>
        <w:t>Researchers can alter the penalty values to change the number of features selected.</w:t>
      </w:r>
      <w:r>
        <w:rPr>
          <w:rFonts w:ascii="Times New Roman" w:hAnsi="Times New Roman" w:cs="Times New Roman"/>
          <w:sz w:val="24"/>
        </w:rPr>
        <w:t xml:space="preserve"> Therefore, the LASSO method of feature selection is a useful method for feature selection in machine learning.</w:t>
      </w:r>
    </w:p>
    <w:p>
      <w:pPr>
        <w:pStyle w:val="21"/>
        <w:spacing w:before="156" w:beforeLines="50" w:line="360" w:lineRule="auto"/>
        <w:ind w:left="0" w:leftChars="0"/>
        <w:outlineLvl w:val="1"/>
        <w:rPr>
          <w:rFonts w:ascii="Times New Roman" w:hAnsi="Times New Roman" w:cs="Times New Roman"/>
          <w:b/>
          <w:bCs/>
          <w:i/>
          <w:iCs/>
          <w:sz w:val="24"/>
        </w:rPr>
      </w:pPr>
      <w:bookmarkStart w:id="12" w:name="_Toc114151812"/>
      <w:r>
        <w:rPr>
          <w:rFonts w:ascii="Times New Roman" w:hAnsi="Times New Roman" w:cs="Times New Roman"/>
          <w:b/>
          <w:bCs/>
          <w:i/>
          <w:iCs/>
          <w:sz w:val="24"/>
        </w:rPr>
        <w:t>3.2 Long short-term memory and bidirectional long short-term memory</w:t>
      </w:r>
      <w:bookmarkEnd w:id="12"/>
    </w:p>
    <w:p>
      <w:pPr>
        <w:spacing w:line="360" w:lineRule="auto"/>
        <w:ind w:firstLine="360"/>
        <w:rPr>
          <w:rFonts w:ascii="Times New Roman" w:hAnsi="Times New Roman" w:cs="Times New Roman"/>
          <w:sz w:val="24"/>
        </w:rPr>
      </w:pPr>
      <w:r>
        <w:rPr>
          <w:rFonts w:ascii="Times New Roman" w:hAnsi="Times New Roman" w:cs="Times New Roman"/>
          <w:color w:val="FF0000"/>
          <w:sz w:val="24"/>
        </w:rPr>
        <w:t>The long short-term memory (LSTM) and bidirectional long short-term memory (BiLSTM) are deep learning models to predict the response variable based on existing variables.</w:t>
      </w:r>
      <w:r>
        <w:rPr>
          <w:rFonts w:ascii="Times New Roman" w:hAnsi="Times New Roman" w:cs="Times New Roman"/>
          <w:sz w:val="24"/>
        </w:rPr>
        <w:t xml:space="preserve">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rPr>
          <w:rFonts w:ascii="Times New Roman" w:hAnsi="Times New Roman" w:cs="Times New Roman"/>
        </w:rPr>
      </w:pPr>
      <w:r>
        <w:rPr>
          <w:rFonts w:hint="eastAsia" w:ascii="Times New Roman" w:hAnsi="Times New Roman" w:cs="Times New Roman"/>
        </w:rPr>
        <w:drawing>
          <wp:inline distT="0" distB="0" distL="0" distR="0">
            <wp:extent cx="5267325" cy="1400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7325" cy="1400175"/>
                    </a:xfrm>
                    <a:prstGeom prst="rect">
                      <a:avLst/>
                    </a:prstGeom>
                    <a:noFill/>
                    <a:ln>
                      <a:noFill/>
                    </a:ln>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(5)</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(6)</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(7)</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(8)</w:t>
      </w:r>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w:r>
        <w:rPr>
          <w:rFonts w:ascii="Times New Roman" w:hAnsi="Cambria Math" w:cs="Times New Roman"/>
          <w:sz w:val="24"/>
        </w:rPr>
        <w:tab/>
      </w:r>
      <w:r>
        <w:rPr>
          <w:rFonts w:ascii="Times New Roman" w:hAnsi="Cambria Math" w:cs="Times New Roman"/>
          <w:sz w:val="24"/>
        </w:rPr>
        <w:t>(9)</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(10)</w:t>
      </w:r>
    </w:p>
    <w:p>
      <w:pPr>
        <w:spacing w:line="360" w:lineRule="auto"/>
        <w:rPr>
          <w:rFonts w:ascii="Times New Roman" w:hAnsi="Times New Roman" w:cs="Times New Roman"/>
          <w:color w:val="FF0000"/>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t>
      </w:r>
      <w:r>
        <w:rPr>
          <w:rFonts w:ascii="Times New Roman" w:hAnsi="Times New Roman" w:cs="Times New Roman"/>
          <w:color w:val="FF0000"/>
          <w:sz w:val="24"/>
        </w:rPr>
        <w:t xml:space="preserve">Inputs pass through these functions and output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On the other hand, BiLSTM is a bidirectional LSTM approach.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spacing w:line="360" w:lineRule="auto"/>
        <w:ind w:firstLine="360"/>
        <w:rPr>
          <w:rFonts w:ascii="Times New Roman" w:hAnsi="Times New Roman" w:cs="Times New Roman"/>
          <w:sz w:val="24"/>
        </w:rPr>
      </w:pPr>
      <w:r>
        <w:rPr>
          <w:rFonts w:ascii="Times New Roman" w:hAnsi="Times New Roman" w:cs="Times New Roman"/>
          <w:sz w:val="24"/>
        </w:rPr>
        <w:drawing>
          <wp:inline distT="0" distB="0" distL="0" distR="0">
            <wp:extent cx="5267325" cy="3238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7325" cy="3238500"/>
                    </a:xfrm>
                    <a:prstGeom prst="rect">
                      <a:avLst/>
                    </a:prstGeom>
                    <a:noFill/>
                    <a:ln>
                      <a:noFill/>
                    </a:ln>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jc w:val="center"/>
        <w:rPr>
          <w:rFonts w:ascii="Times New Roman" w:hAnsi="Times New Roman" w:cs="Times New Roman"/>
          <w:sz w:val="24"/>
        </w:rPr>
      </w:pPr>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w:r>
        <w:rPr>
          <w:rFonts w:ascii="Times New Roman" w:hAnsi="Times New Roman" w:cs="Times New Roman"/>
          <w:sz w:val="24"/>
        </w:rPr>
        <w:t xml:space="preserve"> (11)</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w:t>
      </w:r>
      <w:r>
        <w:rPr>
          <w:rFonts w:ascii="Times New Roman" w:hAnsi="Times New Roman" w:cs="Times New Roman"/>
          <w:color w:val="FF0000"/>
          <w:sz w:val="24"/>
        </w:rPr>
        <w:t xml:space="preserve">The BiLSTM layer contains two LSTM models to predict the hidden state </w:t>
      </w:r>
      <m:oMath>
        <m:r>
          <m:rPr/>
          <w:rPr>
            <w:rFonts w:ascii="Cambria Math" w:hAnsi="Cambria Math" w:cs="Times New Roman"/>
            <w:color w:val="FF0000"/>
            <w:sz w:val="24"/>
          </w:rPr>
          <m:t>H =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1</m:t>
            </m:r>
            <m:ctrlPr>
              <w:rPr>
                <w:rFonts w:ascii="Cambria Math" w:hAnsi="Cambria Math" w:cs="Times New Roman"/>
                <w:i/>
                <w:iCs/>
                <w:color w:val="FF0000"/>
                <w:sz w:val="24"/>
              </w:rPr>
            </m:ctrlPr>
          </m:sub>
        </m:sSub>
        <m:r>
          <m:rPr/>
          <w:rPr>
            <w:rFonts w:ascii="Cambria Math" w:hAnsi="Cambria Math" w:cs="Times New Roman"/>
            <w:color w:val="FF0000"/>
            <w:sz w:val="24"/>
          </w:rPr>
          <m:t xml:space="preserve">,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2</m:t>
            </m:r>
            <m:ctrlPr>
              <w:rPr>
                <w:rFonts w:ascii="Cambria Math" w:hAnsi="Cambria Math" w:cs="Times New Roman"/>
                <w:i/>
                <w:iCs/>
                <w:color w:val="FF0000"/>
                <w:sz w:val="24"/>
              </w:rPr>
            </m:ctrlPr>
          </m:sub>
        </m:sSub>
        <m:r>
          <m:rPr/>
          <w:rPr>
            <w:rFonts w:ascii="Cambria Math" w:hAnsi="Cambria Math" w:cs="Times New Roman"/>
            <w:color w:val="FF0000"/>
            <w:sz w:val="24"/>
          </w:rPr>
          <m:t xml:space="preserve">, …,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n</m:t>
            </m:r>
            <m:ctrlPr>
              <w:rPr>
                <w:rFonts w:ascii="Cambria Math" w:hAnsi="Cambria Math" w:cs="Times New Roman"/>
                <w:i/>
                <w:iCs/>
                <w:color w:val="FF0000"/>
                <w:sz w:val="24"/>
              </w:rPr>
            </m:ctrlPr>
          </m:sub>
        </m:sSub>
        <m:r>
          <m:rPr/>
          <w:rPr>
            <w:rFonts w:ascii="Cambria Math" w:hAnsi="Cambria Math" w:cs="Times New Roman"/>
            <w:color w:val="FF0000"/>
            <w:sz w:val="24"/>
          </w:rPr>
          <m:t>)</m:t>
        </m:r>
      </m:oMath>
      <w:r>
        <w:rPr>
          <w:rFonts w:ascii="Times New Roman" w:hAnsi="Times New Roman" w:cs="Times New Roman"/>
          <w:color w:val="FF0000"/>
          <w:sz w:val="24"/>
        </w:rPr>
        <w:t xml:space="preserve">. </w:t>
      </w:r>
      <w:r>
        <w:rPr>
          <w:rFonts w:ascii="Times New Roman" w:hAnsi="Times New Roman" w:cs="Times New Roman"/>
          <w:sz w:val="24"/>
        </w:rPr>
        <w:t xml:space="preserve">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w:r>
        <w:rPr>
          <w:rFonts w:ascii="Times New Roman" w:hAnsi="Times New Roman" w:cs="Times New Roman"/>
          <w:sz w:val="24"/>
        </w:rPr>
        <w:tab/>
      </w:r>
      <w:r>
        <w:rPr>
          <w:rFonts w:ascii="Times New Roman" w:hAnsi="Times New Roman" w:cs="Times New Roman"/>
          <w:sz w:val="24"/>
        </w:rPr>
        <w:t>(12)</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21"/>
        <w:spacing w:before="156" w:beforeLines="50" w:line="360" w:lineRule="auto"/>
        <w:ind w:left="0" w:leftChars="0"/>
        <w:outlineLvl w:val="1"/>
        <w:rPr>
          <w:rFonts w:ascii="Times New Roman" w:hAnsi="Times New Roman" w:cs="Times New Roman"/>
          <w:b/>
          <w:bCs/>
          <w:i/>
          <w:iCs/>
          <w:sz w:val="24"/>
        </w:rPr>
      </w:pPr>
      <w:bookmarkStart w:id="13" w:name="_Toc114151813"/>
      <w:r>
        <w:rPr>
          <w:rFonts w:ascii="Times New Roman" w:hAnsi="Times New Roman" w:cs="Times New Roman"/>
          <w:b/>
          <w:bCs/>
          <w:i/>
          <w:iCs/>
          <w:sz w:val="24"/>
        </w:rPr>
        <w:t>3.3 Support vector regression</w:t>
      </w:r>
      <w:bookmarkEnd w:id="13"/>
    </w:p>
    <w:p>
      <w:pPr>
        <w:spacing w:line="360" w:lineRule="auto"/>
        <w:ind w:firstLine="360"/>
        <w:rPr>
          <w:rFonts w:ascii="Times New Roman" w:hAnsi="Times New Roman" w:cs="Times New Roman"/>
          <w:sz w:val="24"/>
        </w:rPr>
      </w:pPr>
      <w:r>
        <w:rPr>
          <w:rFonts w:ascii="Times New Roman" w:hAnsi="Times New Roman" w:cs="Times New Roman"/>
          <w:color w:val="FF0000"/>
          <w:sz w:val="24"/>
        </w:rPr>
        <w:t>Support vector regression (SVR) is a machine learning model adopted from the basis of support vectors.</w:t>
      </w:r>
      <w:r>
        <w:rPr>
          <w:rFonts w:ascii="Times New Roman" w:hAnsi="Times New Roman" w:cs="Times New Roman"/>
          <w:sz w:val="24"/>
        </w:rPr>
        <w:t xml:space="preserve">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An </w:t>
      </w:r>
      <w:r>
        <w:rPr>
          <w:rFonts w:ascii="Times New Roman" w:hAnsi="Times New Roman" w:cs="Times New Roman"/>
          <w:i/>
          <w:iCs/>
          <w:sz w:val="24"/>
          <w:lang w:val="el-GR"/>
        </w:rPr>
        <w:t>ε</w:t>
      </w:r>
      <w:r>
        <w:rPr>
          <w:rFonts w:ascii="Times New Roman" w:hAnsi="Times New Roman" w:cs="Times New Roman"/>
          <w:sz w:val="24"/>
        </w:rPr>
        <w:t xml:space="preserve">-SV regression is defined as a function that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 Therefore,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jc w:val="center"/>
        <w:rPr>
          <w:rFonts w:ascii="Times New Roman" w:hAnsi="Times New Roman" w:cs="Times New Roman"/>
          <w:iCs/>
          <w:sz w:val="24"/>
        </w:rPr>
      </w:pP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w:r>
        <w:rPr>
          <w:rFonts w:ascii="Times New Roman" w:hAnsi="Cambria Math" w:cs="Times New Roman"/>
          <w:sz w:val="24"/>
        </w:rPr>
        <w:tab/>
      </w:r>
      <w:r>
        <w:rPr>
          <w:rFonts w:ascii="Times New Roman" w:hAnsi="Cambria Math" w:cs="Times New Roman"/>
          <w:sz w:val="24"/>
        </w:rPr>
        <w:t>(13)</w:t>
      </w:r>
    </w:p>
    <w:p>
      <w:pPr>
        <w:spacing w:line="360" w:lineRule="auto"/>
        <w:rPr>
          <w:rFonts w:ascii="Times New Roman" w:hAnsi="Times New Roman" w:cs="Times New Roman"/>
          <w:sz w:val="24"/>
        </w:rPr>
      </w:pPr>
      <w:r>
        <w:rPr>
          <w:rFonts w:ascii="Times New Roman" w:hAnsi="Times New Roman" w:cs="Times New Roman"/>
          <w:color w:val="FF0000"/>
          <w:sz w:val="24"/>
        </w:rPr>
        <w:t>With</w:t>
      </w:r>
      <w:r>
        <w:rPr>
          <w:rFonts w:ascii="Times New Roman" w:hAnsi="Times New Roman" w:cs="Times New Roman"/>
          <w:i/>
          <w:color w:val="FF0000"/>
          <w:sz w:val="24"/>
        </w:rPr>
        <w:t xml:space="preserve"> </w:t>
      </w:r>
      <m:oMath>
        <m:r>
          <m:rPr/>
          <w:rPr>
            <w:rFonts w:ascii="Cambria Math" w:hAnsi="Cambria Math" w:cs="Times New Roman"/>
            <w:color w:val="FF0000"/>
            <w:sz w:val="24"/>
            <w:lang w:val="el-GR"/>
          </w:rPr>
          <m:t>ω</m:t>
        </m:r>
      </m:oMath>
      <w:r>
        <w:rPr>
          <w:rFonts w:ascii="Times New Roman" w:hAnsi="Times New Roman" w:cs="Times New Roman"/>
          <w:color w:val="FF0000"/>
          <w:sz w:val="24"/>
        </w:rPr>
        <w:t xml:space="preserve"> is a vector in</w:t>
      </w:r>
      <w:r>
        <w:rPr>
          <w:rFonts w:ascii="Times New Roman" w:hAnsi="Times New Roman" w:cs="Times New Roman"/>
          <w:i/>
          <w:color w:val="FF0000"/>
          <w:sz w:val="24"/>
        </w:rPr>
        <w:t xml:space="preserve"> </w:t>
      </w:r>
      <m:oMath>
        <m:r>
          <m:rPr/>
          <w:rPr>
            <w:rFonts w:ascii="Cambria Math" w:hAnsi="Cambria Math" w:cs="Times New Roman"/>
            <w:color w:val="FF0000"/>
            <w:sz w:val="24"/>
          </w:rPr>
          <m:t>Χ</m:t>
        </m:r>
        <m:r>
          <m:rPr/>
          <w:rPr>
            <w:rFonts w:ascii="Cambria Math" w:hAnsi="Cambria Math" w:cs="Cambria Math"/>
            <w:color w:val="FF0000"/>
            <w:sz w:val="24"/>
          </w:rPr>
          <m:t xml:space="preserve">. </m:t>
        </m:r>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m:t>
        </m:r>
        <m:d>
          <m:dPr>
            <m:begChr m:val=""/>
            <m:endChr m:val="⟩"/>
            <m:ctrlPr>
              <w:rPr>
                <w:rFonts w:ascii="Cambria Math" w:hAnsi="Cambria Math" w:cs="Times New Roman"/>
                <w:i/>
                <w:color w:val="FF0000"/>
                <w:sz w:val="24"/>
              </w:rPr>
            </m:ctrlPr>
          </m:dPr>
          <m:e>
            <m:r>
              <m:rPr/>
              <w:rPr>
                <w:rFonts w:ascii="Cambria Math" w:hAnsi="Cambria Math" w:cs="Times New Roman"/>
                <w:color w:val="FF0000"/>
                <w:sz w:val="24"/>
              </w:rPr>
              <m:t>x</m:t>
            </m:r>
            <m:ctrlPr>
              <w:rPr>
                <w:rFonts w:ascii="Cambria Math" w:hAnsi="Cambria Math" w:cs="Times New Roman"/>
                <w:i/>
                <w:color w:val="FF0000"/>
                <w:sz w:val="24"/>
              </w:rPr>
            </m:ctrlPr>
          </m:e>
        </m:d>
      </m:oMath>
      <w:r>
        <w:rPr>
          <w:rFonts w:ascii="Times New Roman" w:hAnsi="Times New Roman" w:cs="Times New Roman"/>
          <w:color w:val="FF0000"/>
          <w:sz w:val="24"/>
        </w:rPr>
        <w:t xml:space="preserve"> represents the dot product of the above two vectors. To keep the regression flat, we need a smaller </w:t>
      </w:r>
      <m:oMath>
        <m:r>
          <m:rPr/>
          <w:rPr>
            <w:rFonts w:ascii="Cambria Math" w:hAnsi="Cambria Math" w:cs="Times New Roman"/>
            <w:color w:val="FF0000"/>
            <w:sz w:val="24"/>
            <w:lang w:val="el-GR"/>
          </w:rPr>
          <m:t>ω</m:t>
        </m:r>
      </m:oMath>
      <w:r>
        <w:rPr>
          <w:rFonts w:ascii="Times New Roman" w:hAnsi="Cambria Math" w:cs="Times New Roman"/>
          <w:color w:val="FF0000"/>
          <w:sz w:val="24"/>
        </w:rPr>
        <w:t xml:space="preserve"> is needed.</w:t>
      </w:r>
      <w:r>
        <w:rPr>
          <w:rFonts w:ascii="Times New Roman" w:hAnsi="Times New Roman" w:cs="Times New Roman"/>
          <w:color w:val="FF0000"/>
          <w:sz w:val="24"/>
        </w:rPr>
        <w:t xml:space="preserve"> Therefore, the equation </w:t>
      </w:r>
      <m:oMath>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m:t>
        </m:r>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 xml:space="preserve">= </m:t>
        </m:r>
        <m:f>
          <m:fPr>
            <m:ctrlPr>
              <w:rPr>
                <w:rFonts w:ascii="Cambria Math" w:hAnsi="Cambria Math" w:cs="Times New Roman"/>
                <w:i/>
                <w:color w:val="FF0000"/>
                <w:sz w:val="24"/>
              </w:rPr>
            </m:ctrlPr>
          </m:fPr>
          <m:num>
            <m:r>
              <m:rPr/>
              <w:rPr>
                <w:rFonts w:ascii="Cambria Math" w:hAnsi="Cambria Math" w:cs="Times New Roman"/>
                <w:color w:val="FF0000"/>
                <w:sz w:val="24"/>
              </w:rPr>
              <m:t>1</m:t>
            </m:r>
            <m:ctrlPr>
              <w:rPr>
                <w:rFonts w:ascii="Cambria Math" w:hAnsi="Cambria Math" w:cs="Times New Roman"/>
                <w:i/>
                <w:color w:val="FF0000"/>
                <w:sz w:val="24"/>
              </w:rPr>
            </m:ctrlPr>
          </m:num>
          <m:den>
            <m:r>
              <m:rPr/>
              <w:rPr>
                <w:rFonts w:ascii="Cambria Math" w:hAnsi="Cambria Math" w:cs="Times New Roman"/>
                <w:color w:val="FF0000"/>
                <w:sz w:val="24"/>
              </w:rPr>
              <m:t>2</m:t>
            </m:r>
            <m:ctrlPr>
              <w:rPr>
                <w:rFonts w:ascii="Cambria Math" w:hAnsi="Cambria Math" w:cs="Times New Roman"/>
                <w:i/>
                <w:color w:val="FF0000"/>
                <w:sz w:val="24"/>
              </w:rPr>
            </m:ctrlPr>
          </m:den>
        </m:f>
        <m:sSup>
          <m:sSupPr>
            <m:ctrlPr>
              <w:rPr>
                <w:rFonts w:ascii="Cambria Math" w:hAnsi="Cambria Math" w:cs="Times New Roman"/>
                <w:i/>
                <w:color w:val="FF0000"/>
                <w:sz w:val="24"/>
              </w:rPr>
            </m:ctrlPr>
          </m:sSupPr>
          <m:e>
            <m:d>
              <m:dPr>
                <m:begChr m:val="‖"/>
                <m:endChr m:val="‖"/>
                <m:ctrlPr>
                  <w:rPr>
                    <w:rFonts w:ascii="Cambria Math" w:hAnsi="Cambria Math" w:cs="Times New Roman"/>
                    <w:i/>
                    <w:color w:val="FF0000"/>
                    <w:sz w:val="24"/>
                  </w:rPr>
                </m:ctrlPr>
              </m:dPr>
              <m:e>
                <m:r>
                  <m:rPr/>
                  <w:rPr>
                    <w:rFonts w:ascii="Cambria Math" w:hAnsi="Cambria Math" w:cs="Times New Roman"/>
                    <w:color w:val="FF0000"/>
                    <w:sz w:val="24"/>
                  </w:rPr>
                  <m:t>ω</m:t>
                </m:r>
                <m:ctrlPr>
                  <w:rPr>
                    <w:rFonts w:ascii="Cambria Math" w:hAnsi="Cambria Math" w:cs="Times New Roman"/>
                    <w:i/>
                    <w:color w:val="FF0000"/>
                    <w:sz w:val="24"/>
                  </w:rPr>
                </m:ctrlPr>
              </m:e>
            </m:d>
            <m:ctrlPr>
              <w:rPr>
                <w:rFonts w:ascii="Cambria Math" w:hAnsi="Cambria Math" w:cs="Times New Roman"/>
                <w:i/>
                <w:color w:val="FF0000"/>
                <w:sz w:val="24"/>
              </w:rPr>
            </m:ctrlPr>
          </m:e>
          <m:sup>
            <m:r>
              <m:rPr/>
              <w:rPr>
                <w:rFonts w:ascii="Cambria Math" w:hAnsi="Cambria Math" w:cs="Times New Roman"/>
                <w:color w:val="FF0000"/>
                <w:sz w:val="24"/>
              </w:rPr>
              <m:t>2</m:t>
            </m:r>
            <m:ctrlPr>
              <w:rPr>
                <w:rFonts w:ascii="Cambria Math" w:hAnsi="Cambria Math" w:cs="Times New Roman"/>
                <w:i/>
                <w:color w:val="FF0000"/>
                <w:sz w:val="24"/>
              </w:rPr>
            </m:ctrlPr>
          </m:sup>
        </m:sSup>
      </m:oMath>
      <w:r>
        <w:rPr>
          <w:rFonts w:ascii="Times New Roman" w:hAnsi="Cambria Math" w:cs="Times New Roman"/>
          <w:color w:val="FF0000"/>
          <w:sz w:val="24"/>
        </w:rPr>
        <w:t xml:space="preserve"> is minimized</w:t>
      </w:r>
      <w:r>
        <w:rPr>
          <w:rFonts w:ascii="Times New Roman" w:hAnsi="Times New Roman" w:cs="Times New Roman"/>
          <w:color w:val="FF0000"/>
          <w:sz w:val="24"/>
        </w:rPr>
        <w:t xml:space="preserve"> in the optimization problem below: </w:t>
      </w:r>
    </w:p>
    <w:p>
      <w:pPr>
        <w:spacing w:line="360" w:lineRule="auto"/>
        <w:jc w:val="center"/>
        <w:rPr>
          <w:rFonts w:ascii="Times New Roman" w:hAnsi="Times New Roman" w:cs="Times New Roman"/>
          <w:sz w:val="24"/>
        </w:rPr>
      </w:pPr>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Cambria Math" w:cs="Times New Roman"/>
          <w:sz w:val="24"/>
        </w:rPr>
        <w:tab/>
      </w:r>
      <w:r>
        <w:rPr>
          <w:rFonts w:ascii="Times New Roman" w:hAnsi="Cambria Math" w:cs="Times New Roman"/>
          <w:sz w:val="24"/>
        </w:rPr>
        <w:t>(14)</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work if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some datasets have data outside of the above boundary. </w:t>
      </w:r>
      <w:r>
        <w:rPr>
          <w:rFonts w:ascii="Times New Roman" w:hAnsi="Times New Roman" w:cs="Times New Roman"/>
          <w:color w:val="FF0000"/>
          <w:sz w:val="24"/>
        </w:rPr>
        <w:t xml:space="preserve">Slack variables are implemented as </w:t>
      </w:r>
      <m:oMath>
        <m:sSub>
          <m:sSubPr>
            <m:ctrlPr>
              <w:rPr>
                <w:rFonts w:ascii="Cambria Math" w:hAnsi="Cambria Math" w:cs="Times New Roman"/>
                <w:i/>
                <w:color w:val="FF0000"/>
                <w:sz w:val="24"/>
              </w:rPr>
            </m:ctrlPr>
          </m:sSubPr>
          <m:e>
            <m:r>
              <m:rPr/>
              <w:rPr>
                <w:rFonts w:ascii="Cambria Math" w:hAnsi="Cambria Math" w:cs="Times New Roman"/>
                <w:color w:val="FF0000"/>
                <w:sz w:val="24"/>
              </w:rPr>
              <m:t>ξ</m:t>
            </m:r>
            <m:ctrlPr>
              <w:rPr>
                <w:rFonts w:ascii="Cambria Math" w:hAnsi="Cambria Math" w:cs="Times New Roman"/>
                <w:i/>
                <w:color w:val="FF0000"/>
                <w:sz w:val="24"/>
              </w:rPr>
            </m:ctrlPr>
          </m:e>
          <m:sub>
            <m:r>
              <m:rPr/>
              <w:rPr>
                <w:rFonts w:ascii="Cambria Math" w:hAnsi="Cambria Math" w:cs="Times New Roman"/>
                <w:color w:val="FF0000"/>
                <w:sz w:val="24"/>
              </w:rPr>
              <m:t>i</m:t>
            </m:r>
            <m:ctrlPr>
              <w:rPr>
                <w:rFonts w:ascii="Cambria Math" w:hAnsi="Cambria Math" w:cs="Times New Roman"/>
                <w:i/>
                <w:color w:val="FF0000"/>
                <w:sz w:val="24"/>
              </w:rPr>
            </m:ctrlPr>
          </m:sub>
        </m:sSub>
        <m:r>
          <m:rPr>
            <m:nor/>
            <m:sty m:val="p"/>
          </m:rPr>
          <w:rPr>
            <w:rFonts w:ascii="Times New Roman" w:hAnsi="Times New Roman" w:cs="Times New Roman"/>
            <w:color w:val="FF0000"/>
            <w:sz w:val="24"/>
          </w:rPr>
          <m:t xml:space="preserve">, </m:t>
        </m:r>
        <m:sSubSup>
          <m:sSubSupPr>
            <m:ctrlPr>
              <w:rPr>
                <w:rFonts w:ascii="Cambria Math" w:hAnsi="Cambria Math" w:cs="Times New Roman"/>
                <w:i/>
                <w:color w:val="FF0000"/>
                <w:sz w:val="24"/>
              </w:rPr>
            </m:ctrlPr>
          </m:sSubSupPr>
          <m:e>
            <m:r>
              <m:rPr/>
              <w:rPr>
                <w:rFonts w:ascii="Cambria Math" w:hAnsi="Cambria Math" w:cs="Times New Roman"/>
                <w:color w:val="FF0000"/>
                <w:sz w:val="24"/>
              </w:rPr>
              <m:t>ξ</m:t>
            </m:r>
            <m:ctrlPr>
              <w:rPr>
                <w:rFonts w:ascii="Cambria Math" w:hAnsi="Cambria Math" w:cs="Times New Roman"/>
                <w:i/>
                <w:color w:val="FF0000"/>
                <w:sz w:val="24"/>
              </w:rPr>
            </m:ctrlPr>
          </m:e>
          <m:sub>
            <m:r>
              <m:rPr/>
              <w:rPr>
                <w:rFonts w:ascii="Cambria Math" w:hAnsi="Cambria Math" w:cs="Times New Roman"/>
                <w:color w:val="FF0000"/>
                <w:sz w:val="24"/>
              </w:rPr>
              <m:t>i</m:t>
            </m:r>
            <m:ctrlPr>
              <w:rPr>
                <w:rFonts w:ascii="Cambria Math" w:hAnsi="Cambria Math" w:cs="Times New Roman"/>
                <w:i/>
                <w:color w:val="FF0000"/>
                <w:sz w:val="24"/>
              </w:rPr>
            </m:ctrlPr>
          </m:sub>
          <m:sup>
            <m:r>
              <m:rPr/>
              <w:rPr>
                <w:rFonts w:ascii="Cambria Math" w:hAnsi="Cambria Math" w:cs="Times New Roman"/>
                <w:color w:val="FF0000"/>
                <w:sz w:val="24"/>
              </w:rPr>
              <m:t>∗</m:t>
            </m:r>
            <m:ctrlPr>
              <w:rPr>
                <w:rFonts w:ascii="Cambria Math" w:hAnsi="Cambria Math" w:cs="Times New Roman"/>
                <w:i/>
                <w:color w:val="FF0000"/>
                <w:sz w:val="24"/>
              </w:rPr>
            </m:ctrlPr>
          </m:sup>
        </m:sSubSup>
      </m:oMath>
      <w:r>
        <w:rPr>
          <w:rFonts w:ascii="Times New Roman" w:hAnsi="Times New Roman" w:cs="Times New Roman"/>
          <w:color w:val="FF0000"/>
          <w:sz w:val="24"/>
        </w:rPr>
        <w:t xml:space="preserve"> to represent the distance of datapoint to the nearest boundary (Wu et al., 2004).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Therefore, the new optimization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jc w:val="center"/>
        <w:rPr>
          <w:rFonts w:ascii="Times New Roman" w:hAnsi="Times New Roman" w:cs="Times New Roman"/>
          <w:sz w:val="24"/>
        </w:rPr>
      </w:pPr>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+C </m:t>
        </m:r>
        <m:nary>
          <m:naryPr>
            <m:chr m:val="∑"/>
            <m:limLoc m:val="undOvr"/>
            <m:ctrlPr>
              <w:rPr>
                <w:rFonts w:ascii="Cambria Math" w:hAnsi="Cambria Math" w:cs="Times New Roman"/>
                <w:i/>
                <w:sz w:val="24"/>
              </w:rPr>
            </m:ctrlPr>
          </m:naryPr>
          <m:sub>
            <m:r>
              <m:rPr/>
              <w:rPr>
                <w:rFonts w:ascii="Cambria Math" w:hAnsi="Cambria Math" w:cs="Cambria Math"/>
                <w:sz w:val="24"/>
              </w:rPr>
              <m:t xml:space="preserve"> </m:t>
            </m:r>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(15)</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color w:val="FF0000"/>
          <w:sz w:val="24"/>
        </w:rPr>
        <w:t>where C is a constant controlling the deviation allowed for slack variables (</w:t>
      </w:r>
      <w:r>
        <w:rPr>
          <w:rFonts w:ascii="Times New Roman" w:hAnsi="Times New Roman" w:cs="Times New Roman"/>
          <w:color w:val="FF0000"/>
          <w:sz w:val="24"/>
          <w:shd w:val="clear" w:color="auto" w:fill="FFFFFF"/>
        </w:rPr>
        <w:t>Smola &amp; Schölkopf, 2004</w:t>
      </w:r>
      <w:r>
        <w:rPr>
          <w:rFonts w:ascii="Times New Roman" w:hAnsi="Times New Roman" w:cs="Times New Roman"/>
          <w:color w:val="FF0000"/>
          <w:sz w:val="24"/>
        </w:rPr>
        <w:t xml:space="preserve">). </w:t>
      </w:r>
      <w:r>
        <w:rPr>
          <w:rFonts w:ascii="Times New Roman" w:hAnsi="Times New Roman" w:cs="Times New Roman"/>
          <w:sz w:val="24"/>
        </w:rPr>
        <w:t xml:space="preserve">This equation is the final model proposed, effectively making valid predictions.  </w:t>
      </w:r>
    </w:p>
    <w:p>
      <w:pPr>
        <w:pStyle w:val="21"/>
        <w:spacing w:before="156" w:beforeLines="50" w:line="360" w:lineRule="auto"/>
        <w:ind w:left="0" w:leftChars="0"/>
        <w:outlineLvl w:val="1"/>
        <w:rPr>
          <w:rFonts w:ascii="Times New Roman" w:hAnsi="Times New Roman" w:cs="Times New Roman"/>
          <w:b/>
          <w:bCs/>
          <w:i/>
          <w:iCs/>
          <w:sz w:val="24"/>
        </w:rPr>
      </w:pPr>
      <w:bookmarkStart w:id="14" w:name="_Toc114151814"/>
      <w:r>
        <w:rPr>
          <w:rFonts w:ascii="Times New Roman" w:hAnsi="Times New Roman" w:cs="Times New Roman"/>
          <w:b/>
          <w:bCs/>
          <w:i/>
          <w:iCs/>
          <w:sz w:val="24"/>
        </w:rPr>
        <w:t>3.4 Extreme learning machine and Kernel extreme learning machine</w:t>
      </w:r>
      <w:bookmarkEnd w:id="14"/>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to compare with LASSO-BiLSTM.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w:t>
      </w:r>
      <w:r>
        <w:rPr>
          <w:rFonts w:ascii="Times New Roman" w:hAnsi="Times New Roman" w:cs="Times New Roman"/>
          <w:color w:val="FF0000"/>
          <w:sz w:val="24"/>
        </w:rPr>
        <w:t>Thus, ELM runs more efficiently.</w:t>
      </w:r>
      <w:r>
        <w:rPr>
          <w:rFonts w:ascii="Times New Roman" w:hAnsi="Times New Roman" w:cs="Times New Roman"/>
          <w:sz w:val="24"/>
        </w:rPr>
        <w:t xml:space="preserve"> Second, the ELM model’s simplicity reduces multiple problems in other traditional gradient-based learning methods,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w:r>
        <w:rPr>
          <w:rFonts w:ascii="Times New Roman" w:hAnsi="Cambria Math" w:cs="Times New Roman"/>
          <w:sz w:val="24"/>
        </w:rPr>
        <w:t xml:space="preserve"> </w:t>
      </w:r>
      <w:r>
        <w:rPr>
          <w:rFonts w:ascii="Times New Roman" w:hAnsi="Cambria Math" w:cs="Times New Roman"/>
          <w:sz w:val="24"/>
        </w:rPr>
        <w:tab/>
      </w:r>
      <w:r>
        <w:rPr>
          <w:rFonts w:ascii="Times New Roman" w:hAnsi="Cambria Math" w:cs="Times New Roman"/>
          <w:sz w:val="24"/>
        </w:rPr>
        <w:t>(16)</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O</m:t>
        </m:r>
      </m:oMath>
      <w:r>
        <w:rPr>
          <w:rFonts w:ascii="Times New Roman" w:hAnsi="Cambria Math" w:cs="Times New Roman"/>
          <w:i/>
          <w:sz w:val="24"/>
        </w:rPr>
        <w:t xml:space="preserve"> </w:t>
      </w:r>
      <w:r>
        <w:rPr>
          <w:rFonts w:ascii="Times New Roman" w:hAnsi="Cambria Math" w:cs="Times New Roman"/>
          <w:i/>
          <w:sz w:val="24"/>
        </w:rPr>
        <w:tab/>
      </w:r>
      <w:r>
        <w:rPr>
          <w:rFonts w:ascii="Times New Roman" w:hAnsi="Cambria Math" w:cs="Times New Roman"/>
          <w:sz w:val="24"/>
        </w:rPr>
        <w:t>(17)</w:t>
      </w:r>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(18)</w:t>
      </w:r>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jc w:val="center"/>
        <w:rPr>
          <w:rFonts w:ascii="Times New Roman" w:hAnsi="Times New Roman" w:cs="Times New Roman"/>
          <w:i/>
          <w:sz w:val="24"/>
        </w:rPr>
      </w:pPr>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w:r>
        <w:rPr>
          <w:rFonts w:ascii="Times New Roman" w:hAnsi="Cambria Math" w:cs="Times New Roman"/>
          <w:i/>
          <w:sz w:val="24"/>
        </w:rPr>
        <w:tab/>
      </w:r>
      <w:r>
        <w:rPr>
          <w:rFonts w:ascii="Times New Roman" w:hAnsi="Cambria Math" w:cs="Times New Roman"/>
          <w:sz w:val="24"/>
        </w:rPr>
        <w:t>(19)</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Kernel extreme learning machine (KELM) is a Kernel approach to ELM. Multiple variations of KELM are used in previous research, such as multiple KELM (Liu et al., 2015), hybrid KELM (Lv et al., 2020). </w:t>
      </w:r>
      <w:r>
        <w:rPr>
          <w:rFonts w:ascii="Times New Roman" w:hAnsi="Times New Roman" w:cs="Times New Roman"/>
          <w:color w:val="FF0000"/>
          <w:sz w:val="24"/>
        </w:rPr>
        <w:t>Variations of kernels are also used, such as the radial basis function (RBF) kernel (Iosifidis et al., 2015), exponential radial basis function (ERBF) kernel (</w:t>
      </w:r>
      <w:r>
        <w:rPr>
          <w:rFonts w:ascii="Times New Roman" w:hAnsi="Times New Roman" w:cs="Times New Roman"/>
          <w:color w:val="FF0000"/>
          <w:sz w:val="24"/>
          <w:shd w:val="clear" w:color="auto" w:fill="FFFFFF"/>
        </w:rPr>
        <w:t>Madheswaran &amp; Dhas, 2015</w:t>
      </w:r>
      <w:r>
        <w:rPr>
          <w:rFonts w:ascii="Times New Roman" w:hAnsi="Times New Roman" w:cs="Times New Roman"/>
          <w:color w:val="FF0000"/>
          <w:sz w:val="24"/>
        </w:rPr>
        <w:t>).</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r>
              <m:rPr>
                <m:nor/>
                <m:sty m:val="b"/>
              </m:rPr>
              <w:rPr>
                <w:rFonts w:ascii="Cambria Math" w:hAnsi="Times New Roman" w:cs="Times New Roman"/>
                <w:b/>
                <w:bCs/>
                <w:sz w:val="24"/>
              </w:rPr>
              <m:t>’</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r>
                  <m:rPr>
                    <m:nor/>
                    <m:sty m:val="b"/>
                  </m:rPr>
                  <w:rPr>
                    <w:rFonts w:ascii="Cambria Math" w:hAnsi="Times New Roman" w:cs="Times New Roman"/>
                    <w:b/>
                    <w:bCs/>
                    <w:sz w:val="24"/>
                  </w:rPr>
                  <m:t>’</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(20)</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21"/>
        <w:spacing w:before="156" w:beforeLines="50" w:line="360" w:lineRule="auto"/>
        <w:ind w:left="0" w:leftChars="0"/>
        <w:outlineLvl w:val="1"/>
        <w:rPr>
          <w:rFonts w:ascii="Times New Roman" w:hAnsi="Times New Roman" w:cs="Times New Roman"/>
          <w:b/>
          <w:bCs/>
          <w:i/>
          <w:iCs/>
          <w:color w:val="FF0000"/>
          <w:sz w:val="24"/>
        </w:rPr>
      </w:pPr>
      <w:bookmarkStart w:id="15" w:name="_Hlk143468298"/>
      <w:r>
        <w:rPr>
          <w:rFonts w:ascii="Times New Roman" w:hAnsi="Times New Roman" w:cs="Times New Roman"/>
          <w:b/>
          <w:bCs/>
          <w:i/>
          <w:iCs/>
          <w:color w:val="FF0000"/>
          <w:sz w:val="24"/>
        </w:rPr>
        <w:t>3.5 Model Parameters</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parameters are specified and determined in this paper’s model. Table 2 shows all of the model parameters’ values and its determination method.</w:t>
      </w:r>
    </w:p>
    <w:p>
      <w:pPr>
        <w:pStyle w:val="5"/>
        <w:keepNext/>
        <w:spacing w:before="312" w:beforeLines="100"/>
        <w:jc w:val="center"/>
        <w:rPr>
          <w:rFonts w:ascii="Times New Roman" w:hAnsi="Times New Roman" w:cs="Times New Roman"/>
          <w:i/>
          <w:iCs/>
          <w:color w:val="FF0000"/>
        </w:rPr>
      </w:pPr>
      <w:r>
        <w:rPr>
          <w:rFonts w:ascii="Times New Roman" w:hAnsi="Times New Roman" w:cs="Times New Roman"/>
          <w:color w:val="FF0000"/>
        </w:rPr>
        <w:t>Table 2: Model Parameters Values and Determination Approach</w:t>
      </w:r>
    </w:p>
    <w:tbl>
      <w:tblPr>
        <w:tblStyle w:val="29"/>
        <w:tblW w:w="5016"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7"/>
        <w:gridCol w:w="2067"/>
        <w:gridCol w:w="2452"/>
        <w:gridCol w:w="1827"/>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Model</w:t>
            </w:r>
          </w:p>
        </w:tc>
        <w:tc>
          <w:tcPr>
            <w:tcW w:w="1240"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Parameters</w:t>
            </w:r>
          </w:p>
        </w:tc>
        <w:tc>
          <w:tcPr>
            <w:tcW w:w="1471"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Determination Approach</w:t>
            </w:r>
          </w:p>
        </w:tc>
        <w:tc>
          <w:tcPr>
            <w:tcW w:w="1095"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Values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top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LASSO selection</w:t>
            </w:r>
          </w:p>
        </w:tc>
        <w:tc>
          <w:tcPr>
            <w:tcW w:w="1240"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Alpha</w:t>
            </w:r>
          </w:p>
        </w:tc>
        <w:tc>
          <w:tcPr>
            <w:tcW w:w="1471"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Grid Search</w:t>
            </w:r>
          </w:p>
        </w:tc>
        <w:tc>
          <w:tcPr>
            <w:tcW w:w="1095"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Between [0, 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SVR</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Constant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structure selection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According to (Akusok, 2015)</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LOO (Leave-One-Out)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Optimizer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Standard optimizer</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Adam</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hint="eastAsia" w:ascii="Times New Roman" w:hAnsi="Times New Roman" w:eastAsia="仿宋" w:cs="Times New Roman (本文 CS 字型)"/>
                <w:color w:val="FF0000"/>
                <w:szCs w:val="21"/>
                <w:lang w:bidi="ar"/>
              </w:rPr>
              <w:t>S</w:t>
            </w:r>
            <w:r>
              <w:rPr>
                <w:rFonts w:ascii="Times New Roman" w:hAnsi="Times New Roman" w:eastAsia="仿宋" w:cs="Times New Roman (本文 CS 字型)"/>
                <w:color w:val="FF0000"/>
                <w:szCs w:val="21"/>
                <w:lang w:bidi="ar"/>
              </w:rPr>
              <w:t>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BiLSTM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16</w:t>
            </w:r>
          </w:p>
          <w:p>
            <w:pPr>
              <w:jc w:val="center"/>
              <w:rPr>
                <w:color w:val="FF0000"/>
                <w:szCs w:val="21"/>
              </w:rPr>
            </w:pPr>
            <w:r>
              <w:rPr>
                <w:rFonts w:ascii="Times New Roman" w:hAnsi="Times New Roman" w:eastAsia="仿宋" w:cs="Times New Roman (本文 CS 字型)"/>
                <w:color w:val="FF0000"/>
                <w:szCs w:val="21"/>
                <w:lang w:bidi="ar"/>
              </w:rPr>
              <w:t> </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KELM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Adjusting parameter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Error Tolerance in Kernel Matrix factorization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1e-5</w:t>
            </w:r>
          </w:p>
        </w:tc>
      </w:tr>
      <w:bookmarkEnd w:id="15"/>
    </w:tbl>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6" w:name="_Toc114151815"/>
      <w:r>
        <w:rPr>
          <w:rFonts w:ascii="Times New Roman" w:hAnsi="Times New Roman" w:eastAsia="宋体"/>
          <w:b/>
          <w:bCs/>
          <w:color w:val="0E101A"/>
          <w:sz w:val="28"/>
          <w:szCs w:val="28"/>
        </w:rPr>
        <w:t>Empirical study</w:t>
      </w:r>
      <w:bookmarkEnd w:id="16"/>
    </w:p>
    <w:p>
      <w:pPr>
        <w:pStyle w:val="21"/>
        <w:spacing w:before="156" w:beforeLines="50" w:line="360" w:lineRule="auto"/>
        <w:ind w:left="0" w:leftChars="0"/>
        <w:outlineLvl w:val="1"/>
        <w:rPr>
          <w:rFonts w:ascii="Times New Roman" w:hAnsi="Times New Roman" w:cs="Times New Roman"/>
          <w:b/>
          <w:bCs/>
          <w:i/>
          <w:iCs/>
          <w:sz w:val="24"/>
        </w:rPr>
      </w:pPr>
      <w:bookmarkStart w:id="17" w:name="_Toc114151816"/>
      <w:r>
        <w:rPr>
          <w:rFonts w:ascii="Times New Roman" w:hAnsi="Times New Roman" w:cs="Times New Roman"/>
          <w:b/>
          <w:bCs/>
          <w:i/>
          <w:iCs/>
          <w:sz w:val="24"/>
        </w:rPr>
        <w:t>4.1 Data collection</w:t>
      </w:r>
      <w:bookmarkEnd w:id="17"/>
    </w:p>
    <w:p>
      <w:pPr>
        <w:spacing w:line="360" w:lineRule="auto"/>
        <w:ind w:firstLine="420"/>
        <w:rPr>
          <w:rFonts w:ascii="Times New Roman" w:hAnsi="Times New Roman" w:cs="Times New Roman"/>
          <w:color w:val="FF0000"/>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w:t>
      </w:r>
      <w:bookmarkStart w:id="18" w:name="_Hlk143365902"/>
      <w:r>
        <w:rPr>
          <w:rFonts w:ascii="Times New Roman" w:hAnsi="Times New Roman" w:cs="Times New Roman"/>
          <w:b/>
          <w:bCs/>
          <w:color w:val="202122"/>
          <w:sz w:val="24"/>
          <w:shd w:val="clear" w:color="auto" w:fill="FFFFFF"/>
        </w:rPr>
        <w:t>Macroeconomic variables</w:t>
      </w:r>
      <w:bookmarkEnd w:id="18"/>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 xml:space="preserve">(2) </w:t>
      </w:r>
      <w:bookmarkStart w:id="19" w:name="_Hlk143365927"/>
      <w:r>
        <w:rPr>
          <w:rFonts w:ascii="Times New Roman" w:hAnsi="Times New Roman" w:cs="Times New Roman"/>
          <w:b/>
          <w:bCs/>
          <w:color w:val="202122"/>
          <w:sz w:val="24"/>
          <w:shd w:val="clear" w:color="auto" w:fill="FFFFFF"/>
        </w:rPr>
        <w:t>Financial assets</w:t>
      </w:r>
      <w:bookmarkEnd w:id="19"/>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 xml:space="preserve">(3) </w:t>
      </w:r>
      <w:bookmarkStart w:id="20" w:name="_Hlk143365934"/>
      <w:r>
        <w:rPr>
          <w:rFonts w:ascii="Times New Roman" w:hAnsi="Times New Roman" w:cs="Times New Roman"/>
          <w:b/>
          <w:bCs/>
          <w:color w:val="202122"/>
          <w:sz w:val="24"/>
          <w:shd w:val="clear" w:color="auto" w:fill="FFFFFF"/>
        </w:rPr>
        <w:t>Sentimental index</w:t>
      </w:r>
      <w:bookmarkEnd w:id="20"/>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21" w:name="OLE_LINK4"/>
      <w:r>
        <w:rPr>
          <w:rFonts w:ascii="Times New Roman" w:hAnsi="Times New Roman" w:cs="Times New Roman"/>
          <w:b/>
          <w:bCs/>
          <w:color w:val="202122"/>
          <w:sz w:val="24"/>
          <w:shd w:val="clear" w:color="auto" w:fill="FFFFFF"/>
        </w:rPr>
        <w:t xml:space="preserve"> </w:t>
      </w:r>
      <w:bookmarkStart w:id="22" w:name="_Hlk143365941"/>
      <w:r>
        <w:rPr>
          <w:rFonts w:ascii="Times New Roman" w:hAnsi="Times New Roman" w:cs="Times New Roman"/>
          <w:b/>
          <w:bCs/>
          <w:color w:val="202122"/>
          <w:sz w:val="24"/>
          <w:shd w:val="clear" w:color="auto" w:fill="FFFFFF"/>
        </w:rPr>
        <w:t>Other composite indicators</w:t>
      </w:r>
      <w:bookmarkEnd w:id="21"/>
      <w:bookmarkEnd w:id="22"/>
      <w:r>
        <w:rPr>
          <w:rFonts w:ascii="Times New Roman" w:hAnsi="Times New Roman" w:cs="Times New Roman"/>
          <w:color w:val="202122"/>
          <w:sz w:val="24"/>
          <w:shd w:val="clear" w:color="auto" w:fill="FFFFFF"/>
        </w:rPr>
        <w:t xml:space="preserve">: China composite leading indicator (CLI_China), global composite leading indicator (CLI_Global), America composite leading indicator (CLI_US). </w:t>
      </w:r>
      <w:r>
        <w:rPr>
          <w:rFonts w:ascii="Times New Roman" w:hAnsi="Times New Roman" w:cs="Times New Roman"/>
          <w:color w:val="FF0000"/>
          <w:sz w:val="24"/>
          <w:shd w:val="clear" w:color="auto" w:fill="FFFFFF"/>
        </w:rPr>
        <w:t>Table 3 provides a list of 4 categories and 29 detailed variables.</w:t>
      </w:r>
    </w:p>
    <w:p>
      <w:pPr>
        <w:pStyle w:val="5"/>
        <w:keepNext/>
        <w:spacing w:before="312" w:beforeLines="100"/>
        <w:jc w:val="center"/>
        <w:rPr>
          <w:rFonts w:ascii="Times New Roman" w:hAnsi="Times New Roman" w:cs="Times New Roman"/>
        </w:rPr>
      </w:pPr>
      <w:bookmarkStart w:id="23" w:name="_Hlk143468466"/>
      <w:r>
        <w:rPr>
          <w:rFonts w:ascii="Times New Roman" w:hAnsi="Times New Roman" w:cs="Times New Roman"/>
        </w:rPr>
        <w:t>Table 3: Selected variables within four categories</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2830" w:type="dxa"/>
            <w:tcBorders>
              <w:top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tcBorders>
              <w:top w:val="single" w:color="auto" w:sz="4" w:space="0"/>
            </w:tcBorders>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bookmarkEnd w:id="23"/>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FF0000"/>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 </w:t>
      </w:r>
      <w:r>
        <w:rPr>
          <w:rFonts w:ascii="Times New Roman" w:hAnsi="Times New Roman" w:cs="Times New Roman"/>
          <w:color w:val="FF0000"/>
          <w:sz w:val="24"/>
          <w:shd w:val="clear" w:color="auto" w:fill="FFFFFF"/>
        </w:rPr>
        <w:t xml:space="preserve">All data undergo a standard scaling process after the log transformation.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The statistical properties of the exchange rate and selected variables are represented in Table 4.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5"/>
        <w:keepNext/>
        <w:spacing w:before="312" w:beforeLines="100"/>
        <w:jc w:val="center"/>
        <w:rPr>
          <w:rFonts w:ascii="Times New Roman" w:hAnsi="Times New Roman" w:cs="Times New Roman" w:eastAsiaTheme="minorEastAsia"/>
          <w:color w:val="202122"/>
          <w:sz w:val="24"/>
          <w:szCs w:val="24"/>
          <w:shd w:val="clear" w:color="auto" w:fill="FFFFFF"/>
        </w:rPr>
      </w:pPr>
      <w:r>
        <w:rPr>
          <w:rFonts w:ascii="Times New Roman" w:hAnsi="Times New Roman" w:cs="Times New Roman" w:eastAsiaTheme="minorEastAsia"/>
          <w:color w:val="202122"/>
          <w:sz w:val="24"/>
          <w:szCs w:val="24"/>
          <w:shd w:val="clear" w:color="auto" w:fill="FFFFFF"/>
        </w:rPr>
        <w:t>Table 4. Statistical properties of variables</w:t>
      </w:r>
    </w:p>
    <w:tbl>
      <w:tblPr>
        <w:tblStyle w:val="15"/>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3"/>
        <w:gridCol w:w="725"/>
        <w:gridCol w:w="1165"/>
        <w:gridCol w:w="1065"/>
        <w:gridCol w:w="972"/>
        <w:gridCol w:w="1018"/>
        <w:gridCol w:w="1018"/>
        <w:gridCol w:w="13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683"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Variables</w:t>
            </w:r>
          </w:p>
        </w:tc>
        <w:tc>
          <w:tcPr>
            <w:tcW w:w="426"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mean</w:t>
            </w:r>
          </w:p>
        </w:tc>
        <w:tc>
          <w:tcPr>
            <w:tcW w:w="683"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25"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skewness</w:t>
            </w:r>
          </w:p>
        </w:tc>
        <w:tc>
          <w:tcPr>
            <w:tcW w:w="570"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kurtosis</w:t>
            </w:r>
          </w:p>
        </w:tc>
        <w:tc>
          <w:tcPr>
            <w:tcW w:w="597"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Jarque-bera</w:t>
            </w:r>
          </w:p>
        </w:tc>
        <w:tc>
          <w:tcPr>
            <w:tcW w:w="597" w:type="pct"/>
            <w:tcBorders>
              <w:bottom w:val="single" w:color="auto" w:sz="4" w:space="0"/>
            </w:tcBorders>
            <w:vAlign w:val="center"/>
          </w:tcPr>
          <w:p>
            <w:pPr>
              <w:rPr>
                <w:rFonts w:ascii="Times New Roman" w:hAnsi="Times New Roman" w:cs="Times New Roman"/>
                <w:b/>
                <w:bCs/>
              </w:rPr>
            </w:pPr>
            <w:r>
              <w:rPr>
                <w:rFonts w:ascii="Times New Roman" w:hAnsi="Times New Roman" w:cs="Times New Roman"/>
                <w:b/>
                <w:bCs/>
              </w:rPr>
              <w:t>P-value</w:t>
            </w:r>
          </w:p>
        </w:tc>
        <w:tc>
          <w:tcPr>
            <w:tcW w:w="819"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tcBorders>
              <w:top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FER</w:t>
            </w:r>
          </w:p>
        </w:tc>
        <w:tc>
          <w:tcPr>
            <w:tcW w:w="426"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10.41</w:t>
            </w:r>
          </w:p>
        </w:tc>
        <w:tc>
          <w:tcPr>
            <w:tcW w:w="683"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0.09</w:t>
            </w:r>
          </w:p>
        </w:tc>
        <w:tc>
          <w:tcPr>
            <w:tcW w:w="625"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0.28</w:t>
            </w:r>
          </w:p>
        </w:tc>
        <w:tc>
          <w:tcPr>
            <w:tcW w:w="570"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2.59</w:t>
            </w:r>
          </w:p>
        </w:tc>
        <w:tc>
          <w:tcPr>
            <w:tcW w:w="597"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2.22</w:t>
            </w:r>
          </w:p>
        </w:tc>
        <w:tc>
          <w:tcPr>
            <w:tcW w:w="597"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0.00</w:t>
            </w:r>
          </w:p>
        </w:tc>
        <w:tc>
          <w:tcPr>
            <w:tcW w:w="819"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EX</w:t>
            </w:r>
          </w:p>
        </w:tc>
        <w:tc>
          <w:tcPr>
            <w:tcW w:w="426" w:type="pct"/>
            <w:vAlign w:val="center"/>
          </w:tcPr>
          <w:p>
            <w:pPr>
              <w:jc w:val="center"/>
              <w:rPr>
                <w:rFonts w:ascii="Times New Roman" w:hAnsi="Times New Roman" w:cs="Times New Roman"/>
              </w:rPr>
            </w:pPr>
            <w:r>
              <w:rPr>
                <w:rFonts w:ascii="Times New Roman" w:hAnsi="Times New Roman" w:cs="Times New Roman"/>
              </w:rPr>
              <w:t>7.52</w:t>
            </w:r>
          </w:p>
        </w:tc>
        <w:tc>
          <w:tcPr>
            <w:tcW w:w="683" w:type="pct"/>
            <w:vAlign w:val="center"/>
          </w:tcPr>
          <w:p>
            <w:pPr>
              <w:jc w:val="center"/>
              <w:rPr>
                <w:rFonts w:ascii="Times New Roman" w:hAnsi="Times New Roman" w:cs="Times New Roman"/>
              </w:rPr>
            </w:pPr>
            <w:r>
              <w:rPr>
                <w:rFonts w:ascii="Times New Roman" w:hAnsi="Times New Roman" w:cs="Times New Roman"/>
              </w:rPr>
              <w:t>0.16</w:t>
            </w:r>
          </w:p>
        </w:tc>
        <w:tc>
          <w:tcPr>
            <w:tcW w:w="625" w:type="pct"/>
            <w:vAlign w:val="center"/>
          </w:tcPr>
          <w:p>
            <w:pPr>
              <w:jc w:val="center"/>
              <w:rPr>
                <w:rFonts w:ascii="Times New Roman" w:hAnsi="Times New Roman" w:cs="Times New Roman"/>
              </w:rPr>
            </w:pPr>
            <w:r>
              <w:rPr>
                <w:rFonts w:ascii="Times New Roman" w:hAnsi="Times New Roman" w:cs="Times New Roman"/>
              </w:rPr>
              <w:t>0.26</w:t>
            </w:r>
          </w:p>
        </w:tc>
        <w:tc>
          <w:tcPr>
            <w:tcW w:w="570" w:type="pct"/>
            <w:vAlign w:val="center"/>
          </w:tcPr>
          <w:p>
            <w:pPr>
              <w:jc w:val="center"/>
              <w:rPr>
                <w:rFonts w:ascii="Times New Roman" w:hAnsi="Times New Roman" w:cs="Times New Roman"/>
              </w:rPr>
            </w:pPr>
            <w:r>
              <w:rPr>
                <w:rFonts w:ascii="Times New Roman" w:hAnsi="Times New Roman" w:cs="Times New Roman"/>
              </w:rPr>
              <w:t>1.84</w:t>
            </w:r>
          </w:p>
        </w:tc>
        <w:tc>
          <w:tcPr>
            <w:tcW w:w="597" w:type="pct"/>
            <w:vAlign w:val="center"/>
          </w:tcPr>
          <w:p>
            <w:pPr>
              <w:jc w:val="center"/>
              <w:rPr>
                <w:rFonts w:ascii="Times New Roman" w:hAnsi="Times New Roman" w:cs="Times New Roman"/>
              </w:rPr>
            </w:pPr>
            <w:r>
              <w:rPr>
                <w:rFonts w:ascii="Times New Roman" w:hAnsi="Times New Roman" w:cs="Times New Roman"/>
              </w:rPr>
              <w:t>7.38</w:t>
            </w:r>
          </w:p>
        </w:tc>
        <w:tc>
          <w:tcPr>
            <w:tcW w:w="597" w:type="pct"/>
            <w:vAlign w:val="center"/>
          </w:tcPr>
          <w:p>
            <w:pPr>
              <w:jc w:val="center"/>
              <w:rPr>
                <w:rFonts w:ascii="Times New Roman" w:hAnsi="Times New Roman" w:cs="Times New Roman"/>
              </w:rPr>
            </w:pPr>
            <w:r>
              <w:rPr>
                <w:rFonts w:ascii="Times New Roman" w:hAnsi="Times New Roman" w:cs="Times New Roman"/>
              </w:rPr>
              <w:t>0.03</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IM</w:t>
            </w:r>
          </w:p>
        </w:tc>
        <w:tc>
          <w:tcPr>
            <w:tcW w:w="426" w:type="pct"/>
            <w:vAlign w:val="center"/>
          </w:tcPr>
          <w:p>
            <w:pPr>
              <w:jc w:val="center"/>
              <w:rPr>
                <w:rFonts w:ascii="Times New Roman" w:hAnsi="Times New Roman" w:cs="Times New Roman"/>
              </w:rPr>
            </w:pPr>
            <w:r>
              <w:rPr>
                <w:rFonts w:ascii="Times New Roman" w:hAnsi="Times New Roman" w:cs="Times New Roman"/>
              </w:rPr>
              <w:t>7.34</w:t>
            </w:r>
          </w:p>
        </w:tc>
        <w:tc>
          <w:tcPr>
            <w:tcW w:w="683" w:type="pct"/>
            <w:vAlign w:val="center"/>
          </w:tcPr>
          <w:p>
            <w:pPr>
              <w:jc w:val="center"/>
              <w:rPr>
                <w:rFonts w:ascii="Times New Roman" w:hAnsi="Times New Roman" w:cs="Times New Roman"/>
              </w:rPr>
            </w:pPr>
            <w:r>
              <w:rPr>
                <w:rFonts w:ascii="Times New Roman" w:hAnsi="Times New Roman" w:cs="Times New Roman"/>
              </w:rPr>
              <w:t>0.13</w:t>
            </w:r>
          </w:p>
        </w:tc>
        <w:tc>
          <w:tcPr>
            <w:tcW w:w="625" w:type="pct"/>
            <w:vAlign w:val="center"/>
          </w:tcPr>
          <w:p>
            <w:pPr>
              <w:jc w:val="center"/>
              <w:rPr>
                <w:rFonts w:ascii="Times New Roman" w:hAnsi="Times New Roman" w:cs="Times New Roman"/>
              </w:rPr>
            </w:pPr>
            <w:r>
              <w:rPr>
                <w:rFonts w:ascii="Times New Roman" w:hAnsi="Times New Roman" w:cs="Times New Roman"/>
              </w:rPr>
              <w:t>0.31</w:t>
            </w:r>
          </w:p>
        </w:tc>
        <w:tc>
          <w:tcPr>
            <w:tcW w:w="570" w:type="pct"/>
            <w:vAlign w:val="center"/>
          </w:tcPr>
          <w:p>
            <w:pPr>
              <w:jc w:val="center"/>
              <w:rPr>
                <w:rFonts w:ascii="Times New Roman" w:hAnsi="Times New Roman" w:cs="Times New Roman"/>
              </w:rPr>
            </w:pPr>
            <w:r>
              <w:rPr>
                <w:rFonts w:ascii="Times New Roman" w:hAnsi="Times New Roman" w:cs="Times New Roman"/>
              </w:rPr>
              <w:t>1.79</w:t>
            </w:r>
          </w:p>
        </w:tc>
        <w:tc>
          <w:tcPr>
            <w:tcW w:w="597" w:type="pct"/>
            <w:vAlign w:val="center"/>
          </w:tcPr>
          <w:p>
            <w:pPr>
              <w:jc w:val="center"/>
              <w:rPr>
                <w:rFonts w:ascii="Times New Roman" w:hAnsi="Times New Roman" w:cs="Times New Roman"/>
              </w:rPr>
            </w:pPr>
            <w:r>
              <w:rPr>
                <w:rFonts w:ascii="Times New Roman" w:hAnsi="Times New Roman" w:cs="Times New Roman"/>
              </w:rPr>
              <w:t>8.45</w:t>
            </w:r>
          </w:p>
        </w:tc>
        <w:tc>
          <w:tcPr>
            <w:tcW w:w="597" w:type="pct"/>
            <w:vAlign w:val="center"/>
          </w:tcPr>
          <w:p>
            <w:pPr>
              <w:jc w:val="center"/>
              <w:rPr>
                <w:rFonts w:ascii="Times New Roman" w:hAnsi="Times New Roman" w:cs="Times New Roman"/>
              </w:rPr>
            </w:pPr>
            <w:r>
              <w:rPr>
                <w:rFonts w:ascii="Times New Roman" w:hAnsi="Times New Roman" w:cs="Times New Roman"/>
              </w:rPr>
              <w:t>0.14</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M2</w:t>
            </w:r>
          </w:p>
        </w:tc>
        <w:tc>
          <w:tcPr>
            <w:tcW w:w="426" w:type="pct"/>
            <w:vAlign w:val="center"/>
          </w:tcPr>
          <w:p>
            <w:pPr>
              <w:jc w:val="center"/>
              <w:rPr>
                <w:rFonts w:ascii="Times New Roman" w:hAnsi="Times New Roman" w:cs="Times New Roman"/>
              </w:rPr>
            </w:pPr>
            <w:r>
              <w:rPr>
                <w:rFonts w:ascii="Times New Roman" w:hAnsi="Times New Roman" w:cs="Times New Roman"/>
              </w:rPr>
              <w:t>14.07</w:t>
            </w:r>
          </w:p>
        </w:tc>
        <w:tc>
          <w:tcPr>
            <w:tcW w:w="683" w:type="pct"/>
            <w:vAlign w:val="center"/>
          </w:tcPr>
          <w:p>
            <w:pPr>
              <w:jc w:val="center"/>
              <w:rPr>
                <w:rFonts w:ascii="Times New Roman" w:hAnsi="Times New Roman" w:cs="Times New Roman"/>
              </w:rPr>
            </w:pPr>
            <w:r>
              <w:rPr>
                <w:rFonts w:ascii="Times New Roman" w:hAnsi="Times New Roman" w:cs="Times New Roman"/>
              </w:rPr>
              <w:t>0.29</w:t>
            </w:r>
          </w:p>
        </w:tc>
        <w:tc>
          <w:tcPr>
            <w:tcW w:w="625" w:type="pct"/>
            <w:vAlign w:val="center"/>
          </w:tcPr>
          <w:p>
            <w:pPr>
              <w:jc w:val="center"/>
              <w:rPr>
                <w:rFonts w:ascii="Times New Roman" w:hAnsi="Times New Roman" w:cs="Times New Roman"/>
              </w:rPr>
            </w:pPr>
            <w:r>
              <w:rPr>
                <w:rFonts w:ascii="Times New Roman" w:hAnsi="Times New Roman" w:cs="Times New Roman"/>
              </w:rPr>
              <w:t>0.02</w:t>
            </w:r>
          </w:p>
        </w:tc>
        <w:tc>
          <w:tcPr>
            <w:tcW w:w="570" w:type="pct"/>
            <w:vAlign w:val="center"/>
          </w:tcPr>
          <w:p>
            <w:pPr>
              <w:jc w:val="center"/>
              <w:rPr>
                <w:rFonts w:ascii="Times New Roman" w:hAnsi="Times New Roman" w:cs="Times New Roman"/>
              </w:rPr>
            </w:pPr>
            <w:r>
              <w:rPr>
                <w:rFonts w:ascii="Times New Roman" w:hAnsi="Times New Roman" w:cs="Times New Roman"/>
              </w:rPr>
              <w:t>1.91</w:t>
            </w:r>
          </w:p>
        </w:tc>
        <w:tc>
          <w:tcPr>
            <w:tcW w:w="597" w:type="pct"/>
            <w:vAlign w:val="center"/>
          </w:tcPr>
          <w:p>
            <w:pPr>
              <w:jc w:val="center"/>
              <w:rPr>
                <w:rFonts w:ascii="Times New Roman" w:hAnsi="Times New Roman" w:cs="Times New Roman"/>
              </w:rPr>
            </w:pPr>
            <w:r>
              <w:rPr>
                <w:rFonts w:ascii="Times New Roman" w:hAnsi="Times New Roman" w:cs="Times New Roman"/>
              </w:rPr>
              <w:t>5.36</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26" w:type="pct"/>
            <w:vAlign w:val="center"/>
          </w:tcPr>
          <w:p>
            <w:pPr>
              <w:jc w:val="center"/>
              <w:rPr>
                <w:rFonts w:ascii="Times New Roman" w:hAnsi="Times New Roman" w:cs="Times New Roman"/>
              </w:rPr>
            </w:pPr>
            <w:r>
              <w:rPr>
                <w:rFonts w:ascii="Times New Roman" w:hAnsi="Times New Roman" w:cs="Times New Roman"/>
              </w:rPr>
              <w:t>2.55</w:t>
            </w:r>
          </w:p>
        </w:tc>
        <w:tc>
          <w:tcPr>
            <w:tcW w:w="683" w:type="pct"/>
            <w:vAlign w:val="center"/>
          </w:tcPr>
          <w:p>
            <w:pPr>
              <w:jc w:val="center"/>
              <w:rPr>
                <w:rFonts w:ascii="Times New Roman" w:hAnsi="Times New Roman" w:cs="Times New Roman"/>
              </w:rPr>
            </w:pPr>
            <w:r>
              <w:rPr>
                <w:rFonts w:ascii="Times New Roman" w:hAnsi="Times New Roman" w:cs="Times New Roman"/>
              </w:rPr>
              <w:t>1.29</w:t>
            </w:r>
          </w:p>
        </w:tc>
        <w:tc>
          <w:tcPr>
            <w:tcW w:w="625" w:type="pct"/>
            <w:vAlign w:val="center"/>
          </w:tcPr>
          <w:p>
            <w:pPr>
              <w:jc w:val="center"/>
              <w:rPr>
                <w:rFonts w:ascii="Times New Roman" w:hAnsi="Times New Roman" w:cs="Times New Roman"/>
              </w:rPr>
            </w:pPr>
            <w:r>
              <w:rPr>
                <w:rFonts w:ascii="Times New Roman" w:hAnsi="Times New Roman" w:cs="Times New Roman"/>
              </w:rPr>
              <w:t>0.46</w:t>
            </w:r>
          </w:p>
        </w:tc>
        <w:tc>
          <w:tcPr>
            <w:tcW w:w="570" w:type="pct"/>
            <w:vAlign w:val="center"/>
          </w:tcPr>
          <w:p>
            <w:pPr>
              <w:jc w:val="center"/>
              <w:rPr>
                <w:rFonts w:ascii="Times New Roman" w:hAnsi="Times New Roman" w:cs="Times New Roman"/>
              </w:rPr>
            </w:pPr>
            <w:r>
              <w:rPr>
                <w:rFonts w:ascii="Times New Roman" w:hAnsi="Times New Roman" w:cs="Times New Roman"/>
              </w:rPr>
              <w:t>1.86</w:t>
            </w:r>
          </w:p>
        </w:tc>
        <w:tc>
          <w:tcPr>
            <w:tcW w:w="597" w:type="pct"/>
            <w:vAlign w:val="center"/>
          </w:tcPr>
          <w:p>
            <w:pPr>
              <w:jc w:val="center"/>
              <w:rPr>
                <w:rFonts w:ascii="Times New Roman" w:hAnsi="Times New Roman" w:cs="Times New Roman"/>
              </w:rPr>
            </w:pPr>
            <w:r>
              <w:rPr>
                <w:rFonts w:ascii="Times New Roman" w:hAnsi="Times New Roman" w:cs="Times New Roman"/>
              </w:rPr>
              <w:t>9.82</w:t>
            </w:r>
          </w:p>
        </w:tc>
        <w:tc>
          <w:tcPr>
            <w:tcW w:w="597" w:type="pct"/>
            <w:vAlign w:val="center"/>
          </w:tcPr>
          <w:p>
            <w:pPr>
              <w:jc w:val="center"/>
              <w:rPr>
                <w:rFonts w:ascii="Times New Roman" w:hAnsi="Times New Roman" w:cs="Times New Roman"/>
              </w:rPr>
            </w:pPr>
            <w:r>
              <w:rPr>
                <w:rFonts w:ascii="Times New Roman" w:hAnsi="Times New Roman" w:cs="Times New Roman"/>
              </w:rPr>
              <w:t>0.32</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26" w:type="pct"/>
            <w:vAlign w:val="center"/>
          </w:tcPr>
          <w:p>
            <w:pPr>
              <w:jc w:val="center"/>
              <w:rPr>
                <w:rFonts w:ascii="Times New Roman" w:hAnsi="Times New Roman" w:cs="Times New Roman"/>
              </w:rPr>
            </w:pPr>
            <w:r>
              <w:rPr>
                <w:rFonts w:ascii="Times New Roman" w:hAnsi="Times New Roman" w:cs="Times New Roman"/>
              </w:rPr>
              <w:t>1.80</w:t>
            </w:r>
          </w:p>
        </w:tc>
        <w:tc>
          <w:tcPr>
            <w:tcW w:w="683" w:type="pct"/>
            <w:vAlign w:val="center"/>
          </w:tcPr>
          <w:p>
            <w:pPr>
              <w:jc w:val="center"/>
              <w:rPr>
                <w:rFonts w:ascii="Times New Roman" w:hAnsi="Times New Roman" w:cs="Times New Roman"/>
              </w:rPr>
            </w:pPr>
            <w:r>
              <w:rPr>
                <w:rFonts w:ascii="Times New Roman" w:hAnsi="Times New Roman" w:cs="Times New Roman"/>
              </w:rPr>
              <w:t>0.89</w:t>
            </w:r>
          </w:p>
        </w:tc>
        <w:tc>
          <w:tcPr>
            <w:tcW w:w="625" w:type="pct"/>
            <w:vAlign w:val="center"/>
          </w:tcPr>
          <w:p>
            <w:pPr>
              <w:jc w:val="center"/>
              <w:rPr>
                <w:rFonts w:ascii="Times New Roman" w:hAnsi="Times New Roman" w:cs="Times New Roman"/>
              </w:rPr>
            </w:pPr>
            <w:r>
              <w:rPr>
                <w:rFonts w:ascii="Times New Roman" w:hAnsi="Times New Roman" w:cs="Times New Roman"/>
              </w:rPr>
              <w:t>0.48</w:t>
            </w:r>
          </w:p>
        </w:tc>
        <w:tc>
          <w:tcPr>
            <w:tcW w:w="570" w:type="pct"/>
            <w:vAlign w:val="center"/>
          </w:tcPr>
          <w:p>
            <w:pPr>
              <w:jc w:val="center"/>
              <w:rPr>
                <w:rFonts w:ascii="Times New Roman" w:hAnsi="Times New Roman" w:cs="Times New Roman"/>
              </w:rPr>
            </w:pPr>
            <w:r>
              <w:rPr>
                <w:rFonts w:ascii="Times New Roman" w:hAnsi="Times New Roman" w:cs="Times New Roman"/>
              </w:rPr>
              <w:t>1.88</w:t>
            </w:r>
          </w:p>
        </w:tc>
        <w:tc>
          <w:tcPr>
            <w:tcW w:w="597" w:type="pct"/>
            <w:vAlign w:val="center"/>
          </w:tcPr>
          <w:p>
            <w:pPr>
              <w:jc w:val="center"/>
              <w:rPr>
                <w:rFonts w:ascii="Times New Roman" w:hAnsi="Times New Roman" w:cs="Times New Roman"/>
              </w:rPr>
            </w:pPr>
            <w:r>
              <w:rPr>
                <w:rFonts w:ascii="Times New Roman" w:hAnsi="Times New Roman" w:cs="Times New Roman"/>
              </w:rPr>
              <w:t>9.94</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26" w:type="pct"/>
            <w:vAlign w:val="center"/>
          </w:tcPr>
          <w:p>
            <w:pPr>
              <w:jc w:val="center"/>
              <w:rPr>
                <w:rFonts w:ascii="Times New Roman" w:hAnsi="Times New Roman" w:cs="Times New Roman"/>
              </w:rPr>
            </w:pPr>
            <w:r>
              <w:rPr>
                <w:rFonts w:ascii="Times New Roman" w:hAnsi="Times New Roman" w:cs="Times New Roman"/>
              </w:rPr>
              <w:t>7.93</w:t>
            </w:r>
          </w:p>
        </w:tc>
        <w:tc>
          <w:tcPr>
            <w:tcW w:w="683" w:type="pct"/>
            <w:vAlign w:val="center"/>
          </w:tcPr>
          <w:p>
            <w:pPr>
              <w:jc w:val="center"/>
              <w:rPr>
                <w:rFonts w:ascii="Times New Roman" w:hAnsi="Times New Roman" w:cs="Times New Roman"/>
              </w:rPr>
            </w:pPr>
            <w:r>
              <w:rPr>
                <w:rFonts w:ascii="Times New Roman" w:hAnsi="Times New Roman" w:cs="Times New Roman"/>
              </w:rPr>
              <w:t>3.61</w:t>
            </w:r>
          </w:p>
        </w:tc>
        <w:tc>
          <w:tcPr>
            <w:tcW w:w="625" w:type="pct"/>
            <w:vAlign w:val="center"/>
          </w:tcPr>
          <w:p>
            <w:pPr>
              <w:jc w:val="center"/>
              <w:rPr>
                <w:rFonts w:ascii="Times New Roman" w:hAnsi="Times New Roman" w:cs="Times New Roman"/>
              </w:rPr>
            </w:pPr>
            <w:r>
              <w:rPr>
                <w:rFonts w:ascii="Times New Roman" w:hAnsi="Times New Roman" w:cs="Times New Roman"/>
              </w:rPr>
              <w:t>0.17</w:t>
            </w:r>
          </w:p>
        </w:tc>
        <w:tc>
          <w:tcPr>
            <w:tcW w:w="570" w:type="pct"/>
            <w:vAlign w:val="center"/>
          </w:tcPr>
          <w:p>
            <w:pPr>
              <w:jc w:val="center"/>
              <w:rPr>
                <w:rFonts w:ascii="Times New Roman" w:hAnsi="Times New Roman" w:cs="Times New Roman"/>
              </w:rPr>
            </w:pPr>
            <w:r>
              <w:rPr>
                <w:rFonts w:ascii="Times New Roman" w:hAnsi="Times New Roman" w:cs="Times New Roman"/>
              </w:rPr>
              <w:t>1.84</w:t>
            </w:r>
          </w:p>
        </w:tc>
        <w:tc>
          <w:tcPr>
            <w:tcW w:w="597" w:type="pct"/>
            <w:vAlign w:val="center"/>
          </w:tcPr>
          <w:p>
            <w:pPr>
              <w:jc w:val="center"/>
              <w:rPr>
                <w:rFonts w:ascii="Times New Roman" w:hAnsi="Times New Roman" w:cs="Times New Roman"/>
              </w:rPr>
            </w:pPr>
            <w:r>
              <w:rPr>
                <w:rFonts w:ascii="Times New Roman" w:hAnsi="Times New Roman" w:cs="Times New Roman"/>
              </w:rPr>
              <w:t>6.62</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26" w:type="pct"/>
            <w:vAlign w:val="center"/>
          </w:tcPr>
          <w:p>
            <w:pPr>
              <w:jc w:val="center"/>
              <w:rPr>
                <w:rFonts w:ascii="Times New Roman" w:hAnsi="Times New Roman" w:cs="Times New Roman"/>
              </w:rPr>
            </w:pPr>
            <w:r>
              <w:rPr>
                <w:rFonts w:ascii="Times New Roman" w:hAnsi="Times New Roman" w:cs="Times New Roman"/>
              </w:rPr>
              <w:t>0.39</w:t>
            </w:r>
          </w:p>
        </w:tc>
        <w:tc>
          <w:tcPr>
            <w:tcW w:w="683" w:type="pct"/>
            <w:vAlign w:val="center"/>
          </w:tcPr>
          <w:p>
            <w:pPr>
              <w:jc w:val="center"/>
              <w:rPr>
                <w:rFonts w:ascii="Times New Roman" w:hAnsi="Times New Roman" w:cs="Times New Roman"/>
              </w:rPr>
            </w:pPr>
            <w:r>
              <w:rPr>
                <w:rFonts w:ascii="Times New Roman" w:hAnsi="Times New Roman" w:cs="Times New Roman"/>
              </w:rPr>
              <w:t>4.02</w:t>
            </w:r>
          </w:p>
        </w:tc>
        <w:tc>
          <w:tcPr>
            <w:tcW w:w="625" w:type="pct"/>
            <w:vAlign w:val="center"/>
          </w:tcPr>
          <w:p>
            <w:pPr>
              <w:jc w:val="center"/>
              <w:rPr>
                <w:rFonts w:ascii="Times New Roman" w:hAnsi="Times New Roman" w:cs="Times New Roman"/>
              </w:rPr>
            </w:pPr>
            <w:r>
              <w:rPr>
                <w:rFonts w:ascii="Times New Roman" w:hAnsi="Times New Roman" w:cs="Times New Roman"/>
              </w:rPr>
              <w:t>0.76</w:t>
            </w:r>
          </w:p>
        </w:tc>
        <w:tc>
          <w:tcPr>
            <w:tcW w:w="570" w:type="pct"/>
            <w:vAlign w:val="center"/>
          </w:tcPr>
          <w:p>
            <w:pPr>
              <w:jc w:val="center"/>
              <w:rPr>
                <w:rFonts w:ascii="Times New Roman" w:hAnsi="Times New Roman" w:cs="Times New Roman"/>
              </w:rPr>
            </w:pPr>
            <w:r>
              <w:rPr>
                <w:rFonts w:ascii="Times New Roman" w:hAnsi="Times New Roman" w:cs="Times New Roman"/>
              </w:rPr>
              <w:t>2.58</w:t>
            </w:r>
          </w:p>
        </w:tc>
        <w:tc>
          <w:tcPr>
            <w:tcW w:w="597" w:type="pct"/>
            <w:vAlign w:val="center"/>
          </w:tcPr>
          <w:p>
            <w:pPr>
              <w:jc w:val="center"/>
              <w:rPr>
                <w:rFonts w:ascii="Times New Roman" w:hAnsi="Times New Roman" w:cs="Times New Roman"/>
              </w:rPr>
            </w:pPr>
            <w:r>
              <w:rPr>
                <w:rFonts w:ascii="Times New Roman" w:hAnsi="Times New Roman" w:cs="Times New Roman"/>
              </w:rPr>
              <w:t>11.29</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26" w:type="pct"/>
            <w:vAlign w:val="center"/>
          </w:tcPr>
          <w:p>
            <w:pPr>
              <w:jc w:val="center"/>
              <w:rPr>
                <w:rFonts w:ascii="Times New Roman" w:hAnsi="Times New Roman" w:cs="Times New Roman"/>
              </w:rPr>
            </w:pPr>
            <w:r>
              <w:rPr>
                <w:rFonts w:ascii="Times New Roman" w:hAnsi="Times New Roman" w:cs="Times New Roman"/>
              </w:rPr>
              <w:t>50.67</w:t>
            </w:r>
          </w:p>
        </w:tc>
        <w:tc>
          <w:tcPr>
            <w:tcW w:w="683" w:type="pct"/>
            <w:vAlign w:val="center"/>
          </w:tcPr>
          <w:p>
            <w:pPr>
              <w:jc w:val="center"/>
              <w:rPr>
                <w:rFonts w:ascii="Times New Roman" w:hAnsi="Times New Roman" w:cs="Times New Roman"/>
              </w:rPr>
            </w:pPr>
            <w:r>
              <w:rPr>
                <w:rFonts w:ascii="Times New Roman" w:hAnsi="Times New Roman" w:cs="Times New Roman"/>
              </w:rPr>
              <w:t>0.93</w:t>
            </w:r>
          </w:p>
        </w:tc>
        <w:tc>
          <w:tcPr>
            <w:tcW w:w="625" w:type="pct"/>
            <w:vAlign w:val="center"/>
          </w:tcPr>
          <w:p>
            <w:pPr>
              <w:jc w:val="center"/>
              <w:rPr>
                <w:rFonts w:ascii="Times New Roman" w:hAnsi="Times New Roman" w:cs="Times New Roman"/>
              </w:rPr>
            </w:pPr>
            <w:r>
              <w:rPr>
                <w:rFonts w:ascii="Times New Roman" w:hAnsi="Times New Roman" w:cs="Times New Roman"/>
              </w:rPr>
              <w:t>0.42</w:t>
            </w:r>
          </w:p>
        </w:tc>
        <w:tc>
          <w:tcPr>
            <w:tcW w:w="570" w:type="pct"/>
            <w:vAlign w:val="center"/>
          </w:tcPr>
          <w:p>
            <w:pPr>
              <w:jc w:val="center"/>
              <w:rPr>
                <w:rFonts w:ascii="Times New Roman" w:hAnsi="Times New Roman" w:cs="Times New Roman"/>
              </w:rPr>
            </w:pPr>
            <w:r>
              <w:rPr>
                <w:rFonts w:ascii="Times New Roman" w:hAnsi="Times New Roman" w:cs="Times New Roman"/>
              </w:rPr>
              <w:t>1.90</w:t>
            </w:r>
          </w:p>
        </w:tc>
        <w:tc>
          <w:tcPr>
            <w:tcW w:w="597" w:type="pct"/>
            <w:vAlign w:val="center"/>
          </w:tcPr>
          <w:p>
            <w:pPr>
              <w:jc w:val="center"/>
              <w:rPr>
                <w:rFonts w:ascii="Times New Roman" w:hAnsi="Times New Roman" w:cs="Times New Roman"/>
              </w:rPr>
            </w:pPr>
            <w:r>
              <w:rPr>
                <w:rFonts w:ascii="Times New Roman" w:hAnsi="Times New Roman" w:cs="Times New Roman"/>
              </w:rPr>
              <w:t>8.68</w:t>
            </w:r>
          </w:p>
        </w:tc>
        <w:tc>
          <w:tcPr>
            <w:tcW w:w="597" w:type="pct"/>
            <w:vAlign w:val="center"/>
          </w:tcPr>
          <w:p>
            <w:pPr>
              <w:jc w:val="center"/>
              <w:rPr>
                <w:rFonts w:ascii="Times New Roman" w:hAnsi="Times New Roman" w:cs="Times New Roman"/>
              </w:rPr>
            </w:pPr>
            <w:r>
              <w:rPr>
                <w:rFonts w:ascii="Times New Roman" w:hAnsi="Times New Roman" w:cs="Times New Roman"/>
              </w:rPr>
              <w:t>0.82</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26" w:type="pct"/>
            <w:vAlign w:val="center"/>
          </w:tcPr>
          <w:p>
            <w:pPr>
              <w:jc w:val="center"/>
              <w:rPr>
                <w:rFonts w:ascii="Times New Roman" w:hAnsi="Times New Roman" w:cs="Times New Roman"/>
              </w:rPr>
            </w:pPr>
            <w:r>
              <w:rPr>
                <w:rFonts w:ascii="Times New Roman" w:hAnsi="Times New Roman" w:cs="Times New Roman"/>
              </w:rPr>
              <w:t>89.17</w:t>
            </w:r>
          </w:p>
        </w:tc>
        <w:tc>
          <w:tcPr>
            <w:tcW w:w="683" w:type="pct"/>
            <w:vAlign w:val="center"/>
          </w:tcPr>
          <w:p>
            <w:pPr>
              <w:jc w:val="center"/>
              <w:rPr>
                <w:rFonts w:ascii="Times New Roman" w:hAnsi="Times New Roman" w:cs="Times New Roman"/>
              </w:rPr>
            </w:pPr>
            <w:r>
              <w:rPr>
                <w:rFonts w:ascii="Times New Roman" w:hAnsi="Times New Roman" w:cs="Times New Roman"/>
              </w:rPr>
              <w:t>8.42</w:t>
            </w:r>
          </w:p>
        </w:tc>
        <w:tc>
          <w:tcPr>
            <w:tcW w:w="625" w:type="pct"/>
            <w:vAlign w:val="center"/>
          </w:tcPr>
          <w:p>
            <w:pPr>
              <w:jc w:val="center"/>
              <w:rPr>
                <w:rFonts w:ascii="Times New Roman" w:hAnsi="Times New Roman" w:cs="Times New Roman"/>
              </w:rPr>
            </w:pPr>
            <w:r>
              <w:rPr>
                <w:rFonts w:ascii="Times New Roman" w:hAnsi="Times New Roman" w:cs="Times New Roman"/>
              </w:rPr>
              <w:t>-0.27</w:t>
            </w:r>
          </w:p>
        </w:tc>
        <w:tc>
          <w:tcPr>
            <w:tcW w:w="570" w:type="pct"/>
            <w:vAlign w:val="center"/>
          </w:tcPr>
          <w:p>
            <w:pPr>
              <w:jc w:val="center"/>
              <w:rPr>
                <w:rFonts w:ascii="Times New Roman" w:hAnsi="Times New Roman" w:cs="Times New Roman"/>
              </w:rPr>
            </w:pPr>
            <w:r>
              <w:rPr>
                <w:rFonts w:ascii="Times New Roman" w:hAnsi="Times New Roman" w:cs="Times New Roman"/>
              </w:rPr>
              <w:t>2.55</w:t>
            </w:r>
          </w:p>
        </w:tc>
        <w:tc>
          <w:tcPr>
            <w:tcW w:w="597" w:type="pct"/>
            <w:vAlign w:val="center"/>
          </w:tcPr>
          <w:p>
            <w:pPr>
              <w:jc w:val="center"/>
              <w:rPr>
                <w:rFonts w:ascii="Times New Roman" w:hAnsi="Times New Roman" w:cs="Times New Roman"/>
              </w:rPr>
            </w:pPr>
            <w:r>
              <w:rPr>
                <w:rFonts w:ascii="Times New Roman" w:hAnsi="Times New Roman" w:cs="Times New Roman"/>
              </w:rPr>
              <w:t>2.25</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26" w:type="pct"/>
            <w:vAlign w:val="center"/>
          </w:tcPr>
          <w:p>
            <w:pPr>
              <w:jc w:val="center"/>
              <w:rPr>
                <w:rFonts w:ascii="Times New Roman" w:hAnsi="Times New Roman" w:cs="Times New Roman"/>
              </w:rPr>
            </w:pPr>
            <w:r>
              <w:rPr>
                <w:rFonts w:ascii="Times New Roman" w:hAnsi="Times New Roman" w:cs="Times New Roman"/>
              </w:rPr>
              <w:t>71.55</w:t>
            </w:r>
          </w:p>
        </w:tc>
        <w:tc>
          <w:tcPr>
            <w:tcW w:w="683" w:type="pct"/>
            <w:vAlign w:val="center"/>
          </w:tcPr>
          <w:p>
            <w:pPr>
              <w:jc w:val="center"/>
              <w:rPr>
                <w:rFonts w:ascii="Times New Roman" w:hAnsi="Times New Roman" w:cs="Times New Roman"/>
              </w:rPr>
            </w:pPr>
            <w:r>
              <w:rPr>
                <w:rFonts w:ascii="Times New Roman" w:hAnsi="Times New Roman" w:cs="Times New Roman"/>
              </w:rPr>
              <w:t>22.82</w:t>
            </w:r>
          </w:p>
        </w:tc>
        <w:tc>
          <w:tcPr>
            <w:tcW w:w="625" w:type="pct"/>
            <w:vAlign w:val="center"/>
          </w:tcPr>
          <w:p>
            <w:pPr>
              <w:jc w:val="center"/>
              <w:rPr>
                <w:rFonts w:ascii="Times New Roman" w:hAnsi="Times New Roman" w:cs="Times New Roman"/>
              </w:rPr>
            </w:pPr>
            <w:r>
              <w:rPr>
                <w:rFonts w:ascii="Times New Roman" w:hAnsi="Times New Roman" w:cs="Times New Roman"/>
              </w:rPr>
              <w:t>0.01</w:t>
            </w:r>
          </w:p>
        </w:tc>
        <w:tc>
          <w:tcPr>
            <w:tcW w:w="570" w:type="pct"/>
            <w:vAlign w:val="center"/>
          </w:tcPr>
          <w:p>
            <w:pPr>
              <w:jc w:val="center"/>
              <w:rPr>
                <w:rFonts w:ascii="Times New Roman" w:hAnsi="Times New Roman" w:cs="Times New Roman"/>
              </w:rPr>
            </w:pPr>
            <w:r>
              <w:rPr>
                <w:rFonts w:ascii="Times New Roman" w:hAnsi="Times New Roman" w:cs="Times New Roman"/>
              </w:rPr>
              <w:t>2.46</w:t>
            </w:r>
          </w:p>
        </w:tc>
        <w:tc>
          <w:tcPr>
            <w:tcW w:w="597" w:type="pct"/>
            <w:vAlign w:val="center"/>
          </w:tcPr>
          <w:p>
            <w:pPr>
              <w:jc w:val="center"/>
              <w:rPr>
                <w:rFonts w:ascii="Times New Roman" w:hAnsi="Times New Roman" w:cs="Times New Roman"/>
              </w:rPr>
            </w:pPr>
            <w:r>
              <w:rPr>
                <w:rFonts w:ascii="Times New Roman" w:hAnsi="Times New Roman" w:cs="Times New Roman"/>
              </w:rPr>
              <w:t>1.28</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26" w:type="pct"/>
            <w:vAlign w:val="center"/>
          </w:tcPr>
          <w:p>
            <w:pPr>
              <w:jc w:val="center"/>
              <w:rPr>
                <w:rFonts w:ascii="Times New Roman" w:hAnsi="Times New Roman" w:cs="Times New Roman"/>
              </w:rPr>
            </w:pPr>
            <w:r>
              <w:rPr>
                <w:rFonts w:ascii="Times New Roman" w:hAnsi="Times New Roman" w:cs="Times New Roman"/>
              </w:rPr>
              <w:t>7.21</w:t>
            </w:r>
          </w:p>
        </w:tc>
        <w:tc>
          <w:tcPr>
            <w:tcW w:w="683" w:type="pct"/>
            <w:vAlign w:val="center"/>
          </w:tcPr>
          <w:p>
            <w:pPr>
              <w:jc w:val="center"/>
              <w:rPr>
                <w:rFonts w:ascii="Times New Roman" w:hAnsi="Times New Roman" w:cs="Times New Roman"/>
              </w:rPr>
            </w:pPr>
            <w:r>
              <w:rPr>
                <w:rFonts w:ascii="Times New Roman" w:hAnsi="Times New Roman" w:cs="Times New Roman"/>
              </w:rPr>
              <w:t>0.13</w:t>
            </w:r>
          </w:p>
        </w:tc>
        <w:tc>
          <w:tcPr>
            <w:tcW w:w="625" w:type="pct"/>
            <w:vAlign w:val="center"/>
          </w:tcPr>
          <w:p>
            <w:pPr>
              <w:jc w:val="center"/>
              <w:rPr>
                <w:rFonts w:ascii="Times New Roman" w:hAnsi="Times New Roman" w:cs="Times New Roman"/>
              </w:rPr>
            </w:pPr>
            <w:r>
              <w:rPr>
                <w:rFonts w:ascii="Times New Roman" w:hAnsi="Times New Roman" w:cs="Times New Roman"/>
              </w:rPr>
              <w:t>0.40</w:t>
            </w:r>
          </w:p>
        </w:tc>
        <w:tc>
          <w:tcPr>
            <w:tcW w:w="570" w:type="pct"/>
            <w:vAlign w:val="center"/>
          </w:tcPr>
          <w:p>
            <w:pPr>
              <w:jc w:val="center"/>
              <w:rPr>
                <w:rFonts w:ascii="Times New Roman" w:hAnsi="Times New Roman" w:cs="Times New Roman"/>
              </w:rPr>
            </w:pPr>
            <w:r>
              <w:rPr>
                <w:rFonts w:ascii="Times New Roman" w:hAnsi="Times New Roman" w:cs="Times New Roman"/>
              </w:rPr>
              <w:t>2.02</w:t>
            </w:r>
          </w:p>
        </w:tc>
        <w:tc>
          <w:tcPr>
            <w:tcW w:w="597" w:type="pct"/>
            <w:vAlign w:val="center"/>
          </w:tcPr>
          <w:p>
            <w:pPr>
              <w:jc w:val="center"/>
              <w:rPr>
                <w:rFonts w:ascii="Times New Roman" w:hAnsi="Times New Roman" w:cs="Times New Roman"/>
              </w:rPr>
            </w:pPr>
            <w:r>
              <w:rPr>
                <w:rFonts w:ascii="Times New Roman" w:hAnsi="Times New Roman" w:cs="Times New Roman"/>
              </w:rPr>
              <w:t>7.21</w:t>
            </w:r>
          </w:p>
        </w:tc>
        <w:tc>
          <w:tcPr>
            <w:tcW w:w="597" w:type="pct"/>
            <w:vAlign w:val="center"/>
          </w:tcPr>
          <w:p>
            <w:pPr>
              <w:jc w:val="center"/>
              <w:rPr>
                <w:rFonts w:ascii="Times New Roman" w:hAnsi="Times New Roman" w:cs="Times New Roman"/>
              </w:rPr>
            </w:pPr>
            <w:r>
              <w:rPr>
                <w:rFonts w:ascii="Times New Roman" w:hAnsi="Times New Roman" w:cs="Times New Roman"/>
              </w:rPr>
              <w:t>0.46</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26" w:type="pct"/>
            <w:vAlign w:val="center"/>
          </w:tcPr>
          <w:p>
            <w:pPr>
              <w:jc w:val="center"/>
              <w:rPr>
                <w:rFonts w:ascii="Times New Roman" w:hAnsi="Times New Roman" w:cs="Times New Roman"/>
              </w:rPr>
            </w:pPr>
            <w:r>
              <w:rPr>
                <w:rFonts w:ascii="Times New Roman" w:hAnsi="Times New Roman" w:cs="Times New Roman"/>
              </w:rPr>
              <w:t>9.78</w:t>
            </w:r>
          </w:p>
        </w:tc>
        <w:tc>
          <w:tcPr>
            <w:tcW w:w="683" w:type="pct"/>
            <w:vAlign w:val="center"/>
          </w:tcPr>
          <w:p>
            <w:pPr>
              <w:jc w:val="center"/>
              <w:rPr>
                <w:rFonts w:ascii="Times New Roman" w:hAnsi="Times New Roman" w:cs="Times New Roman"/>
              </w:rPr>
            </w:pPr>
            <w:r>
              <w:rPr>
                <w:rFonts w:ascii="Times New Roman" w:hAnsi="Times New Roman" w:cs="Times New Roman"/>
              </w:rPr>
              <w:t>0.27</w:t>
            </w:r>
          </w:p>
        </w:tc>
        <w:tc>
          <w:tcPr>
            <w:tcW w:w="625" w:type="pct"/>
            <w:vAlign w:val="center"/>
          </w:tcPr>
          <w:p>
            <w:pPr>
              <w:jc w:val="center"/>
              <w:rPr>
                <w:rFonts w:ascii="Times New Roman" w:hAnsi="Times New Roman" w:cs="Times New Roman"/>
              </w:rPr>
            </w:pPr>
            <w:r>
              <w:rPr>
                <w:rFonts w:ascii="Times New Roman" w:hAnsi="Times New Roman" w:cs="Times New Roman"/>
              </w:rPr>
              <w:t>-0.16</w:t>
            </w:r>
          </w:p>
        </w:tc>
        <w:tc>
          <w:tcPr>
            <w:tcW w:w="570" w:type="pct"/>
            <w:vAlign w:val="center"/>
          </w:tcPr>
          <w:p>
            <w:pPr>
              <w:jc w:val="center"/>
              <w:rPr>
                <w:rFonts w:ascii="Times New Roman" w:hAnsi="Times New Roman" w:cs="Times New Roman"/>
              </w:rPr>
            </w:pPr>
            <w:r>
              <w:rPr>
                <w:rFonts w:ascii="Times New Roman" w:hAnsi="Times New Roman" w:cs="Times New Roman"/>
              </w:rPr>
              <w:t>1.80</w:t>
            </w:r>
          </w:p>
        </w:tc>
        <w:tc>
          <w:tcPr>
            <w:tcW w:w="597" w:type="pct"/>
            <w:vAlign w:val="center"/>
          </w:tcPr>
          <w:p>
            <w:pPr>
              <w:jc w:val="center"/>
              <w:rPr>
                <w:rFonts w:ascii="Times New Roman" w:hAnsi="Times New Roman" w:cs="Times New Roman"/>
              </w:rPr>
            </w:pPr>
            <w:r>
              <w:rPr>
                <w:rFonts w:ascii="Times New Roman" w:hAnsi="Times New Roman" w:cs="Times New Roman"/>
              </w:rPr>
              <w:t>6.94</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26" w:type="pct"/>
            <w:vAlign w:val="center"/>
          </w:tcPr>
          <w:p>
            <w:pPr>
              <w:jc w:val="center"/>
              <w:rPr>
                <w:rFonts w:ascii="Times New Roman" w:hAnsi="Times New Roman" w:cs="Times New Roman"/>
              </w:rPr>
            </w:pPr>
            <w:r>
              <w:rPr>
                <w:rFonts w:ascii="Times New Roman" w:hAnsi="Times New Roman" w:cs="Times New Roman"/>
              </w:rPr>
              <w:t>8.46</w:t>
            </w:r>
          </w:p>
        </w:tc>
        <w:tc>
          <w:tcPr>
            <w:tcW w:w="683" w:type="pct"/>
            <w:vAlign w:val="center"/>
          </w:tcPr>
          <w:p>
            <w:pPr>
              <w:jc w:val="center"/>
              <w:rPr>
                <w:rFonts w:ascii="Times New Roman" w:hAnsi="Times New Roman" w:cs="Times New Roman"/>
              </w:rPr>
            </w:pPr>
            <w:r>
              <w:rPr>
                <w:rFonts w:ascii="Times New Roman" w:hAnsi="Times New Roman" w:cs="Times New Roman"/>
              </w:rPr>
              <w:t>0.37</w:t>
            </w:r>
          </w:p>
        </w:tc>
        <w:tc>
          <w:tcPr>
            <w:tcW w:w="625" w:type="pct"/>
            <w:vAlign w:val="center"/>
          </w:tcPr>
          <w:p>
            <w:pPr>
              <w:jc w:val="center"/>
              <w:rPr>
                <w:rFonts w:ascii="Times New Roman" w:hAnsi="Times New Roman" w:cs="Times New Roman"/>
              </w:rPr>
            </w:pPr>
            <w:r>
              <w:rPr>
                <w:rFonts w:ascii="Times New Roman" w:hAnsi="Times New Roman" w:cs="Times New Roman"/>
              </w:rPr>
              <w:t>-0.19</w:t>
            </w:r>
          </w:p>
        </w:tc>
        <w:tc>
          <w:tcPr>
            <w:tcW w:w="570" w:type="pct"/>
            <w:vAlign w:val="center"/>
          </w:tcPr>
          <w:p>
            <w:pPr>
              <w:jc w:val="center"/>
              <w:rPr>
                <w:rFonts w:ascii="Times New Roman" w:hAnsi="Times New Roman" w:cs="Times New Roman"/>
              </w:rPr>
            </w:pPr>
            <w:r>
              <w:rPr>
                <w:rFonts w:ascii="Times New Roman" w:hAnsi="Times New Roman" w:cs="Times New Roman"/>
              </w:rPr>
              <w:t>1.83</w:t>
            </w:r>
          </w:p>
        </w:tc>
        <w:tc>
          <w:tcPr>
            <w:tcW w:w="597" w:type="pct"/>
            <w:vAlign w:val="center"/>
          </w:tcPr>
          <w:p>
            <w:pPr>
              <w:jc w:val="center"/>
              <w:rPr>
                <w:rFonts w:ascii="Times New Roman" w:hAnsi="Times New Roman" w:cs="Times New Roman"/>
              </w:rPr>
            </w:pPr>
            <w:r>
              <w:rPr>
                <w:rFonts w:ascii="Times New Roman" w:hAnsi="Times New Roman" w:cs="Times New Roman"/>
              </w:rPr>
              <w:t>6.82</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26" w:type="pct"/>
            <w:vAlign w:val="center"/>
          </w:tcPr>
          <w:p>
            <w:pPr>
              <w:jc w:val="center"/>
              <w:rPr>
                <w:rFonts w:ascii="Times New Roman" w:hAnsi="Times New Roman" w:cs="Times New Roman"/>
              </w:rPr>
            </w:pPr>
            <w:r>
              <w:rPr>
                <w:rFonts w:ascii="Times New Roman" w:hAnsi="Times New Roman" w:cs="Times New Roman"/>
              </w:rPr>
              <w:t>9.39</w:t>
            </w:r>
          </w:p>
        </w:tc>
        <w:tc>
          <w:tcPr>
            <w:tcW w:w="683" w:type="pct"/>
            <w:vAlign w:val="center"/>
          </w:tcPr>
          <w:p>
            <w:pPr>
              <w:jc w:val="center"/>
              <w:rPr>
                <w:rFonts w:ascii="Times New Roman" w:hAnsi="Times New Roman" w:cs="Times New Roman"/>
              </w:rPr>
            </w:pPr>
            <w:r>
              <w:rPr>
                <w:rFonts w:ascii="Times New Roman" w:hAnsi="Times New Roman" w:cs="Times New Roman"/>
              </w:rPr>
              <w:t>0.15</w:t>
            </w:r>
          </w:p>
        </w:tc>
        <w:tc>
          <w:tcPr>
            <w:tcW w:w="625" w:type="pct"/>
            <w:vAlign w:val="center"/>
          </w:tcPr>
          <w:p>
            <w:pPr>
              <w:jc w:val="center"/>
              <w:rPr>
                <w:rFonts w:ascii="Times New Roman" w:hAnsi="Times New Roman" w:cs="Times New Roman"/>
              </w:rPr>
            </w:pPr>
            <w:r>
              <w:rPr>
                <w:rFonts w:ascii="Times New Roman" w:hAnsi="Times New Roman" w:cs="Times New Roman"/>
              </w:rPr>
              <w:t>0.04</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4.61</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26" w:type="pct"/>
            <w:vAlign w:val="center"/>
          </w:tcPr>
          <w:p>
            <w:pPr>
              <w:jc w:val="center"/>
              <w:rPr>
                <w:rFonts w:ascii="Times New Roman" w:hAnsi="Times New Roman" w:cs="Times New Roman"/>
              </w:rPr>
            </w:pPr>
            <w:r>
              <w:rPr>
                <w:rFonts w:ascii="Times New Roman" w:hAnsi="Times New Roman" w:cs="Times New Roman"/>
              </w:rPr>
              <w:t>7.59</w:t>
            </w:r>
          </w:p>
        </w:tc>
        <w:tc>
          <w:tcPr>
            <w:tcW w:w="683" w:type="pct"/>
            <w:vAlign w:val="center"/>
          </w:tcPr>
          <w:p>
            <w:pPr>
              <w:jc w:val="center"/>
              <w:rPr>
                <w:rFonts w:ascii="Times New Roman" w:hAnsi="Times New Roman" w:cs="Times New Roman"/>
              </w:rPr>
            </w:pPr>
            <w:r>
              <w:rPr>
                <w:rFonts w:ascii="Times New Roman" w:hAnsi="Times New Roman" w:cs="Times New Roman"/>
              </w:rPr>
              <w:t>0.28</w:t>
            </w:r>
          </w:p>
        </w:tc>
        <w:tc>
          <w:tcPr>
            <w:tcW w:w="625" w:type="pct"/>
            <w:vAlign w:val="center"/>
          </w:tcPr>
          <w:p>
            <w:pPr>
              <w:jc w:val="center"/>
              <w:rPr>
                <w:rFonts w:ascii="Times New Roman" w:hAnsi="Times New Roman" w:cs="Times New Roman"/>
              </w:rPr>
            </w:pPr>
            <w:r>
              <w:rPr>
                <w:rFonts w:ascii="Times New Roman" w:hAnsi="Times New Roman" w:cs="Times New Roman"/>
              </w:rPr>
              <w:t>-0.20</w:t>
            </w:r>
          </w:p>
        </w:tc>
        <w:tc>
          <w:tcPr>
            <w:tcW w:w="570" w:type="pct"/>
            <w:vAlign w:val="center"/>
          </w:tcPr>
          <w:p>
            <w:pPr>
              <w:jc w:val="center"/>
              <w:rPr>
                <w:rFonts w:ascii="Times New Roman" w:hAnsi="Times New Roman" w:cs="Times New Roman"/>
              </w:rPr>
            </w:pPr>
            <w:r>
              <w:rPr>
                <w:rFonts w:ascii="Times New Roman" w:hAnsi="Times New Roman" w:cs="Times New Roman"/>
              </w:rPr>
              <w:t>1.78</w:t>
            </w:r>
          </w:p>
        </w:tc>
        <w:tc>
          <w:tcPr>
            <w:tcW w:w="597" w:type="pct"/>
            <w:vAlign w:val="center"/>
          </w:tcPr>
          <w:p>
            <w:pPr>
              <w:jc w:val="center"/>
              <w:rPr>
                <w:rFonts w:ascii="Times New Roman" w:hAnsi="Times New Roman" w:cs="Times New Roman"/>
              </w:rPr>
            </w:pPr>
            <w:r>
              <w:rPr>
                <w:rFonts w:ascii="Times New Roman" w:hAnsi="Times New Roman" w:cs="Times New Roman"/>
              </w:rPr>
              <w:t>7.43</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26" w:type="pct"/>
            <w:vAlign w:val="center"/>
          </w:tcPr>
          <w:p>
            <w:pPr>
              <w:jc w:val="center"/>
              <w:rPr>
                <w:rFonts w:ascii="Times New Roman" w:hAnsi="Times New Roman" w:cs="Times New Roman"/>
              </w:rPr>
            </w:pPr>
            <w:r>
              <w:rPr>
                <w:rFonts w:ascii="Times New Roman" w:hAnsi="Times New Roman" w:cs="Times New Roman"/>
              </w:rPr>
              <w:t>16.20</w:t>
            </w:r>
          </w:p>
        </w:tc>
        <w:tc>
          <w:tcPr>
            <w:tcW w:w="683" w:type="pct"/>
            <w:vAlign w:val="center"/>
          </w:tcPr>
          <w:p>
            <w:pPr>
              <w:jc w:val="center"/>
              <w:rPr>
                <w:rFonts w:ascii="Times New Roman" w:hAnsi="Times New Roman" w:cs="Times New Roman"/>
              </w:rPr>
            </w:pPr>
            <w:r>
              <w:rPr>
                <w:rFonts w:ascii="Times New Roman" w:hAnsi="Times New Roman" w:cs="Times New Roman"/>
              </w:rPr>
              <w:t>4.82</w:t>
            </w:r>
          </w:p>
        </w:tc>
        <w:tc>
          <w:tcPr>
            <w:tcW w:w="625" w:type="pct"/>
            <w:vAlign w:val="center"/>
          </w:tcPr>
          <w:p>
            <w:pPr>
              <w:jc w:val="center"/>
              <w:rPr>
                <w:rFonts w:ascii="Times New Roman" w:hAnsi="Times New Roman" w:cs="Times New Roman"/>
              </w:rPr>
            </w:pPr>
            <w:r>
              <w:rPr>
                <w:rFonts w:ascii="Times New Roman" w:hAnsi="Times New Roman" w:cs="Times New Roman"/>
              </w:rPr>
              <w:t>0.35</w:t>
            </w:r>
          </w:p>
        </w:tc>
        <w:tc>
          <w:tcPr>
            <w:tcW w:w="570" w:type="pct"/>
            <w:vAlign w:val="center"/>
          </w:tcPr>
          <w:p>
            <w:pPr>
              <w:jc w:val="center"/>
              <w:rPr>
                <w:rFonts w:ascii="Times New Roman" w:hAnsi="Times New Roman" w:cs="Times New Roman"/>
              </w:rPr>
            </w:pPr>
            <w:r>
              <w:rPr>
                <w:rFonts w:ascii="Times New Roman" w:hAnsi="Times New Roman" w:cs="Times New Roman"/>
              </w:rPr>
              <w:t>1.97</w:t>
            </w:r>
          </w:p>
        </w:tc>
        <w:tc>
          <w:tcPr>
            <w:tcW w:w="597" w:type="pct"/>
            <w:vAlign w:val="center"/>
          </w:tcPr>
          <w:p>
            <w:pPr>
              <w:jc w:val="center"/>
              <w:rPr>
                <w:rFonts w:ascii="Times New Roman" w:hAnsi="Times New Roman" w:cs="Times New Roman"/>
              </w:rPr>
            </w:pPr>
            <w:r>
              <w:rPr>
                <w:rFonts w:ascii="Times New Roman" w:hAnsi="Times New Roman" w:cs="Times New Roman"/>
              </w:rPr>
              <w:t>7.04</w:t>
            </w:r>
          </w:p>
        </w:tc>
        <w:tc>
          <w:tcPr>
            <w:tcW w:w="597" w:type="pct"/>
            <w:vAlign w:val="center"/>
          </w:tcPr>
          <w:p>
            <w:pPr>
              <w:jc w:val="center"/>
              <w:rPr>
                <w:rFonts w:ascii="Times New Roman" w:hAnsi="Times New Roman" w:cs="Times New Roman"/>
              </w:rPr>
            </w:pPr>
            <w:r>
              <w:rPr>
                <w:rFonts w:ascii="Times New Roman" w:hAnsi="Times New Roman" w:cs="Times New Roman"/>
              </w:rPr>
              <w:t>0.21</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26" w:type="pct"/>
            <w:vAlign w:val="center"/>
          </w:tcPr>
          <w:p>
            <w:pPr>
              <w:jc w:val="center"/>
              <w:rPr>
                <w:rFonts w:ascii="Times New Roman" w:hAnsi="Times New Roman" w:cs="Times New Roman"/>
              </w:rPr>
            </w:pPr>
            <w:r>
              <w:rPr>
                <w:rFonts w:ascii="Times New Roman" w:hAnsi="Times New Roman" w:cs="Times New Roman"/>
              </w:rPr>
              <w:t>87.13</w:t>
            </w:r>
          </w:p>
        </w:tc>
        <w:tc>
          <w:tcPr>
            <w:tcW w:w="683" w:type="pct"/>
            <w:vAlign w:val="center"/>
          </w:tcPr>
          <w:p>
            <w:pPr>
              <w:jc w:val="center"/>
              <w:rPr>
                <w:rFonts w:ascii="Times New Roman" w:hAnsi="Times New Roman" w:cs="Times New Roman"/>
              </w:rPr>
            </w:pPr>
            <w:r>
              <w:rPr>
                <w:rFonts w:ascii="Times New Roman" w:hAnsi="Times New Roman" w:cs="Times New Roman"/>
              </w:rPr>
              <w:t>10.83</w:t>
            </w:r>
          </w:p>
        </w:tc>
        <w:tc>
          <w:tcPr>
            <w:tcW w:w="625" w:type="pct"/>
            <w:vAlign w:val="center"/>
          </w:tcPr>
          <w:p>
            <w:pPr>
              <w:jc w:val="center"/>
              <w:rPr>
                <w:rFonts w:ascii="Times New Roman" w:hAnsi="Times New Roman" w:cs="Times New Roman"/>
              </w:rPr>
            </w:pPr>
            <w:r>
              <w:rPr>
                <w:rFonts w:ascii="Times New Roman" w:hAnsi="Times New Roman" w:cs="Times New Roman"/>
              </w:rPr>
              <w:t>-0.03</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4.56</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26" w:type="pct"/>
            <w:vAlign w:val="center"/>
          </w:tcPr>
          <w:p>
            <w:pPr>
              <w:jc w:val="center"/>
              <w:rPr>
                <w:rFonts w:ascii="Times New Roman" w:hAnsi="Times New Roman" w:cs="Times New Roman"/>
              </w:rPr>
            </w:pPr>
            <w:r>
              <w:rPr>
                <w:rFonts w:ascii="Times New Roman" w:hAnsi="Times New Roman" w:cs="Times New Roman"/>
              </w:rPr>
              <w:t>9.19</w:t>
            </w:r>
          </w:p>
        </w:tc>
        <w:tc>
          <w:tcPr>
            <w:tcW w:w="683" w:type="pct"/>
            <w:vAlign w:val="center"/>
          </w:tcPr>
          <w:p>
            <w:pPr>
              <w:jc w:val="center"/>
              <w:rPr>
                <w:rFonts w:ascii="Times New Roman" w:hAnsi="Times New Roman" w:cs="Times New Roman"/>
              </w:rPr>
            </w:pPr>
            <w:r>
              <w:rPr>
                <w:rFonts w:ascii="Times New Roman" w:hAnsi="Times New Roman" w:cs="Times New Roman"/>
              </w:rPr>
              <w:t>0.17</w:t>
            </w:r>
          </w:p>
        </w:tc>
        <w:tc>
          <w:tcPr>
            <w:tcW w:w="625" w:type="pct"/>
            <w:vAlign w:val="center"/>
          </w:tcPr>
          <w:p>
            <w:pPr>
              <w:jc w:val="center"/>
              <w:rPr>
                <w:rFonts w:ascii="Times New Roman" w:hAnsi="Times New Roman" w:cs="Times New Roman"/>
              </w:rPr>
            </w:pPr>
            <w:r>
              <w:rPr>
                <w:rFonts w:ascii="Times New Roman" w:hAnsi="Times New Roman" w:cs="Times New Roman"/>
              </w:rPr>
              <w:t>0.47</w:t>
            </w:r>
          </w:p>
        </w:tc>
        <w:tc>
          <w:tcPr>
            <w:tcW w:w="570" w:type="pct"/>
            <w:vAlign w:val="center"/>
          </w:tcPr>
          <w:p>
            <w:pPr>
              <w:jc w:val="center"/>
              <w:rPr>
                <w:rFonts w:ascii="Times New Roman" w:hAnsi="Times New Roman" w:cs="Times New Roman"/>
              </w:rPr>
            </w:pPr>
            <w:r>
              <w:rPr>
                <w:rFonts w:ascii="Times New Roman" w:hAnsi="Times New Roman" w:cs="Times New Roman"/>
              </w:rPr>
              <w:t>1.98</w:t>
            </w:r>
          </w:p>
        </w:tc>
        <w:tc>
          <w:tcPr>
            <w:tcW w:w="597" w:type="pct"/>
            <w:vAlign w:val="center"/>
          </w:tcPr>
          <w:p>
            <w:pPr>
              <w:jc w:val="center"/>
              <w:rPr>
                <w:rFonts w:ascii="Times New Roman" w:hAnsi="Times New Roman" w:cs="Times New Roman"/>
              </w:rPr>
            </w:pPr>
            <w:r>
              <w:rPr>
                <w:rFonts w:ascii="Times New Roman" w:hAnsi="Times New Roman" w:cs="Times New Roman"/>
              </w:rPr>
              <w:t>8.77</w:t>
            </w:r>
          </w:p>
        </w:tc>
        <w:tc>
          <w:tcPr>
            <w:tcW w:w="597" w:type="pct"/>
            <w:vAlign w:val="center"/>
          </w:tcPr>
          <w:p>
            <w:pPr>
              <w:jc w:val="center"/>
              <w:rPr>
                <w:rFonts w:ascii="Times New Roman" w:hAnsi="Times New Roman" w:cs="Times New Roman"/>
              </w:rPr>
            </w:pPr>
            <w:r>
              <w:rPr>
                <w:rFonts w:ascii="Times New Roman" w:hAnsi="Times New Roman" w:cs="Times New Roman"/>
              </w:rPr>
              <w:t>0.53</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26" w:type="pct"/>
            <w:vAlign w:val="center"/>
          </w:tcPr>
          <w:p>
            <w:pPr>
              <w:jc w:val="center"/>
              <w:rPr>
                <w:rFonts w:ascii="Times New Roman" w:hAnsi="Times New Roman" w:cs="Times New Roman"/>
              </w:rPr>
            </w:pPr>
            <w:r>
              <w:rPr>
                <w:rFonts w:ascii="Times New Roman" w:hAnsi="Times New Roman" w:cs="Times New Roman"/>
              </w:rPr>
              <w:t>7.91</w:t>
            </w:r>
          </w:p>
        </w:tc>
        <w:tc>
          <w:tcPr>
            <w:tcW w:w="683" w:type="pct"/>
            <w:vAlign w:val="center"/>
          </w:tcPr>
          <w:p>
            <w:pPr>
              <w:jc w:val="center"/>
              <w:rPr>
                <w:rFonts w:ascii="Times New Roman" w:hAnsi="Times New Roman" w:cs="Times New Roman"/>
              </w:rPr>
            </w:pPr>
            <w:r>
              <w:rPr>
                <w:rFonts w:ascii="Times New Roman" w:hAnsi="Times New Roman" w:cs="Times New Roman"/>
              </w:rPr>
              <w:t>0.19</w:t>
            </w:r>
          </w:p>
        </w:tc>
        <w:tc>
          <w:tcPr>
            <w:tcW w:w="625" w:type="pct"/>
            <w:vAlign w:val="center"/>
          </w:tcPr>
          <w:p>
            <w:pPr>
              <w:jc w:val="center"/>
              <w:rPr>
                <w:rFonts w:ascii="Times New Roman" w:hAnsi="Times New Roman" w:cs="Times New Roman"/>
              </w:rPr>
            </w:pPr>
            <w:r>
              <w:rPr>
                <w:rFonts w:ascii="Times New Roman" w:hAnsi="Times New Roman" w:cs="Times New Roman"/>
              </w:rPr>
              <w:t>0.12</w:t>
            </w:r>
          </w:p>
        </w:tc>
        <w:tc>
          <w:tcPr>
            <w:tcW w:w="570" w:type="pct"/>
            <w:vAlign w:val="center"/>
          </w:tcPr>
          <w:p>
            <w:pPr>
              <w:jc w:val="center"/>
              <w:rPr>
                <w:rFonts w:ascii="Times New Roman" w:hAnsi="Times New Roman" w:cs="Times New Roman"/>
              </w:rPr>
            </w:pPr>
            <w:r>
              <w:rPr>
                <w:rFonts w:ascii="Times New Roman" w:hAnsi="Times New Roman" w:cs="Times New Roman"/>
              </w:rPr>
              <w:t>2.74</w:t>
            </w:r>
          </w:p>
        </w:tc>
        <w:tc>
          <w:tcPr>
            <w:tcW w:w="597" w:type="pct"/>
            <w:vAlign w:val="center"/>
          </w:tcPr>
          <w:p>
            <w:pPr>
              <w:jc w:val="center"/>
              <w:rPr>
                <w:rFonts w:ascii="Times New Roman" w:hAnsi="Times New Roman" w:cs="Times New Roman"/>
              </w:rPr>
            </w:pPr>
            <w:r>
              <w:rPr>
                <w:rFonts w:ascii="Times New Roman" w:hAnsi="Times New Roman" w:cs="Times New Roman"/>
              </w:rPr>
              <w:t>0.57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26" w:type="pct"/>
            <w:vAlign w:val="center"/>
          </w:tcPr>
          <w:p>
            <w:pPr>
              <w:jc w:val="center"/>
              <w:rPr>
                <w:rFonts w:ascii="Times New Roman" w:hAnsi="Times New Roman" w:cs="Times New Roman"/>
              </w:rPr>
            </w:pPr>
            <w:r>
              <w:rPr>
                <w:rFonts w:ascii="Times New Roman" w:hAnsi="Times New Roman" w:cs="Times New Roman"/>
              </w:rPr>
              <w:t>5.03</w:t>
            </w:r>
          </w:p>
        </w:tc>
        <w:tc>
          <w:tcPr>
            <w:tcW w:w="683" w:type="pct"/>
            <w:vAlign w:val="center"/>
          </w:tcPr>
          <w:p>
            <w:pPr>
              <w:jc w:val="center"/>
              <w:rPr>
                <w:rFonts w:ascii="Times New Roman" w:hAnsi="Times New Roman" w:cs="Times New Roman"/>
              </w:rPr>
            </w:pPr>
            <w:r>
              <w:rPr>
                <w:rFonts w:ascii="Times New Roman" w:hAnsi="Times New Roman" w:cs="Times New Roman"/>
              </w:rPr>
              <w:t>0.31</w:t>
            </w:r>
          </w:p>
        </w:tc>
        <w:tc>
          <w:tcPr>
            <w:tcW w:w="625" w:type="pct"/>
            <w:vAlign w:val="center"/>
          </w:tcPr>
          <w:p>
            <w:pPr>
              <w:jc w:val="center"/>
              <w:rPr>
                <w:rFonts w:ascii="Times New Roman" w:hAnsi="Times New Roman" w:cs="Times New Roman"/>
              </w:rPr>
            </w:pPr>
            <w:r>
              <w:rPr>
                <w:rFonts w:ascii="Times New Roman" w:hAnsi="Times New Roman" w:cs="Times New Roman"/>
              </w:rPr>
              <w:t>0.33</w:t>
            </w:r>
          </w:p>
        </w:tc>
        <w:tc>
          <w:tcPr>
            <w:tcW w:w="570" w:type="pct"/>
            <w:vAlign w:val="center"/>
          </w:tcPr>
          <w:p>
            <w:pPr>
              <w:jc w:val="center"/>
              <w:rPr>
                <w:rFonts w:ascii="Times New Roman" w:hAnsi="Times New Roman" w:cs="Times New Roman"/>
              </w:rPr>
            </w:pPr>
            <w:r>
              <w:rPr>
                <w:rFonts w:ascii="Times New Roman" w:hAnsi="Times New Roman" w:cs="Times New Roman"/>
              </w:rPr>
              <w:t>2.30</w:t>
            </w:r>
          </w:p>
        </w:tc>
        <w:tc>
          <w:tcPr>
            <w:tcW w:w="597" w:type="pct"/>
            <w:vAlign w:val="center"/>
          </w:tcPr>
          <w:p>
            <w:pPr>
              <w:jc w:val="center"/>
              <w:rPr>
                <w:rFonts w:ascii="Times New Roman" w:hAnsi="Times New Roman" w:cs="Times New Roman"/>
              </w:rPr>
            </w:pPr>
            <w:r>
              <w:rPr>
                <w:rFonts w:ascii="Times New Roman" w:hAnsi="Times New Roman" w:cs="Times New Roman"/>
              </w:rPr>
              <w:t>4.31</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26" w:type="pct"/>
            <w:vAlign w:val="center"/>
          </w:tcPr>
          <w:p>
            <w:pPr>
              <w:jc w:val="center"/>
              <w:rPr>
                <w:rFonts w:ascii="Times New Roman" w:hAnsi="Times New Roman" w:cs="Times New Roman"/>
              </w:rPr>
            </w:pPr>
            <w:r>
              <w:rPr>
                <w:rFonts w:ascii="Times New Roman" w:hAnsi="Times New Roman" w:cs="Times New Roman"/>
              </w:rPr>
              <w:t>5.47</w:t>
            </w:r>
          </w:p>
        </w:tc>
        <w:tc>
          <w:tcPr>
            <w:tcW w:w="683" w:type="pct"/>
            <w:vAlign w:val="center"/>
          </w:tcPr>
          <w:p>
            <w:pPr>
              <w:jc w:val="center"/>
              <w:rPr>
                <w:rFonts w:ascii="Times New Roman" w:hAnsi="Times New Roman" w:cs="Times New Roman"/>
              </w:rPr>
            </w:pPr>
            <w:r>
              <w:rPr>
                <w:rFonts w:ascii="Times New Roman" w:hAnsi="Times New Roman" w:cs="Times New Roman"/>
              </w:rPr>
              <w:t>0.78</w:t>
            </w:r>
          </w:p>
        </w:tc>
        <w:tc>
          <w:tcPr>
            <w:tcW w:w="625" w:type="pct"/>
            <w:vAlign w:val="center"/>
          </w:tcPr>
          <w:p>
            <w:pPr>
              <w:jc w:val="center"/>
              <w:rPr>
                <w:rFonts w:ascii="Times New Roman" w:hAnsi="Times New Roman" w:cs="Times New Roman"/>
              </w:rPr>
            </w:pPr>
            <w:r>
              <w:rPr>
                <w:rFonts w:ascii="Times New Roman" w:hAnsi="Times New Roman" w:cs="Times New Roman"/>
              </w:rPr>
              <w:t>0.63</w:t>
            </w:r>
          </w:p>
        </w:tc>
        <w:tc>
          <w:tcPr>
            <w:tcW w:w="570" w:type="pct"/>
            <w:vAlign w:val="center"/>
          </w:tcPr>
          <w:p>
            <w:pPr>
              <w:jc w:val="center"/>
              <w:rPr>
                <w:rFonts w:ascii="Times New Roman" w:hAnsi="Times New Roman" w:cs="Times New Roman"/>
              </w:rPr>
            </w:pPr>
            <w:r>
              <w:rPr>
                <w:rFonts w:ascii="Times New Roman" w:hAnsi="Times New Roman" w:cs="Times New Roman"/>
              </w:rPr>
              <w:t>3.62</w:t>
            </w:r>
          </w:p>
        </w:tc>
        <w:tc>
          <w:tcPr>
            <w:tcW w:w="597" w:type="pct"/>
            <w:vAlign w:val="center"/>
          </w:tcPr>
          <w:p>
            <w:pPr>
              <w:jc w:val="center"/>
              <w:rPr>
                <w:rFonts w:ascii="Times New Roman" w:hAnsi="Times New Roman" w:cs="Times New Roman"/>
              </w:rPr>
            </w:pPr>
            <w:r>
              <w:rPr>
                <w:rFonts w:ascii="Times New Roman" w:hAnsi="Times New Roman" w:cs="Times New Roman"/>
              </w:rPr>
              <w:t>9.20</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26" w:type="pct"/>
            <w:vAlign w:val="center"/>
          </w:tcPr>
          <w:p>
            <w:pPr>
              <w:jc w:val="center"/>
              <w:rPr>
                <w:rFonts w:ascii="Times New Roman" w:hAnsi="Times New Roman" w:cs="Times New Roman"/>
              </w:rPr>
            </w:pPr>
            <w:r>
              <w:rPr>
                <w:rFonts w:ascii="Times New Roman" w:hAnsi="Times New Roman" w:cs="Times New Roman"/>
              </w:rPr>
              <w:t>4.81</w:t>
            </w:r>
          </w:p>
        </w:tc>
        <w:tc>
          <w:tcPr>
            <w:tcW w:w="683" w:type="pct"/>
            <w:vAlign w:val="center"/>
          </w:tcPr>
          <w:p>
            <w:pPr>
              <w:jc w:val="center"/>
              <w:rPr>
                <w:rFonts w:ascii="Times New Roman" w:hAnsi="Times New Roman" w:cs="Times New Roman"/>
              </w:rPr>
            </w:pPr>
            <w:r>
              <w:rPr>
                <w:rFonts w:ascii="Times New Roman" w:hAnsi="Times New Roman" w:cs="Times New Roman"/>
              </w:rPr>
              <w:t>0.26</w:t>
            </w:r>
          </w:p>
        </w:tc>
        <w:tc>
          <w:tcPr>
            <w:tcW w:w="625" w:type="pct"/>
            <w:vAlign w:val="center"/>
          </w:tcPr>
          <w:p>
            <w:pPr>
              <w:jc w:val="center"/>
              <w:rPr>
                <w:rFonts w:ascii="Times New Roman" w:hAnsi="Times New Roman" w:cs="Times New Roman"/>
              </w:rPr>
            </w:pPr>
            <w:r>
              <w:rPr>
                <w:rFonts w:ascii="Times New Roman" w:hAnsi="Times New Roman" w:cs="Times New Roman"/>
              </w:rPr>
              <w:t>0.49</w:t>
            </w:r>
          </w:p>
        </w:tc>
        <w:tc>
          <w:tcPr>
            <w:tcW w:w="570" w:type="pct"/>
            <w:vAlign w:val="center"/>
          </w:tcPr>
          <w:p>
            <w:pPr>
              <w:jc w:val="center"/>
              <w:rPr>
                <w:rFonts w:ascii="Times New Roman" w:hAnsi="Times New Roman" w:cs="Times New Roman"/>
              </w:rPr>
            </w:pPr>
            <w:r>
              <w:rPr>
                <w:rFonts w:ascii="Times New Roman" w:hAnsi="Times New Roman" w:cs="Times New Roman"/>
              </w:rPr>
              <w:t>1.81</w:t>
            </w:r>
          </w:p>
        </w:tc>
        <w:tc>
          <w:tcPr>
            <w:tcW w:w="597" w:type="pct"/>
            <w:vAlign w:val="center"/>
          </w:tcPr>
          <w:p>
            <w:pPr>
              <w:jc w:val="center"/>
              <w:rPr>
                <w:rFonts w:ascii="Times New Roman" w:hAnsi="Times New Roman" w:cs="Times New Roman"/>
              </w:rPr>
            </w:pPr>
            <w:r>
              <w:rPr>
                <w:rFonts w:ascii="Times New Roman" w:hAnsi="Times New Roman" w:cs="Times New Roman"/>
              </w:rPr>
              <w:t>10.70</w:t>
            </w:r>
          </w:p>
        </w:tc>
        <w:tc>
          <w:tcPr>
            <w:tcW w:w="597" w:type="pct"/>
            <w:vAlign w:val="center"/>
          </w:tcPr>
          <w:p>
            <w:pPr>
              <w:jc w:val="center"/>
              <w:rPr>
                <w:rFonts w:ascii="Times New Roman" w:hAnsi="Times New Roman" w:cs="Times New Roman"/>
              </w:rPr>
            </w:pPr>
            <w:r>
              <w:rPr>
                <w:rFonts w:ascii="Times New Roman" w:hAnsi="Times New Roman" w:cs="Times New Roman"/>
              </w:rPr>
              <w:t>0.04</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26" w:type="pct"/>
            <w:vAlign w:val="center"/>
          </w:tcPr>
          <w:p>
            <w:pPr>
              <w:jc w:val="center"/>
              <w:rPr>
                <w:rFonts w:ascii="Times New Roman" w:hAnsi="Times New Roman" w:cs="Times New Roman"/>
              </w:rPr>
            </w:pPr>
            <w:r>
              <w:rPr>
                <w:rFonts w:ascii="Times New Roman" w:hAnsi="Times New Roman" w:cs="Times New Roman"/>
              </w:rPr>
              <w:t>4.92</w:t>
            </w:r>
          </w:p>
        </w:tc>
        <w:tc>
          <w:tcPr>
            <w:tcW w:w="683" w:type="pct"/>
            <w:vAlign w:val="center"/>
          </w:tcPr>
          <w:p>
            <w:pPr>
              <w:jc w:val="center"/>
              <w:rPr>
                <w:rFonts w:ascii="Times New Roman" w:hAnsi="Times New Roman" w:cs="Times New Roman"/>
              </w:rPr>
            </w:pPr>
            <w:r>
              <w:rPr>
                <w:rFonts w:ascii="Times New Roman" w:hAnsi="Times New Roman" w:cs="Times New Roman"/>
              </w:rPr>
              <w:t>0.31</w:t>
            </w:r>
          </w:p>
        </w:tc>
        <w:tc>
          <w:tcPr>
            <w:tcW w:w="625" w:type="pct"/>
            <w:vAlign w:val="center"/>
          </w:tcPr>
          <w:p>
            <w:pPr>
              <w:jc w:val="center"/>
              <w:rPr>
                <w:rFonts w:ascii="Times New Roman" w:hAnsi="Times New Roman" w:cs="Times New Roman"/>
              </w:rPr>
            </w:pPr>
            <w:r>
              <w:rPr>
                <w:rFonts w:ascii="Times New Roman" w:hAnsi="Times New Roman" w:cs="Times New Roman"/>
              </w:rPr>
              <w:t>0.29</w:t>
            </w:r>
          </w:p>
        </w:tc>
        <w:tc>
          <w:tcPr>
            <w:tcW w:w="570" w:type="pct"/>
            <w:vAlign w:val="center"/>
          </w:tcPr>
          <w:p>
            <w:pPr>
              <w:jc w:val="center"/>
              <w:rPr>
                <w:rFonts w:ascii="Times New Roman" w:hAnsi="Times New Roman" w:cs="Times New Roman"/>
              </w:rPr>
            </w:pPr>
            <w:r>
              <w:rPr>
                <w:rFonts w:ascii="Times New Roman" w:hAnsi="Times New Roman" w:cs="Times New Roman"/>
              </w:rPr>
              <w:t>1.91</w:t>
            </w:r>
          </w:p>
        </w:tc>
        <w:tc>
          <w:tcPr>
            <w:tcW w:w="597" w:type="pct"/>
            <w:vAlign w:val="center"/>
          </w:tcPr>
          <w:p>
            <w:pPr>
              <w:jc w:val="center"/>
              <w:rPr>
                <w:rFonts w:ascii="Times New Roman" w:hAnsi="Times New Roman" w:cs="Times New Roman"/>
              </w:rPr>
            </w:pPr>
            <w:r>
              <w:rPr>
                <w:rFonts w:ascii="Times New Roman" w:hAnsi="Times New Roman" w:cs="Times New Roman"/>
              </w:rPr>
              <w:t>6.98</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26" w:type="pct"/>
            <w:vAlign w:val="center"/>
          </w:tcPr>
          <w:p>
            <w:pPr>
              <w:jc w:val="center"/>
              <w:rPr>
                <w:rFonts w:ascii="Times New Roman" w:hAnsi="Times New Roman" w:cs="Times New Roman"/>
              </w:rPr>
            </w:pPr>
            <w:r>
              <w:rPr>
                <w:rFonts w:ascii="Times New Roman" w:hAnsi="Times New Roman" w:cs="Times New Roman"/>
              </w:rPr>
              <w:t>99.92</w:t>
            </w:r>
          </w:p>
        </w:tc>
        <w:tc>
          <w:tcPr>
            <w:tcW w:w="683" w:type="pct"/>
            <w:vAlign w:val="center"/>
          </w:tcPr>
          <w:p>
            <w:pPr>
              <w:jc w:val="center"/>
              <w:rPr>
                <w:rFonts w:ascii="Times New Roman" w:hAnsi="Times New Roman" w:cs="Times New Roman"/>
              </w:rPr>
            </w:pPr>
            <w:r>
              <w:rPr>
                <w:rFonts w:ascii="Times New Roman" w:hAnsi="Times New Roman" w:cs="Times New Roman"/>
              </w:rPr>
              <w:t>0.95</w:t>
            </w:r>
          </w:p>
        </w:tc>
        <w:tc>
          <w:tcPr>
            <w:tcW w:w="625" w:type="pct"/>
            <w:vAlign w:val="center"/>
          </w:tcPr>
          <w:p>
            <w:pPr>
              <w:jc w:val="center"/>
              <w:rPr>
                <w:rFonts w:ascii="Times New Roman" w:hAnsi="Times New Roman" w:cs="Times New Roman"/>
              </w:rPr>
            </w:pPr>
            <w:r>
              <w:rPr>
                <w:rFonts w:ascii="Times New Roman" w:hAnsi="Times New Roman" w:cs="Times New Roman"/>
              </w:rPr>
              <w:t>0.80</w:t>
            </w:r>
          </w:p>
        </w:tc>
        <w:tc>
          <w:tcPr>
            <w:tcW w:w="570" w:type="pct"/>
            <w:vAlign w:val="center"/>
          </w:tcPr>
          <w:p>
            <w:pPr>
              <w:jc w:val="center"/>
              <w:rPr>
                <w:rFonts w:ascii="Times New Roman" w:hAnsi="Times New Roman" w:cs="Times New Roman"/>
              </w:rPr>
            </w:pPr>
            <w:r>
              <w:rPr>
                <w:rFonts w:ascii="Times New Roman" w:hAnsi="Times New Roman" w:cs="Times New Roman"/>
              </w:rPr>
              <w:t>2.84</w:t>
            </w:r>
          </w:p>
        </w:tc>
        <w:tc>
          <w:tcPr>
            <w:tcW w:w="597" w:type="pct"/>
            <w:vAlign w:val="center"/>
          </w:tcPr>
          <w:p>
            <w:pPr>
              <w:jc w:val="center"/>
              <w:rPr>
                <w:rFonts w:ascii="Times New Roman" w:hAnsi="Times New Roman" w:cs="Times New Roman"/>
              </w:rPr>
            </w:pPr>
            <w:r>
              <w:rPr>
                <w:rFonts w:ascii="Times New Roman" w:hAnsi="Times New Roman" w:cs="Times New Roman"/>
              </w:rPr>
              <w:t>11.87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26" w:type="pct"/>
            <w:vAlign w:val="center"/>
          </w:tcPr>
          <w:p>
            <w:pPr>
              <w:jc w:val="center"/>
              <w:rPr>
                <w:rFonts w:ascii="Times New Roman" w:hAnsi="Times New Roman" w:cs="Times New Roman"/>
              </w:rPr>
            </w:pPr>
            <w:r>
              <w:rPr>
                <w:rFonts w:ascii="Times New Roman" w:hAnsi="Times New Roman" w:cs="Times New Roman"/>
              </w:rPr>
              <w:t>100.00</w:t>
            </w:r>
          </w:p>
        </w:tc>
        <w:tc>
          <w:tcPr>
            <w:tcW w:w="683" w:type="pct"/>
            <w:vAlign w:val="center"/>
          </w:tcPr>
          <w:p>
            <w:pPr>
              <w:jc w:val="center"/>
              <w:rPr>
                <w:rFonts w:ascii="Times New Roman" w:hAnsi="Times New Roman" w:cs="Times New Roman"/>
              </w:rPr>
            </w:pPr>
            <w:r>
              <w:rPr>
                <w:rFonts w:ascii="Times New Roman" w:hAnsi="Times New Roman" w:cs="Times New Roman"/>
              </w:rPr>
              <w:t>0.61</w:t>
            </w:r>
          </w:p>
        </w:tc>
        <w:tc>
          <w:tcPr>
            <w:tcW w:w="625" w:type="pct"/>
            <w:vAlign w:val="center"/>
          </w:tcPr>
          <w:p>
            <w:pPr>
              <w:jc w:val="center"/>
              <w:rPr>
                <w:rFonts w:ascii="Times New Roman" w:hAnsi="Times New Roman" w:cs="Times New Roman"/>
              </w:rPr>
            </w:pPr>
            <w:r>
              <w:rPr>
                <w:rFonts w:ascii="Times New Roman" w:hAnsi="Times New Roman" w:cs="Times New Roman"/>
              </w:rPr>
              <w:t>0.53</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9.69</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26" w:type="pct"/>
            <w:vAlign w:val="center"/>
          </w:tcPr>
          <w:p>
            <w:pPr>
              <w:jc w:val="center"/>
              <w:rPr>
                <w:rFonts w:ascii="Times New Roman" w:hAnsi="Times New Roman" w:cs="Times New Roman"/>
              </w:rPr>
            </w:pPr>
            <w:r>
              <w:rPr>
                <w:rFonts w:ascii="Times New Roman" w:hAnsi="Times New Roman" w:cs="Times New Roman"/>
              </w:rPr>
              <w:t>100.07</w:t>
            </w:r>
          </w:p>
        </w:tc>
        <w:tc>
          <w:tcPr>
            <w:tcW w:w="683" w:type="pct"/>
            <w:vAlign w:val="center"/>
          </w:tcPr>
          <w:p>
            <w:pPr>
              <w:jc w:val="center"/>
              <w:rPr>
                <w:rFonts w:ascii="Times New Roman" w:hAnsi="Times New Roman" w:cs="Times New Roman"/>
              </w:rPr>
            </w:pPr>
            <w:r>
              <w:rPr>
                <w:rFonts w:ascii="Times New Roman" w:hAnsi="Times New Roman" w:cs="Times New Roman"/>
              </w:rPr>
              <w:t>0.58</w:t>
            </w:r>
          </w:p>
        </w:tc>
        <w:tc>
          <w:tcPr>
            <w:tcW w:w="625" w:type="pct"/>
            <w:vAlign w:val="center"/>
          </w:tcPr>
          <w:p>
            <w:pPr>
              <w:jc w:val="center"/>
              <w:rPr>
                <w:rFonts w:ascii="Times New Roman" w:hAnsi="Times New Roman" w:cs="Times New Roman"/>
              </w:rPr>
            </w:pPr>
            <w:r>
              <w:rPr>
                <w:rFonts w:ascii="Times New Roman" w:hAnsi="Times New Roman" w:cs="Times New Roman"/>
              </w:rPr>
              <w:t>0.37</w:t>
            </w:r>
          </w:p>
        </w:tc>
        <w:tc>
          <w:tcPr>
            <w:tcW w:w="570" w:type="pct"/>
            <w:vAlign w:val="center"/>
          </w:tcPr>
          <w:p>
            <w:pPr>
              <w:jc w:val="center"/>
              <w:rPr>
                <w:rFonts w:ascii="Times New Roman" w:hAnsi="Times New Roman" w:cs="Times New Roman"/>
              </w:rPr>
            </w:pPr>
            <w:r>
              <w:rPr>
                <w:rFonts w:ascii="Times New Roman" w:hAnsi="Times New Roman" w:cs="Times New Roman"/>
              </w:rPr>
              <w:t>1.60</w:t>
            </w:r>
          </w:p>
        </w:tc>
        <w:tc>
          <w:tcPr>
            <w:tcW w:w="597" w:type="pct"/>
            <w:vAlign w:val="center"/>
          </w:tcPr>
          <w:p>
            <w:pPr>
              <w:jc w:val="center"/>
              <w:rPr>
                <w:rFonts w:ascii="Times New Roman" w:hAnsi="Times New Roman" w:cs="Times New Roman"/>
              </w:rPr>
            </w:pPr>
            <w:r>
              <w:rPr>
                <w:rFonts w:ascii="Times New Roman" w:hAnsi="Times New Roman" w:cs="Times New Roman"/>
              </w:rPr>
              <w:t>11.43</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BI</w:t>
            </w:r>
          </w:p>
        </w:tc>
        <w:tc>
          <w:tcPr>
            <w:tcW w:w="426" w:type="pct"/>
            <w:vAlign w:val="center"/>
          </w:tcPr>
          <w:p>
            <w:pPr>
              <w:jc w:val="center"/>
              <w:rPr>
                <w:rFonts w:ascii="Times New Roman" w:hAnsi="Times New Roman" w:cs="Times New Roman"/>
              </w:rPr>
            </w:pPr>
            <w:r>
              <w:rPr>
                <w:rFonts w:ascii="Times New Roman" w:hAnsi="Times New Roman" w:cs="Times New Roman"/>
              </w:rPr>
              <w:t>8.33</w:t>
            </w:r>
          </w:p>
        </w:tc>
        <w:tc>
          <w:tcPr>
            <w:tcW w:w="683" w:type="pct"/>
            <w:vAlign w:val="center"/>
          </w:tcPr>
          <w:p>
            <w:pPr>
              <w:jc w:val="center"/>
              <w:rPr>
                <w:rFonts w:ascii="Times New Roman" w:hAnsi="Times New Roman" w:cs="Times New Roman"/>
              </w:rPr>
            </w:pPr>
            <w:r>
              <w:rPr>
                <w:rFonts w:ascii="Times New Roman" w:hAnsi="Times New Roman" w:cs="Times New Roman"/>
              </w:rPr>
              <w:t>0.64</w:t>
            </w:r>
          </w:p>
        </w:tc>
        <w:tc>
          <w:tcPr>
            <w:tcW w:w="625" w:type="pct"/>
            <w:vAlign w:val="center"/>
          </w:tcPr>
          <w:p>
            <w:pPr>
              <w:jc w:val="center"/>
              <w:rPr>
                <w:rFonts w:ascii="Times New Roman" w:hAnsi="Times New Roman" w:cs="Times New Roman"/>
              </w:rPr>
            </w:pPr>
            <w:r>
              <w:rPr>
                <w:rFonts w:ascii="Times New Roman" w:hAnsi="Times New Roman" w:cs="Times New Roman"/>
              </w:rPr>
              <w:t>0.21</w:t>
            </w:r>
          </w:p>
        </w:tc>
        <w:tc>
          <w:tcPr>
            <w:tcW w:w="570" w:type="pct"/>
            <w:vAlign w:val="center"/>
          </w:tcPr>
          <w:p>
            <w:pPr>
              <w:jc w:val="center"/>
              <w:rPr>
                <w:rFonts w:ascii="Times New Roman" w:hAnsi="Times New Roman" w:cs="Times New Roman"/>
              </w:rPr>
            </w:pPr>
            <w:r>
              <w:rPr>
                <w:rFonts w:ascii="Times New Roman" w:hAnsi="Times New Roman" w:cs="Times New Roman"/>
              </w:rPr>
              <w:t>2.23</w:t>
            </w:r>
          </w:p>
        </w:tc>
        <w:tc>
          <w:tcPr>
            <w:tcW w:w="597" w:type="pct"/>
            <w:vAlign w:val="center"/>
          </w:tcPr>
          <w:p>
            <w:pPr>
              <w:jc w:val="center"/>
              <w:rPr>
                <w:rFonts w:ascii="Times New Roman" w:hAnsi="Times New Roman" w:cs="Times New Roman"/>
              </w:rPr>
            </w:pPr>
            <w:r>
              <w:rPr>
                <w:rFonts w:ascii="Times New Roman" w:hAnsi="Times New Roman" w:cs="Times New Roman"/>
              </w:rPr>
              <w:t>3.45</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GT</w:t>
            </w:r>
          </w:p>
        </w:tc>
        <w:tc>
          <w:tcPr>
            <w:tcW w:w="426" w:type="pct"/>
            <w:vAlign w:val="center"/>
          </w:tcPr>
          <w:p>
            <w:pPr>
              <w:jc w:val="center"/>
              <w:rPr>
                <w:rFonts w:ascii="Times New Roman" w:hAnsi="Times New Roman" w:cs="Times New Roman"/>
              </w:rPr>
            </w:pPr>
            <w:r>
              <w:rPr>
                <w:rFonts w:ascii="Times New Roman" w:hAnsi="Times New Roman" w:cs="Times New Roman"/>
              </w:rPr>
              <w:t>42.07</w:t>
            </w:r>
          </w:p>
        </w:tc>
        <w:tc>
          <w:tcPr>
            <w:tcW w:w="683" w:type="pct"/>
            <w:vAlign w:val="center"/>
          </w:tcPr>
          <w:p>
            <w:pPr>
              <w:jc w:val="center"/>
              <w:rPr>
                <w:rFonts w:ascii="Times New Roman" w:hAnsi="Times New Roman" w:cs="Times New Roman"/>
              </w:rPr>
            </w:pPr>
            <w:r>
              <w:rPr>
                <w:rFonts w:ascii="Times New Roman" w:hAnsi="Times New Roman" w:cs="Times New Roman"/>
              </w:rPr>
              <w:t>11.10</w:t>
            </w:r>
          </w:p>
        </w:tc>
        <w:tc>
          <w:tcPr>
            <w:tcW w:w="625" w:type="pct"/>
            <w:vAlign w:val="center"/>
          </w:tcPr>
          <w:p>
            <w:pPr>
              <w:jc w:val="center"/>
              <w:rPr>
                <w:rFonts w:ascii="Times New Roman" w:hAnsi="Times New Roman" w:cs="Times New Roman"/>
              </w:rPr>
            </w:pPr>
            <w:r>
              <w:rPr>
                <w:rFonts w:ascii="Times New Roman" w:hAnsi="Times New Roman" w:cs="Times New Roman"/>
              </w:rPr>
              <w:t>0.44</w:t>
            </w:r>
          </w:p>
        </w:tc>
        <w:tc>
          <w:tcPr>
            <w:tcW w:w="570" w:type="pct"/>
            <w:vAlign w:val="center"/>
          </w:tcPr>
          <w:p>
            <w:pPr>
              <w:jc w:val="center"/>
              <w:rPr>
                <w:rFonts w:ascii="Times New Roman" w:hAnsi="Times New Roman" w:cs="Times New Roman"/>
              </w:rPr>
            </w:pPr>
            <w:r>
              <w:rPr>
                <w:rFonts w:ascii="Times New Roman" w:hAnsi="Times New Roman" w:cs="Times New Roman"/>
              </w:rPr>
              <w:t>2.32</w:t>
            </w:r>
          </w:p>
        </w:tc>
        <w:tc>
          <w:tcPr>
            <w:tcW w:w="597" w:type="pct"/>
            <w:vAlign w:val="center"/>
          </w:tcPr>
          <w:p>
            <w:pPr>
              <w:jc w:val="center"/>
              <w:rPr>
                <w:rFonts w:ascii="Times New Roman" w:hAnsi="Times New Roman" w:cs="Times New Roman"/>
              </w:rPr>
            </w:pPr>
            <w:r>
              <w:rPr>
                <w:rFonts w:ascii="Times New Roman" w:hAnsi="Times New Roman" w:cs="Times New Roman"/>
              </w:rPr>
              <w:t>5.67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4471670" cy="3238500"/>
            <wp:effectExtent l="0" t="0" r="508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9"/>
                    <a:stretch>
                      <a:fillRect/>
                    </a:stretch>
                  </pic:blipFill>
                  <pic:spPr>
                    <a:xfrm>
                      <a:off x="0" y="0"/>
                      <a:ext cx="4485552" cy="3248326"/>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21"/>
        <w:spacing w:before="156" w:beforeLines="50" w:line="360" w:lineRule="auto"/>
        <w:ind w:left="0" w:leftChars="0"/>
        <w:outlineLvl w:val="1"/>
        <w:rPr>
          <w:rFonts w:ascii="Times New Roman" w:hAnsi="Times New Roman" w:cs="Times New Roman"/>
          <w:b/>
          <w:bCs/>
          <w:i/>
          <w:iCs/>
          <w:sz w:val="24"/>
        </w:rPr>
      </w:pPr>
      <w:bookmarkStart w:id="24" w:name="_Toc114151817"/>
      <w:r>
        <w:rPr>
          <w:rFonts w:ascii="Times New Roman" w:hAnsi="Times New Roman" w:cs="Times New Roman"/>
          <w:b/>
          <w:bCs/>
          <w:i/>
          <w:iCs/>
          <w:sz w:val="24"/>
        </w:rPr>
        <w:t>4.2 Evaluation Criteria</w:t>
      </w:r>
      <w:bookmarkEnd w:id="24"/>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and MDA.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(21)</w:t>
      </w:r>
    </w:p>
    <w:p>
      <w:pPr>
        <w:spacing w:line="360" w:lineRule="auto"/>
        <w:jc w:val="center"/>
        <w:rPr>
          <w:rFonts w:ascii="Times New Roman" w:hAnsi="Cambria Math"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r>
        <w:rPr>
          <w:rFonts w:ascii="Times New Roman" w:hAnsi="Cambria Math" w:cs="Times New Roman"/>
          <w:sz w:val="24"/>
        </w:rPr>
        <w:tab/>
      </w:r>
      <w:r>
        <w:rPr>
          <w:rFonts w:ascii="Times New Roman" w:hAnsi="Cambria Math" w:cs="Times New Roman"/>
          <w:sz w:val="24"/>
        </w:rPr>
        <w:t>(22)</w:t>
      </w:r>
    </w:p>
    <w:p>
      <w:pPr>
        <w:spacing w:line="360" w:lineRule="auto"/>
        <w:jc w:val="center"/>
        <w:rPr>
          <w:rFonts w:ascii="Times New Roman" w:hAnsi="Times New Roman" w:eastAsia="宋体" w:cs="Times New Roman"/>
          <w:sz w:val="24"/>
        </w:rPr>
      </w:pPr>
      <m:oMath>
        <m:r>
          <m:rPr/>
          <w:rPr>
            <w:rFonts w:ascii="Cambria Math" w:hAnsi="Cambria Math" w:eastAsia="宋体" w:cs="Times New Roman"/>
            <w:sz w:val="24"/>
          </w:rPr>
          <m:t>MDA=</m:t>
        </m:r>
        <m:f>
          <m:fPr>
            <m:ctrlPr>
              <w:rPr>
                <w:rFonts w:ascii="Cambria Math" w:hAnsi="Cambria Math" w:eastAsia="宋体" w:cs="Times New Roman"/>
                <w:i/>
                <w:sz w:val="24"/>
              </w:rPr>
            </m:ctrlPr>
          </m:fPr>
          <m:num>
            <m:r>
              <m:rPr/>
              <w:rPr>
                <w:rFonts w:ascii="Cambria Math" w:hAnsi="Cambria Math" w:eastAsia="宋体" w:cs="Times New Roman"/>
                <w:sz w:val="24"/>
              </w:rPr>
              <m:t>1</m:t>
            </m:r>
            <m:ctrlPr>
              <w:rPr>
                <w:rFonts w:ascii="Cambria Math" w:hAnsi="Cambria Math" w:eastAsia="宋体" w:cs="Times New Roman"/>
                <w:i/>
                <w:sz w:val="24"/>
              </w:rPr>
            </m:ctrlPr>
          </m:num>
          <m:den>
            <m:r>
              <m:rPr/>
              <w:rPr>
                <w:rFonts w:ascii="Cambria Math" w:hAnsi="Cambria Math" w:eastAsia="宋体" w:cs="Times New Roman"/>
                <w:sz w:val="24"/>
              </w:rPr>
              <m:t>n</m:t>
            </m:r>
            <m:ctrlPr>
              <w:rPr>
                <w:rFonts w:ascii="Cambria Math" w:hAnsi="Cambria Math" w:eastAsia="宋体" w:cs="Times New Roman"/>
                <w:i/>
                <w:sz w:val="24"/>
              </w:rPr>
            </m:ctrlPr>
          </m:den>
        </m:f>
        <m:nary>
          <m:naryPr>
            <m:chr m:val="∑"/>
            <m:limLoc m:val="undOvr"/>
            <m:supHide m:val="1"/>
            <m:ctrlPr>
              <w:rPr>
                <w:rFonts w:ascii="Cambria Math" w:hAnsi="Cambria Math" w:eastAsia="宋体" w:cs="Times New Roman"/>
                <w:i/>
                <w:sz w:val="24"/>
              </w:rPr>
            </m:ctrlPr>
          </m:naryPr>
          <m:sub>
            <m:r>
              <m:rPr/>
              <w:rPr>
                <w:rFonts w:ascii="Cambria Math" w:hAnsi="Cambria Math" w:eastAsia="宋体" w:cs="Times New Roman"/>
                <w:sz w:val="24"/>
              </w:rPr>
              <m:t>t</m:t>
            </m:r>
            <m:ctrlPr>
              <w:rPr>
                <w:rFonts w:ascii="Cambria Math" w:hAnsi="Cambria Math" w:eastAsia="宋体" w:cs="Times New Roman"/>
                <w:i/>
                <w:sz w:val="24"/>
              </w:rPr>
            </m:ctrlPr>
          </m:sub>
          <m:sup>
            <m:ctrlPr>
              <w:rPr>
                <w:rFonts w:ascii="Cambria Math" w:hAnsi="Cambria Math" w:eastAsia="宋体" w:cs="Times New Roman"/>
                <w:i/>
                <w:sz w:val="24"/>
              </w:rPr>
            </m:ctrlPr>
          </m:sup>
          <m:e>
            <m:sSub>
              <m:sSubPr>
                <m:ctrlPr>
                  <w:rPr>
                    <w:rFonts w:ascii="Cambria Math" w:hAnsi="Cambria Math" w:eastAsia="宋体" w:cs="Times New Roman"/>
                    <w:i/>
                    <w:sz w:val="24"/>
                  </w:rPr>
                </m:ctrlPr>
              </m:sSubPr>
              <m:e>
                <m:r>
                  <m:rPr/>
                  <w:rPr>
                    <w:rFonts w:ascii="Cambria Math" w:hAnsi="Cambria Math" w:eastAsia="宋体" w:cs="Times New Roman"/>
                    <w:sz w:val="24"/>
                  </w:rPr>
                  <m:t>1</m:t>
                </m:r>
                <m:ctrlPr>
                  <w:rPr>
                    <w:rFonts w:ascii="Cambria Math" w:hAnsi="Cambria Math" w:eastAsia="宋体" w:cs="Times New Roman"/>
                    <w:i/>
                    <w:sz w:val="24"/>
                  </w:rPr>
                </m:ctrlPr>
              </m:e>
              <m:sub>
                <m:r>
                  <m:rPr/>
                  <w:rPr>
                    <w:rFonts w:ascii="Cambria Math" w:hAnsi="Cambria Math" w:eastAsia="宋体" w:cs="Times New Roman"/>
                    <w:sz w:val="24"/>
                  </w:rPr>
                  <m:t>sign</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t−1</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==sign(</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t−1</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eastAsia="宋体" w:cs="Times New Roman"/>
                    <w:i/>
                    <w:sz w:val="24"/>
                  </w:rPr>
                </m:ctrlPr>
              </m:sub>
            </m:sSub>
            <m:ctrlPr>
              <w:rPr>
                <w:rFonts w:ascii="Cambria Math" w:hAnsi="Cambria Math" w:eastAsia="宋体" w:cs="Times New Roman"/>
                <w:i/>
                <w:sz w:val="24"/>
              </w:rPr>
            </m:ctrlPr>
          </m:e>
        </m:nary>
      </m:oMath>
      <w:r>
        <w:rPr>
          <w:rFonts w:hint="eastAsia" w:ascii="Times New Roman" w:hAnsi="Times New Roman" w:eastAsia="宋体" w:cs="Times New Roman"/>
          <w:sz w:val="24"/>
        </w:rPr>
        <w:t xml:space="preserve"> </w:t>
      </w:r>
      <w:r>
        <w:rPr>
          <w:rFonts w:ascii="Times New Roman" w:hAnsi="Times New Roman" w:eastAsia="宋体" w:cs="Times New Roman"/>
          <w:sz w:val="24"/>
        </w:rPr>
        <w:t>(23)</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 xml:space="preserve">stand for the actual value and forecast value at time t respectively, while n represents the number of observations. </w:t>
      </w:r>
      <w:r>
        <w:rPr>
          <w:rFonts w:hint="eastAsia" w:ascii="Times New Roman" w:hAnsi="Times New Roman" w:cs="Times New Roman"/>
          <w:color w:val="FF0000"/>
          <w:sz w:val="24"/>
        </w:rPr>
        <w:t xml:space="preserve">Smaller </w:t>
      </w:r>
      <w:r>
        <w:rPr>
          <w:rFonts w:ascii="Times New Roman" w:hAnsi="Times New Roman" w:cs="Times New Roman"/>
          <w:color w:val="FF0000"/>
          <w:sz w:val="24"/>
        </w:rPr>
        <w:t>MAE and RMSE</w:t>
      </w:r>
      <w:r>
        <w:rPr>
          <w:rFonts w:hint="eastAsia" w:ascii="Times New Roman" w:hAnsi="Times New Roman" w:cs="Times New Roman"/>
          <w:color w:val="FF0000"/>
          <w:sz w:val="24"/>
        </w:rPr>
        <w:t xml:space="preserve"> </w:t>
      </w:r>
      <w:r>
        <w:rPr>
          <w:rFonts w:ascii="Times New Roman" w:hAnsi="Times New Roman" w:cs="Times New Roman"/>
          <w:color w:val="FF0000"/>
          <w:sz w:val="24"/>
        </w:rPr>
        <w:t xml:space="preserve">values means less deviation between the actual value and the forecast value. </w:t>
      </w:r>
      <w:bookmarkStart w:id="25" w:name="_Toc114151818"/>
      <w:r>
        <w:rPr>
          <w:rFonts w:hint="eastAsia" w:ascii="Times New Roman" w:hAnsi="Times New Roman" w:cs="Times New Roman"/>
          <w:color w:val="FF0000"/>
          <w:sz w:val="24"/>
        </w:rPr>
        <w:t xml:space="preserve">Greater MDA means higher consistency between forecast and actual directions of the exchange rate. </w:t>
      </w:r>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Performance comparison</w:t>
      </w:r>
      <w:bookmarkEnd w:id="25"/>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5.1 Forecasting Performance</w:t>
      </w:r>
    </w:p>
    <w:p>
      <w:pPr>
        <w:spacing w:line="360" w:lineRule="auto"/>
        <w:ind w:firstLine="420"/>
        <w:rPr>
          <w:rFonts w:ascii="Times New Roman" w:hAnsi="Times New Roman" w:cs="Times New Roman"/>
          <w:color w:val="FF0000"/>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are performed</w:t>
      </w:r>
      <w:r>
        <w:rPr>
          <w:rFonts w:hint="eastAsia" w:ascii="Times New Roman" w:hAnsi="Times New Roman" w:cs="Times New Roman"/>
          <w:sz w:val="24"/>
        </w:rPr>
        <w:t xml:space="preserve"> </w:t>
      </w:r>
      <w:r>
        <w:rPr>
          <w:rFonts w:ascii="Times New Roman" w:hAnsi="Times New Roman" w:cs="Times New Roman"/>
          <w:sz w:val="24"/>
        </w:rPr>
        <w:t xml:space="preserve">on </w:t>
      </w:r>
      <w:r>
        <w:rPr>
          <w:rFonts w:hint="eastAsia" w:ascii="Times New Roman" w:hAnsi="Times New Roman" w:cs="Times New Roman"/>
          <w:sz w:val="24"/>
        </w:rPr>
        <w:t>every</w:t>
      </w:r>
      <w:r>
        <w:rPr>
          <w:rFonts w:ascii="Times New Roman" w:hAnsi="Times New Roman" w:cs="Times New Roman"/>
          <w:sz w:val="24"/>
        </w:rPr>
        <w:t xml:space="preserve"> model.</w:t>
      </w:r>
      <w:r>
        <w:rPr>
          <w:rFonts w:ascii="Times New Roman" w:hAnsi="Times New Roman" w:cs="Times New Roman"/>
          <w:color w:val="FF0000"/>
          <w:sz w:val="24"/>
        </w:rPr>
        <w:t xml:space="preserve"> </w:t>
      </w:r>
      <w:r>
        <w:rPr>
          <w:rFonts w:hint="eastAsia" w:ascii="Times New Roman" w:hAnsi="Times New Roman" w:cs="Times New Roman"/>
          <w:color w:val="FF0000"/>
          <w:sz w:val="24"/>
        </w:rPr>
        <w:t>Performances are evaluated as below</w:t>
      </w:r>
      <w:r>
        <w:rPr>
          <w:rFonts w:ascii="Times New Roman" w:hAnsi="Times New Roman" w:cs="Times New Roman"/>
          <w:color w:val="FF0000"/>
          <w:sz w:val="24"/>
        </w:rPr>
        <w:t xml:space="preserve">. The runtime and memory usage for the 1-step forecasting </w:t>
      </w:r>
      <w:r>
        <w:rPr>
          <w:rFonts w:hint="eastAsia" w:ascii="Times New Roman" w:hAnsi="Times New Roman" w:cs="Times New Roman"/>
          <w:color w:val="FF0000"/>
          <w:sz w:val="24"/>
        </w:rPr>
        <w:t xml:space="preserve">are </w:t>
      </w:r>
      <w:r>
        <w:rPr>
          <w:rFonts w:ascii="Times New Roman" w:hAnsi="Times New Roman" w:cs="Times New Roman"/>
          <w:color w:val="FF0000"/>
          <w:sz w:val="24"/>
        </w:rPr>
        <w:t xml:space="preserve">shown in appendix 1 and appendix 2. </w:t>
      </w:r>
    </w:p>
    <w:p>
      <w:pPr>
        <w:spacing w:before="156" w:beforeLines="50" w:line="360" w:lineRule="auto"/>
        <w:ind w:firstLine="420"/>
        <w:rPr>
          <w:rFonts w:ascii="Times New Roman" w:hAnsi="Times New Roman" w:cs="Times New Roman"/>
          <w:color w:val="FF0000"/>
          <w:sz w:val="24"/>
          <w:szCs w:val="32"/>
        </w:rPr>
      </w:pPr>
      <w:r>
        <w:rPr>
          <w:rFonts w:ascii="Times New Roman" w:hAnsi="Times New Roman" w:cs="Times New Roman"/>
          <w:sz w:val="24"/>
        </w:rPr>
        <w:t xml:space="preserve">Table 5 illustrates the forecasting </w:t>
      </w:r>
      <w:r>
        <w:rPr>
          <w:rFonts w:hint="eastAsia" w:ascii="Times New Roman" w:hAnsi="Times New Roman" w:cs="Times New Roman"/>
          <w:sz w:val="24"/>
        </w:rPr>
        <w:t xml:space="preserve">error </w:t>
      </w:r>
      <w:r>
        <w:rPr>
          <w:rFonts w:ascii="Times New Roman" w:hAnsi="Times New Roman" w:cs="Times New Roman"/>
          <w:sz w:val="24"/>
        </w:rPr>
        <w:t xml:space="preserve">on 1-step forecasting. </w:t>
      </w:r>
      <w:r>
        <w:rPr>
          <w:rFonts w:hint="eastAsia" w:ascii="Times New Roman" w:hAnsi="Times New Roman" w:cs="Times New Roman"/>
          <w:sz w:val="24"/>
        </w:rPr>
        <w:t xml:space="preserve">Based on the table, </w:t>
      </w:r>
      <w:r>
        <w:rPr>
          <w:rFonts w:hint="eastAsia" w:ascii="Times New Roman" w:hAnsi="Times New Roman" w:cs="Times New Roman"/>
          <w:sz w:val="24"/>
          <w:szCs w:val="32"/>
        </w:rPr>
        <w:t xml:space="preserve">LASSO enhances the forecasting accuracy effectively </w:t>
      </w:r>
      <w:r>
        <w:rPr>
          <w:rFonts w:hint="eastAsia" w:ascii="Times New Roman" w:hAnsi="Times New Roman" w:cs="Times New Roman"/>
          <w:color w:val="FF0000"/>
          <w:sz w:val="24"/>
          <w:szCs w:val="32"/>
        </w:rPr>
        <w:t>since models with LASSO demonstrate significantly lower MAE and RMSE</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color w:val="FF0000"/>
          <w:sz w:val="24"/>
          <w:szCs w:val="32"/>
        </w:rPr>
        <w:t xml:space="preserve">For instance, </w:t>
      </w:r>
      <w:r>
        <w:rPr>
          <w:rFonts w:hint="eastAsia" w:ascii="Times New Roman" w:hAnsi="Times New Roman" w:cs="Times New Roman"/>
          <w:color w:val="FF0000"/>
          <w:sz w:val="24"/>
          <w:szCs w:val="32"/>
        </w:rPr>
        <w:t>LSTM</w:t>
      </w:r>
      <w:r>
        <w:rPr>
          <w:rFonts w:ascii="Times New Roman" w:hAnsi="Times New Roman" w:cs="Times New Roman"/>
          <w:color w:val="FF0000"/>
          <w:sz w:val="24"/>
          <w:szCs w:val="32"/>
        </w:rPr>
        <w:t xml:space="preserve"> has </w:t>
      </w:r>
      <w:r>
        <w:rPr>
          <w:rFonts w:hint="eastAsia" w:ascii="Times New Roman" w:hAnsi="Times New Roman" w:cs="Times New Roman"/>
          <w:color w:val="FF0000"/>
          <w:sz w:val="24"/>
          <w:szCs w:val="32"/>
        </w:rPr>
        <w:t xml:space="preserve">0.337 </w:t>
      </w:r>
      <w:r>
        <w:rPr>
          <w:rFonts w:ascii="Times New Roman" w:hAnsi="Times New Roman" w:cs="Times New Roman"/>
          <w:color w:val="FF0000"/>
          <w:sz w:val="24"/>
          <w:szCs w:val="32"/>
        </w:rPr>
        <w:t xml:space="preserve">MAE and </w:t>
      </w:r>
      <w:r>
        <w:rPr>
          <w:rFonts w:hint="eastAsia" w:ascii="Times New Roman" w:hAnsi="Times New Roman" w:cs="Times New Roman"/>
          <w:color w:val="FF0000"/>
          <w:sz w:val="24"/>
          <w:szCs w:val="32"/>
        </w:rPr>
        <w:t xml:space="preserve">0.388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 while</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 xml:space="preserve">after applying LASSO, MAE and RMSE decrease 0.23 and 0.237 respectively. </w:t>
      </w:r>
      <w:r>
        <w:rPr>
          <w:rFonts w:ascii="Times New Roman" w:hAnsi="Times New Roman" w:cs="Times New Roman"/>
          <w:color w:val="FF0000"/>
          <w:sz w:val="24"/>
        </w:rPr>
        <w:t xml:space="preserve">Moreover, </w:t>
      </w:r>
      <w:r>
        <w:rPr>
          <w:rFonts w:hint="eastAsia" w:ascii="Times New Roman" w:hAnsi="Times New Roman" w:cs="Times New Roman"/>
          <w:color w:val="FF0000"/>
          <w:sz w:val="24"/>
        </w:rPr>
        <w:t xml:space="preserve">BiLSTM-based model outperforms the other models. Without adopting LASSO, </w:t>
      </w:r>
      <w:r>
        <w:rPr>
          <w:rFonts w:ascii="Times New Roman" w:hAnsi="Times New Roman" w:cs="Times New Roman"/>
          <w:color w:val="FF0000"/>
          <w:sz w:val="24"/>
          <w:szCs w:val="32"/>
        </w:rPr>
        <w:t xml:space="preserve">BiLSTM obtains </w:t>
      </w:r>
      <w:r>
        <w:rPr>
          <w:rFonts w:hint="eastAsia" w:ascii="Times New Roman" w:hAnsi="Times New Roman" w:cs="Times New Roman"/>
          <w:color w:val="FF0000"/>
          <w:sz w:val="24"/>
          <w:szCs w:val="32"/>
        </w:rPr>
        <w:t>the smallest MAE and RMSE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rPr>
        <w:t xml:space="preserve">:0.102,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:0.132)</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 xml:space="preserve">It </w:t>
      </w:r>
      <w:r>
        <w:rPr>
          <w:rFonts w:ascii="Times New Roman" w:hAnsi="Times New Roman" w:cs="Times New Roman"/>
          <w:color w:val="FF0000"/>
          <w:sz w:val="24"/>
          <w:szCs w:val="32"/>
        </w:rPr>
        <w:t xml:space="preserve">outperforms other models </w:t>
      </w:r>
      <w:r>
        <w:rPr>
          <w:rFonts w:hint="eastAsia" w:ascii="Times New Roman" w:hAnsi="Times New Roman" w:cs="Times New Roman"/>
          <w:color w:val="FF0000"/>
          <w:sz w:val="24"/>
          <w:szCs w:val="32"/>
        </w:rPr>
        <w:t xml:space="preserve">without feature selection, </w:t>
      </w:r>
      <w:r>
        <w:rPr>
          <w:rFonts w:ascii="Times New Roman" w:hAnsi="Times New Roman" w:cs="Times New Roman"/>
          <w:color w:val="FF0000"/>
          <w:sz w:val="24"/>
          <w:szCs w:val="32"/>
        </w:rPr>
        <w:t>such as SVR</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0.264</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 xml:space="preserve"> RMSE</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0.322</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After adopting LASSO, </w:t>
      </w:r>
      <w:r>
        <w:rPr>
          <w:rFonts w:ascii="Times New Roman" w:hAnsi="Times New Roman" w:cs="Times New Roman"/>
          <w:color w:val="FF0000"/>
          <w:sz w:val="24"/>
        </w:rPr>
        <w:t>the result illustrates that</w:t>
      </w:r>
      <w:r>
        <w:rPr>
          <w:rFonts w:hint="eastAsia" w:ascii="Times New Roman" w:hAnsi="Times New Roman" w:cs="Times New Roman"/>
          <w:color w:val="FF0000"/>
          <w:sz w:val="24"/>
          <w:szCs w:val="32"/>
        </w:rPr>
        <w:t xml:space="preserve"> LASSO-BiLSTM has the smallest </w:t>
      </w:r>
      <w:r>
        <w:rPr>
          <w:rFonts w:ascii="Times New Roman" w:hAnsi="Times New Roman" w:cs="Times New Roman"/>
          <w:color w:val="FF0000"/>
          <w:sz w:val="24"/>
          <w:szCs w:val="32"/>
        </w:rPr>
        <w:t>error</w:t>
      </w:r>
      <w:r>
        <w:rPr>
          <w:rFonts w:hint="eastAsia" w:ascii="Times New Roman" w:hAnsi="Times New Roman" w:cs="Times New Roman"/>
          <w:color w:val="FF0000"/>
          <w:sz w:val="24"/>
          <w:szCs w:val="32"/>
        </w:rPr>
        <w:t xml:space="preserve"> compared with 9 other models (MAE: 0.051,RMSE: 0.072). </w:t>
      </w:r>
      <w:r>
        <w:rPr>
          <w:rFonts w:ascii="Times New Roman" w:hAnsi="Times New Roman" w:cs="Times New Roman"/>
          <w:color w:val="FF0000"/>
          <w:sz w:val="24"/>
          <w:szCs w:val="32"/>
        </w:rPr>
        <w:t xml:space="preserve">Additionally, the MDA for LASSO-BiLSTM is also the highest to 0.777. This demonstrates that 77.7% of the predictions’ direction is same as the actual direction. </w:t>
      </w:r>
      <w:r>
        <w:rPr>
          <w:rFonts w:hint="eastAsia" w:ascii="Times New Roman" w:hAnsi="Times New Roman" w:cs="Times New Roman"/>
          <w:color w:val="FF0000"/>
          <w:sz w:val="24"/>
          <w:szCs w:val="32"/>
        </w:rPr>
        <w:t xml:space="preserve">Overall, </w:t>
      </w:r>
      <w:r>
        <w:rPr>
          <w:rFonts w:ascii="Times New Roman" w:hAnsi="Times New Roman" w:cs="Times New Roman"/>
          <w:color w:val="FF0000"/>
          <w:sz w:val="24"/>
          <w:szCs w:val="32"/>
        </w:rPr>
        <w:t xml:space="preserve">LASSO-BiLSTM </w:t>
      </w:r>
      <w:r>
        <w:rPr>
          <w:rFonts w:hint="eastAsia" w:ascii="Times New Roman" w:hAnsi="Times New Roman" w:cs="Times New Roman"/>
          <w:color w:val="FF0000"/>
          <w:sz w:val="24"/>
          <w:szCs w:val="32"/>
        </w:rPr>
        <w:t>forecasts with the greatest accuracy.</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5: Evaluated performance of 1-step forecasting</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bottom w:val="single" w:color="auto" w:sz="4" w:space="0"/>
            </w:tcBorders>
          </w:tcPr>
          <w:p>
            <w:pPr>
              <w:rPr>
                <w:rFonts w:ascii="Times New Roman" w:hAnsi="Times New Roman" w:cs="Times New Roman"/>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MingLiU" w:cs="Times New Roman"/>
                <w:color w:val="000000"/>
                <w:kern w:val="0"/>
                <w:szCs w:val="21"/>
              </w:rPr>
              <w:t>0.264</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MingLiU" w:cs="Times New Roman"/>
                <w:color w:val="000000"/>
                <w:kern w:val="0"/>
                <w:szCs w:val="21"/>
              </w:rPr>
              <w:t>0.322</w:t>
            </w:r>
          </w:p>
        </w:tc>
        <w:tc>
          <w:tcPr>
            <w:tcW w:w="2073" w:type="dxa"/>
            <w:tcBorders>
              <w:top w:val="single" w:color="auto" w:sz="4" w:space="0"/>
            </w:tcBorders>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eastAsia="MingLiU" w:cs="Times New Roman"/>
                <w:color w:val="000000"/>
                <w:kern w:val="0"/>
                <w:szCs w:val="21"/>
              </w:rPr>
              <w:t>0.180</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w:t>
            </w:r>
            <w:r>
              <w:rPr>
                <w:rFonts w:ascii="Times New Roman" w:hAnsi="Times New Roman" w:eastAsia="宋体" w:cs="Times New Roman"/>
                <w:color w:val="000000"/>
                <w:kern w:val="0"/>
                <w:szCs w:val="21"/>
              </w:rPr>
              <w:t>33</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0.337</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0.388</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0.102</w:t>
            </w:r>
          </w:p>
        </w:tc>
        <w:tc>
          <w:tcPr>
            <w:tcW w:w="2073"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0.132</w:t>
            </w:r>
          </w:p>
        </w:tc>
        <w:tc>
          <w:tcPr>
            <w:tcW w:w="2073" w:type="dxa"/>
          </w:tcPr>
          <w:p>
            <w:pPr>
              <w:jc w:val="center"/>
              <w:rPr>
                <w:rFonts w:ascii="Times New Roman" w:hAnsi="Times New Roman" w:eastAsia="MingLiU" w:cs="Times New Roman"/>
                <w:b/>
                <w:bCs/>
                <w:color w:val="FF0000"/>
                <w:kern w:val="0"/>
                <w:szCs w:val="21"/>
              </w:rPr>
            </w:pPr>
            <w:r>
              <w:rPr>
                <w:rFonts w:ascii="Times New Roman" w:hAnsi="Times New Roman" w:eastAsia="MingLiU" w:cs="Times New Roman"/>
                <w:b/>
                <w:bCs/>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eastAsia="MingLiU" w:cs="Times New Roman"/>
                <w:color w:val="000000"/>
                <w:kern w:val="0"/>
                <w:szCs w:val="21"/>
              </w:rPr>
              <w:t>0.252</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0.277</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color w:val="000000"/>
                <w:szCs w:val="21"/>
              </w:rPr>
              <w:t>0.190</w:t>
            </w:r>
          </w:p>
        </w:tc>
        <w:tc>
          <w:tcPr>
            <w:tcW w:w="2073" w:type="dxa"/>
          </w:tcPr>
          <w:p>
            <w:pPr>
              <w:jc w:val="center"/>
              <w:rPr>
                <w:rFonts w:ascii="Times New Roman" w:hAnsi="Times New Roman" w:cs="Times New Roman"/>
              </w:rPr>
            </w:pPr>
            <w:r>
              <w:rPr>
                <w:rFonts w:ascii="Times New Roman" w:hAnsi="Times New Roman" w:cs="Times New Roman"/>
                <w:color w:val="000000"/>
                <w:szCs w:val="21"/>
              </w:rPr>
              <w:t>0.227</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0.164</w:t>
            </w:r>
          </w:p>
        </w:tc>
        <w:tc>
          <w:tcPr>
            <w:tcW w:w="2073" w:type="dxa"/>
          </w:tcPr>
          <w:p>
            <w:pPr>
              <w:jc w:val="center"/>
              <w:rPr>
                <w:rFonts w:ascii="Times New Roman" w:hAnsi="Times New Roman" w:cs="Times New Roman"/>
              </w:rPr>
            </w:pPr>
            <w:r>
              <w:rPr>
                <w:rFonts w:ascii="Times New Roman" w:hAnsi="Times New Roman" w:cs="Times New Roman"/>
                <w:color w:val="000000"/>
                <w:szCs w:val="21"/>
              </w:rPr>
              <w:t>0.208</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color w:val="000000"/>
                <w:szCs w:val="21"/>
              </w:rPr>
              <w:t>0.107</w:t>
            </w:r>
          </w:p>
        </w:tc>
        <w:tc>
          <w:tcPr>
            <w:tcW w:w="2073" w:type="dxa"/>
          </w:tcPr>
          <w:p>
            <w:pPr>
              <w:jc w:val="center"/>
              <w:rPr>
                <w:rFonts w:ascii="Times New Roman" w:hAnsi="Times New Roman" w:cs="Times New Roman"/>
              </w:rPr>
            </w:pPr>
            <w:r>
              <w:rPr>
                <w:rFonts w:ascii="Times New Roman" w:hAnsi="Times New Roman" w:cs="Times New Roman"/>
                <w:color w:val="000000"/>
                <w:szCs w:val="21"/>
              </w:rPr>
              <w:t>0.151</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0.072</w:t>
            </w:r>
          </w:p>
        </w:tc>
        <w:tc>
          <w:tcPr>
            <w:tcW w:w="2073" w:type="dxa"/>
          </w:tcPr>
          <w:p>
            <w:pPr>
              <w:jc w:val="center"/>
              <w:rPr>
                <w:rFonts w:ascii="Times New Roman" w:hAnsi="Times New Roman" w:cs="Times New Roman"/>
                <w:b/>
                <w:bCs/>
                <w:color w:val="FF0000"/>
                <w:szCs w:val="21"/>
              </w:rPr>
            </w:pPr>
            <w:r>
              <w:rPr>
                <w:rFonts w:ascii="Times New Roman" w:hAnsi="Times New Roman" w:cs="Times New Roman"/>
                <w:b/>
                <w:bCs/>
                <w:color w:val="FF0000"/>
                <w:szCs w:val="21"/>
              </w:rPr>
              <w:t>0.777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0.095</w:t>
            </w:r>
          </w:p>
        </w:tc>
        <w:tc>
          <w:tcPr>
            <w:tcW w:w="2073" w:type="dxa"/>
          </w:tcPr>
          <w:p>
            <w:pPr>
              <w:jc w:val="center"/>
              <w:rPr>
                <w:rFonts w:ascii="Times New Roman" w:hAnsi="Times New Roman" w:cs="Times New Roman"/>
              </w:rPr>
            </w:pPr>
            <w:r>
              <w:rPr>
                <w:rFonts w:ascii="Times New Roman" w:hAnsi="Times New Roman" w:cs="Times New Roman"/>
                <w:color w:val="000000"/>
                <w:szCs w:val="21"/>
              </w:rPr>
              <w:t>0.125</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0.741</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drawing>
          <wp:anchor distT="0" distB="0" distL="114300" distR="114300" simplePos="0" relativeHeight="251659264" behindDoc="1" locked="0" layoutInCell="1" allowOverlap="1">
            <wp:simplePos x="0" y="0"/>
            <wp:positionH relativeFrom="column">
              <wp:posOffset>-6350</wp:posOffset>
            </wp:positionH>
            <wp:positionV relativeFrom="paragraph">
              <wp:posOffset>1014095</wp:posOffset>
            </wp:positionV>
            <wp:extent cx="5892800" cy="1705610"/>
            <wp:effectExtent l="0" t="0" r="0" b="8890"/>
            <wp:wrapSquare wrapText="bothSides"/>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2800" cy="1705610"/>
                    </a:xfrm>
                    <a:prstGeom prst="rect">
                      <a:avLst/>
                    </a:prstGeom>
                  </pic:spPr>
                </pic:pic>
              </a:graphicData>
            </a:graphic>
          </wp:anchor>
        </w:drawing>
      </w:r>
      <w:r>
        <w:rPr>
          <w:rFonts w:ascii="Times New Roman" w:hAnsi="Times New Roman" w:cs="Times New Roman"/>
          <w:sz w:val="24"/>
          <w:szCs w:val="32"/>
        </w:rPr>
        <w:t>Figure 5 (</w:t>
      </w:r>
      <w:r>
        <w:rPr>
          <w:rFonts w:ascii="Times New Roman" w:hAnsi="Times New Roman" w:cs="Times New Roman"/>
          <w:color w:val="FF0000"/>
          <w:sz w:val="24"/>
          <w:szCs w:val="32"/>
        </w:rPr>
        <w:t>high</w:t>
      </w:r>
      <w:r>
        <w:rPr>
          <w:rFonts w:hint="eastAsia" w:ascii="Times New Roman" w:hAnsi="Times New Roman" w:cs="Times New Roman"/>
          <w:color w:val="FF0000"/>
          <w:sz w:val="24"/>
          <w:szCs w:val="32"/>
        </w:rPr>
        <w:t>-resolution</w:t>
      </w:r>
      <w:r>
        <w:rPr>
          <w:rFonts w:ascii="Times New Roman" w:hAnsi="Times New Roman" w:cs="Times New Roman"/>
          <w:color w:val="FF0000"/>
          <w:sz w:val="24"/>
          <w:szCs w:val="32"/>
        </w:rPr>
        <w:t xml:space="preserve"> version</w:t>
      </w:r>
      <w:r>
        <w:rPr>
          <w:rFonts w:hint="eastAsia" w:ascii="Times New Roman" w:hAnsi="Times New Roman" w:cs="Times New Roman"/>
          <w:color w:val="FF0000"/>
          <w:sz w:val="24"/>
          <w:szCs w:val="32"/>
        </w:rPr>
        <w:t xml:space="preserve"> is </w:t>
      </w:r>
      <w:r>
        <w:rPr>
          <w:rFonts w:ascii="Times New Roman" w:hAnsi="Times New Roman" w:cs="Times New Roman"/>
          <w:color w:val="FF0000"/>
          <w:sz w:val="24"/>
          <w:szCs w:val="32"/>
        </w:rPr>
        <w:t>attached in Appendix 3</w:t>
      </w:r>
      <w:r>
        <w:rPr>
          <w:rFonts w:ascii="Times New Roman" w:hAnsi="Times New Roman" w:cs="Times New Roman"/>
          <w:sz w:val="24"/>
          <w:szCs w:val="32"/>
        </w:rPr>
        <w:t>)</w:t>
      </w:r>
      <w:r>
        <w:rPr>
          <w:rFonts w:hint="eastAsia" w:ascii="Times New Roman" w:hAnsi="Times New Roman" w:cs="Times New Roman"/>
          <w:sz w:val="24"/>
          <w:szCs w:val="32"/>
        </w:rPr>
        <w:t xml:space="preserve"> </w:t>
      </w:r>
      <w:r>
        <w:rPr>
          <w:rFonts w:ascii="Times New Roman" w:hAnsi="Times New Roman" w:cs="Times New Roman"/>
          <w:sz w:val="24"/>
          <w:szCs w:val="32"/>
        </w:rPr>
        <w:t>demonstrates the real exchange rate</w:t>
      </w:r>
      <w:r>
        <w:rPr>
          <w:rFonts w:hint="eastAsia" w:ascii="Times New Roman" w:hAnsi="Times New Roman" w:cs="Times New Roman"/>
          <w:sz w:val="24"/>
          <w:szCs w:val="32"/>
        </w:rPr>
        <w:t xml:space="preserve"> (red line)</w:t>
      </w:r>
      <w:r>
        <w:rPr>
          <w:rFonts w:ascii="Times New Roman" w:hAnsi="Times New Roman" w:cs="Times New Roman"/>
          <w:sz w:val="24"/>
          <w:szCs w:val="32"/>
        </w:rPr>
        <w:t xml:space="preserve"> and the predicted exchange rate </w:t>
      </w:r>
      <w:r>
        <w:rPr>
          <w:rFonts w:hint="eastAsia" w:ascii="Times New Roman" w:hAnsi="Times New Roman" w:cs="Times New Roman"/>
          <w:sz w:val="24"/>
          <w:szCs w:val="32"/>
        </w:rPr>
        <w:t xml:space="preserve">(blue line) </w:t>
      </w:r>
      <w:r>
        <w:rPr>
          <w:rFonts w:ascii="Times New Roman" w:hAnsi="Times New Roman" w:cs="Times New Roman"/>
          <w:sz w:val="24"/>
          <w:szCs w:val="32"/>
        </w:rPr>
        <w:t>in 1-step forecasting for all models. Graphically seen, LASSO-BiLSTM has the most accurate prediction</w:t>
      </w:r>
      <w:r>
        <w:rPr>
          <w:rFonts w:hint="eastAsia" w:ascii="Times New Roman" w:hAnsi="Times New Roman" w:cs="Times New Roman"/>
          <w:sz w:val="24"/>
          <w:szCs w:val="32"/>
        </w:rPr>
        <w:t>.</w:t>
      </w:r>
    </w:p>
    <w:p>
      <w:pPr>
        <w:spacing w:before="156" w:beforeLines="50" w:line="360" w:lineRule="auto"/>
        <w:jc w:val="center"/>
        <w:rPr>
          <w:rFonts w:ascii="Times New Roman" w:hAnsi="Times New Roman" w:cs="Times New Roman"/>
          <w:sz w:val="24"/>
          <w:szCs w:val="32"/>
        </w:rPr>
      </w:pP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before="156" w:beforeLines="50" w:line="360" w:lineRule="auto"/>
        <w:ind w:firstLine="420"/>
        <w:rPr>
          <w:rFonts w:ascii="Times New Roman" w:hAnsi="Times New Roman" w:cs="Times New Roman"/>
          <w:sz w:val="24"/>
          <w:szCs w:val="32"/>
        </w:rPr>
      </w:pPr>
      <w:r>
        <w:rPr>
          <w:rFonts w:hint="eastAsia" w:ascii="Times New Roman" w:hAnsi="Times New Roman" w:cs="Times New Roman"/>
          <w:color w:val="FF0000"/>
          <w:sz w:val="24"/>
          <w:szCs w:val="32"/>
        </w:rPr>
        <w:t>Models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performances in </w:t>
      </w:r>
      <w:r>
        <w:rPr>
          <w:rFonts w:ascii="Times New Roman" w:hAnsi="Times New Roman" w:cs="Times New Roman"/>
          <w:color w:val="FF0000"/>
          <w:sz w:val="24"/>
          <w:szCs w:val="32"/>
        </w:rPr>
        <w:t>3-steps forecast and 6-steps forecas</w:t>
      </w:r>
      <w:r>
        <w:rPr>
          <w:rFonts w:hint="eastAsia" w:ascii="Times New Roman" w:hAnsi="Times New Roman" w:cs="Times New Roman"/>
          <w:color w:val="FF0000"/>
          <w:sz w:val="24"/>
          <w:szCs w:val="32"/>
        </w:rPr>
        <w:t>t are analyzed as follow</w:t>
      </w:r>
      <w:r>
        <w:rPr>
          <w:rFonts w:ascii="Times New Roman" w:hAnsi="Times New Roman" w:cs="Times New Roman"/>
          <w:color w:val="FF0000"/>
          <w:sz w:val="24"/>
          <w:szCs w:val="32"/>
        </w:rPr>
        <w:t xml:space="preserve">. </w:t>
      </w:r>
      <w:r>
        <w:rPr>
          <w:rFonts w:ascii="Times New Roman" w:hAnsi="Times New Roman" w:cs="Times New Roman"/>
          <w:sz w:val="24"/>
          <w:szCs w:val="32"/>
        </w:rPr>
        <w:t>Table 6 demonstrates the model performance errors in 3-steps forecasting</w:t>
      </w:r>
      <w:r>
        <w:rPr>
          <w:rFonts w:hint="eastAsia" w:ascii="Times New Roman" w:hAnsi="Times New Roman" w:cs="Times New Roman"/>
          <w:sz w:val="24"/>
          <w:szCs w:val="32"/>
        </w:rPr>
        <w:t xml:space="preserve">, and </w:t>
      </w:r>
      <w:r>
        <w:rPr>
          <w:rFonts w:ascii="Times New Roman" w:hAnsi="Times New Roman" w:cs="Times New Roman"/>
          <w:sz w:val="24"/>
          <w:szCs w:val="32"/>
        </w:rPr>
        <w:t>table 7 shows the errors for 6-steps forecasting.</w:t>
      </w:r>
    </w:p>
    <w:p>
      <w:pPr>
        <w:spacing w:before="156" w:beforeLines="50" w:line="360" w:lineRule="auto"/>
        <w:ind w:firstLine="420"/>
        <w:rPr>
          <w:rFonts w:ascii="Times New Roman" w:hAnsi="Times New Roman" w:cs="Times New Roman"/>
          <w:color w:val="FF0000"/>
          <w:sz w:val="24"/>
          <w:szCs w:val="32"/>
        </w:rPr>
      </w:pPr>
      <w:r>
        <w:rPr>
          <w:rFonts w:ascii="Times New Roman" w:hAnsi="Times New Roman" w:cs="Times New Roman"/>
          <w:color w:val="FF0000"/>
          <w:sz w:val="24"/>
          <w:szCs w:val="32"/>
        </w:rPr>
        <w:t xml:space="preserve">As shown in table 6 and 7, </w:t>
      </w:r>
      <w:r>
        <w:rPr>
          <w:rFonts w:hint="eastAsia" w:ascii="Times New Roman" w:hAnsi="Times New Roman" w:cs="Times New Roman"/>
          <w:color w:val="FF0000"/>
          <w:sz w:val="24"/>
          <w:szCs w:val="32"/>
        </w:rPr>
        <w:t xml:space="preserve">models with LASSO demonstrate significantly lower MAE and RMSE compared to models without. For instance, after adopting LASSO, MAE of LSTM decreases from 0.334 to 0.147 in 3-steps forecast and decreases from 0.325 to 0.237 in 6-steps forecast. </w:t>
      </w:r>
      <w:r>
        <w:rPr>
          <w:rFonts w:ascii="Times New Roman" w:hAnsi="Times New Roman" w:cs="Times New Roman"/>
          <w:color w:val="FF0000"/>
          <w:sz w:val="24"/>
          <w:szCs w:val="32"/>
        </w:rPr>
        <w:t xml:space="preserve">Therefore, LASSO selection is </w:t>
      </w:r>
      <w:r>
        <w:rPr>
          <w:rFonts w:hint="eastAsia" w:ascii="Times New Roman" w:hAnsi="Times New Roman" w:cs="Times New Roman"/>
          <w:color w:val="FF0000"/>
          <w:sz w:val="24"/>
          <w:szCs w:val="32"/>
        </w:rPr>
        <w:t xml:space="preserve">also </w:t>
      </w:r>
      <w:r>
        <w:rPr>
          <w:rFonts w:ascii="Times New Roman" w:hAnsi="Times New Roman" w:cs="Times New Roman"/>
          <w:color w:val="FF0000"/>
          <w:sz w:val="24"/>
          <w:szCs w:val="32"/>
        </w:rPr>
        <w:t xml:space="preserve">effective </w:t>
      </w:r>
      <w:r>
        <w:rPr>
          <w:rFonts w:hint="eastAsia" w:ascii="Times New Roman" w:hAnsi="Times New Roman" w:cs="Times New Roman"/>
          <w:color w:val="FF0000"/>
          <w:sz w:val="24"/>
          <w:szCs w:val="32"/>
        </w:rPr>
        <w:t>in</w:t>
      </w:r>
      <w:r>
        <w:rPr>
          <w:rFonts w:ascii="Times New Roman" w:hAnsi="Times New Roman" w:cs="Times New Roman"/>
          <w:color w:val="FF0000"/>
          <w:sz w:val="24"/>
          <w:szCs w:val="32"/>
        </w:rPr>
        <w:t xml:space="preserve"> multi-step </w:t>
      </w:r>
      <w:r>
        <w:rPr>
          <w:rFonts w:hint="eastAsia" w:ascii="Times New Roman" w:hAnsi="Times New Roman" w:cs="Times New Roman"/>
          <w:color w:val="FF0000"/>
          <w:sz w:val="24"/>
          <w:szCs w:val="32"/>
        </w:rPr>
        <w:t xml:space="preserve">exchange rate </w:t>
      </w:r>
      <w:r>
        <w:rPr>
          <w:rFonts w:ascii="Times New Roman" w:hAnsi="Times New Roman" w:cs="Times New Roman"/>
          <w:color w:val="FF0000"/>
          <w:sz w:val="24"/>
          <w:szCs w:val="32"/>
        </w:rPr>
        <w:t>forecast</w:t>
      </w:r>
      <w:r>
        <w:rPr>
          <w:rFonts w:hint="eastAsia" w:ascii="Times New Roman" w:hAnsi="Times New Roman" w:cs="Times New Roman"/>
          <w:color w:val="FF0000"/>
          <w:sz w:val="24"/>
          <w:szCs w:val="32"/>
        </w:rPr>
        <w:t xml:space="preserve">. Moreover, </w:t>
      </w:r>
      <w:r>
        <w:rPr>
          <w:rFonts w:ascii="Times New Roman" w:hAnsi="Times New Roman" w:cs="Times New Roman"/>
          <w:color w:val="FF0000"/>
          <w:sz w:val="24"/>
          <w:szCs w:val="32"/>
        </w:rPr>
        <w:t>LASSO-BiLSTM also</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achieved the best result in 3-steps forecasting and 6-steps forecasting</w:t>
      </w:r>
      <w:r>
        <w:rPr>
          <w:rFonts w:hint="eastAsia" w:ascii="Times New Roman" w:hAnsi="Times New Roman" w:cs="Times New Roman"/>
          <w:color w:val="FF0000"/>
          <w:sz w:val="24"/>
          <w:szCs w:val="32"/>
        </w:rPr>
        <w:t xml:space="preserve"> (MAE: 0.127, RMSE: 0.147)</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More specifically</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the proposed model </w:t>
      </w:r>
      <w:r>
        <w:rPr>
          <w:rFonts w:ascii="Times New Roman" w:hAnsi="Times New Roman" w:cs="Times New Roman"/>
          <w:color w:val="FF0000"/>
          <w:sz w:val="24"/>
          <w:szCs w:val="32"/>
        </w:rPr>
        <w:t xml:space="preserve">outperforms other models by </w:t>
      </w:r>
      <w:r>
        <w:rPr>
          <w:rFonts w:hint="eastAsia" w:ascii="Times New Roman" w:hAnsi="Times New Roman" w:cs="Times New Roman"/>
          <w:color w:val="FF0000"/>
          <w:sz w:val="24"/>
          <w:szCs w:val="32"/>
        </w:rPr>
        <w:t xml:space="preserve">more than </w:t>
      </w:r>
      <w:r>
        <w:rPr>
          <w:rFonts w:ascii="Times New Roman" w:hAnsi="Times New Roman" w:cs="Times New Roman"/>
          <w:color w:val="FF0000"/>
          <w:sz w:val="24"/>
          <w:szCs w:val="32"/>
        </w:rPr>
        <w:t>0.019</w:t>
      </w:r>
      <w:r>
        <w:rPr>
          <w:rFonts w:hint="eastAsia" w:ascii="Times New Roman" w:hAnsi="Times New Roman" w:cs="Times New Roman"/>
          <w:color w:val="FF0000"/>
          <w:sz w:val="24"/>
          <w:szCs w:val="32"/>
        </w:rPr>
        <w:t xml:space="preserve"> MAE and 0.022 RMSE</w:t>
      </w:r>
      <w:r>
        <w:rPr>
          <w:rFonts w:ascii="Times New Roman" w:hAnsi="Times New Roman" w:cs="Times New Roman"/>
          <w:color w:val="FF0000"/>
          <w:sz w:val="24"/>
          <w:szCs w:val="32"/>
        </w:rPr>
        <w:t>. When the predicting horizon increased from 3</w:t>
      </w:r>
      <w:r>
        <w:rPr>
          <w:rFonts w:hint="eastAsia" w:ascii="Times New Roman" w:hAnsi="Times New Roman" w:cs="Times New Roman"/>
          <w:color w:val="FF0000"/>
          <w:sz w:val="24"/>
          <w:szCs w:val="32"/>
        </w:rPr>
        <w:t xml:space="preserve"> steps</w:t>
      </w:r>
      <w:r>
        <w:rPr>
          <w:rFonts w:ascii="Times New Roman" w:hAnsi="Times New Roman" w:cs="Times New Roman"/>
          <w:color w:val="FF0000"/>
          <w:sz w:val="24"/>
          <w:szCs w:val="32"/>
        </w:rPr>
        <w:t xml:space="preserve"> to 6</w:t>
      </w:r>
      <w:r>
        <w:rPr>
          <w:rFonts w:hint="eastAsia" w:ascii="Times New Roman" w:hAnsi="Times New Roman" w:cs="Times New Roman"/>
          <w:color w:val="FF0000"/>
          <w:sz w:val="24"/>
          <w:szCs w:val="32"/>
        </w:rPr>
        <w:t xml:space="preserve"> steps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 xml:space="preserve">LASSO-BiLSTM outperforms other models by </w:t>
      </w:r>
      <w:r>
        <w:rPr>
          <w:rFonts w:hint="eastAsia" w:ascii="Times New Roman" w:hAnsi="Times New Roman" w:cs="Times New Roman"/>
          <w:color w:val="FF0000"/>
          <w:sz w:val="24"/>
          <w:szCs w:val="32"/>
        </w:rPr>
        <w:t>more than 0.022</w:t>
      </w:r>
      <w:r>
        <w:rPr>
          <w:rFonts w:ascii="Times New Roman" w:hAnsi="Times New Roman" w:cs="Times New Roman"/>
          <w:color w:val="FF0000"/>
          <w:sz w:val="24"/>
          <w:szCs w:val="32"/>
        </w:rPr>
        <w:t xml:space="preserve"> MAE</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 xml:space="preserve">and </w:t>
      </w:r>
      <w:r>
        <w:rPr>
          <w:rFonts w:hint="eastAsia" w:ascii="Times New Roman" w:hAnsi="Times New Roman" w:cs="Times New Roman"/>
          <w:color w:val="FF0000"/>
          <w:sz w:val="24"/>
          <w:szCs w:val="32"/>
        </w:rPr>
        <w:t xml:space="preserve">0.032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 xml:space="preserve"> Therefore, </w:t>
      </w:r>
      <w:r>
        <w:rPr>
          <w:rFonts w:ascii="Times New Roman" w:hAnsi="Times New Roman" w:cs="Times New Roman"/>
          <w:color w:val="FF0000"/>
          <w:sz w:val="24"/>
          <w:szCs w:val="32"/>
        </w:rPr>
        <w:t>LASSO-BiLSTM has the lowest error</w:t>
      </w:r>
      <w:r>
        <w:rPr>
          <w:rFonts w:hint="eastAsia" w:ascii="Times New Roman" w:hAnsi="Times New Roman" w:cs="Times New Roman"/>
          <w:color w:val="FF0000"/>
          <w:sz w:val="24"/>
          <w:szCs w:val="32"/>
        </w:rPr>
        <w:t xml:space="preserve"> in both 3-steps and 6-steps forecasting</w:t>
      </w:r>
      <w:r>
        <w:rPr>
          <w:rFonts w:ascii="Times New Roman" w:hAnsi="Times New Roman" w:cs="Times New Roman"/>
          <w:color w:val="FF0000"/>
          <w:sz w:val="24"/>
          <w:szCs w:val="32"/>
        </w:rPr>
        <w:t xml:space="preserve">. </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6: Evaluated performance of 3-steps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bottom w:val="single" w:color="auto" w:sz="4" w:space="0"/>
            </w:tcBorders>
          </w:tcPr>
          <w:p>
            <w:pPr>
              <w:jc w:val="center"/>
              <w:rPr>
                <w:rFonts w:ascii="Times New Roman" w:hAnsi="Times New Roman" w:cs="Times New Roman"/>
                <w:b/>
                <w:bCs/>
              </w:rPr>
            </w:pP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top w:val="single" w:color="auto" w:sz="4" w:space="0"/>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0.278</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0.418</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0.265</w:t>
            </w:r>
          </w:p>
        </w:tc>
        <w:tc>
          <w:tcPr>
            <w:tcW w:w="2073" w:type="dxa"/>
          </w:tcPr>
          <w:p>
            <w:pPr>
              <w:jc w:val="center"/>
              <w:rPr>
                <w:rFonts w:ascii="Times New Roman" w:hAnsi="Times New Roman" w:cs="Times New Roman"/>
              </w:rPr>
            </w:pPr>
            <w:r>
              <w:rPr>
                <w:rFonts w:ascii="Times New Roman" w:hAnsi="Times New Roman" w:cs="Times New Roman"/>
              </w:rPr>
              <w:t>0.321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0.334</w:t>
            </w:r>
          </w:p>
        </w:tc>
        <w:tc>
          <w:tcPr>
            <w:tcW w:w="2073" w:type="dxa"/>
          </w:tcPr>
          <w:p>
            <w:pPr>
              <w:jc w:val="center"/>
              <w:rPr>
                <w:rFonts w:ascii="Times New Roman" w:hAnsi="Times New Roman" w:cs="Times New Roman"/>
              </w:rPr>
            </w:pPr>
            <w:r>
              <w:rPr>
                <w:rFonts w:ascii="Times New Roman" w:hAnsi="Times New Roman" w:cs="Times New Roman"/>
              </w:rPr>
              <w:t>0.401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0.186</w:t>
            </w:r>
          </w:p>
        </w:tc>
        <w:tc>
          <w:tcPr>
            <w:tcW w:w="2073" w:type="dxa"/>
          </w:tcPr>
          <w:p>
            <w:pPr>
              <w:jc w:val="center"/>
              <w:rPr>
                <w:rFonts w:ascii="Times New Roman" w:hAnsi="Times New Roman" w:cs="Times New Roman"/>
              </w:rPr>
            </w:pPr>
            <w:r>
              <w:rPr>
                <w:rFonts w:ascii="Times New Roman" w:hAnsi="Times New Roman" w:cs="Times New Roman"/>
              </w:rPr>
              <w:t>0.245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0.240</w:t>
            </w:r>
          </w:p>
        </w:tc>
        <w:tc>
          <w:tcPr>
            <w:tcW w:w="2073" w:type="dxa"/>
          </w:tcPr>
          <w:p>
            <w:pPr>
              <w:jc w:val="center"/>
              <w:rPr>
                <w:rFonts w:ascii="Times New Roman" w:hAnsi="Times New Roman" w:cs="Times New Roman"/>
              </w:rPr>
            </w:pPr>
            <w:r>
              <w:rPr>
                <w:rFonts w:ascii="Times New Roman" w:hAnsi="Times New Roman" w:cs="Times New Roman"/>
              </w:rPr>
              <w:t>0.260</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0.221</w:t>
            </w:r>
          </w:p>
        </w:tc>
        <w:tc>
          <w:tcPr>
            <w:tcW w:w="2073" w:type="dxa"/>
          </w:tcPr>
          <w:p>
            <w:pPr>
              <w:jc w:val="center"/>
              <w:rPr>
                <w:rFonts w:ascii="Times New Roman" w:hAnsi="Times New Roman" w:cs="Times New Roman"/>
              </w:rPr>
            </w:pPr>
            <w:r>
              <w:rPr>
                <w:rFonts w:ascii="Times New Roman" w:hAnsi="Times New Roman" w:cs="Times New Roman"/>
              </w:rPr>
              <w:t>0.284</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0.183</w:t>
            </w:r>
          </w:p>
        </w:tc>
        <w:tc>
          <w:tcPr>
            <w:tcW w:w="2073" w:type="dxa"/>
          </w:tcPr>
          <w:p>
            <w:pPr>
              <w:jc w:val="center"/>
              <w:rPr>
                <w:rFonts w:ascii="Times New Roman" w:hAnsi="Times New Roman" w:cs="Times New Roman"/>
              </w:rPr>
            </w:pPr>
            <w:r>
              <w:rPr>
                <w:rFonts w:ascii="Times New Roman" w:hAnsi="Times New Roman" w:cs="Times New Roman"/>
              </w:rPr>
              <w:t>0.218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0.147</w:t>
            </w:r>
          </w:p>
        </w:tc>
        <w:tc>
          <w:tcPr>
            <w:tcW w:w="2073" w:type="dxa"/>
          </w:tcPr>
          <w:p>
            <w:pPr>
              <w:jc w:val="center"/>
              <w:rPr>
                <w:rFonts w:ascii="Times New Roman" w:hAnsi="Times New Roman" w:cs="Times New Roman"/>
              </w:rPr>
            </w:pPr>
            <w:r>
              <w:rPr>
                <w:rFonts w:ascii="Times New Roman" w:hAnsi="Times New Roman" w:cs="Times New Roman"/>
              </w:rPr>
              <w:t>0.195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0.556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0.127</w:t>
            </w:r>
          </w:p>
        </w:tc>
        <w:tc>
          <w:tcPr>
            <w:tcW w:w="2073" w:type="dxa"/>
          </w:tcPr>
          <w:p>
            <w:pPr>
              <w:jc w:val="center"/>
              <w:rPr>
                <w:rFonts w:ascii="Times New Roman" w:hAnsi="Times New Roman" w:cs="Times New Roman"/>
                <w:b/>
                <w:bCs/>
              </w:rPr>
            </w:pPr>
            <w:r>
              <w:rPr>
                <w:rFonts w:ascii="Times New Roman" w:hAnsi="Times New Roman" w:cs="Times New Roman"/>
                <w:b/>
                <w:bCs/>
              </w:rPr>
              <w:t>0.147</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LASSO-KELM</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0.146</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0.169</w:t>
            </w:r>
          </w:p>
        </w:tc>
        <w:tc>
          <w:tcPr>
            <w:tcW w:w="2073" w:type="dxa"/>
            <w:tcBorders>
              <w:bottom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7: Evaluated performance of 6-steps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0.465</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0.671</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0.252</w:t>
            </w:r>
          </w:p>
        </w:tc>
        <w:tc>
          <w:tcPr>
            <w:tcW w:w="2073" w:type="dxa"/>
          </w:tcPr>
          <w:p>
            <w:pPr>
              <w:jc w:val="center"/>
              <w:rPr>
                <w:rFonts w:ascii="Times New Roman" w:hAnsi="Times New Roman" w:cs="Times New Roman"/>
              </w:rPr>
            </w:pPr>
            <w:r>
              <w:rPr>
                <w:rFonts w:ascii="Times New Roman" w:hAnsi="Times New Roman" w:cs="Times New Roman"/>
              </w:rPr>
              <w:t>0.283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0.325</w:t>
            </w:r>
          </w:p>
        </w:tc>
        <w:tc>
          <w:tcPr>
            <w:tcW w:w="2073" w:type="dxa"/>
          </w:tcPr>
          <w:p>
            <w:pPr>
              <w:jc w:val="center"/>
              <w:rPr>
                <w:rFonts w:ascii="Times New Roman" w:hAnsi="Times New Roman" w:cs="Times New Roman"/>
              </w:rPr>
            </w:pPr>
            <w:r>
              <w:rPr>
                <w:rFonts w:ascii="Times New Roman" w:hAnsi="Times New Roman" w:cs="Times New Roman"/>
              </w:rPr>
              <w:t>0.356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0.333</w:t>
            </w:r>
          </w:p>
        </w:tc>
        <w:tc>
          <w:tcPr>
            <w:tcW w:w="2073" w:type="dxa"/>
          </w:tcPr>
          <w:p>
            <w:pPr>
              <w:jc w:val="center"/>
              <w:rPr>
                <w:rFonts w:ascii="Times New Roman" w:hAnsi="Times New Roman" w:cs="Times New Roman"/>
              </w:rPr>
            </w:pPr>
            <w:r>
              <w:rPr>
                <w:rFonts w:ascii="Times New Roman" w:hAnsi="Times New Roman" w:cs="Times New Roman"/>
              </w:rPr>
              <w:t>0.363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0.385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0.275</w:t>
            </w:r>
          </w:p>
        </w:tc>
        <w:tc>
          <w:tcPr>
            <w:tcW w:w="2073" w:type="dxa"/>
          </w:tcPr>
          <w:p>
            <w:pPr>
              <w:jc w:val="center"/>
              <w:rPr>
                <w:rFonts w:ascii="Times New Roman" w:hAnsi="Times New Roman" w:cs="Times New Roman"/>
              </w:rPr>
            </w:pPr>
            <w:r>
              <w:rPr>
                <w:rFonts w:ascii="Times New Roman" w:hAnsi="Times New Roman" w:cs="Times New Roman"/>
              </w:rPr>
              <w:t>0.297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0.211</w:t>
            </w:r>
          </w:p>
        </w:tc>
        <w:tc>
          <w:tcPr>
            <w:tcW w:w="2073" w:type="dxa"/>
          </w:tcPr>
          <w:p>
            <w:pPr>
              <w:jc w:val="center"/>
              <w:rPr>
                <w:rFonts w:ascii="Times New Roman" w:hAnsi="Times New Roman" w:cs="Times New Roman"/>
              </w:rPr>
            </w:pPr>
            <w:r>
              <w:rPr>
                <w:rFonts w:ascii="Times New Roman" w:hAnsi="Times New Roman" w:cs="Times New Roman"/>
              </w:rPr>
              <w:t>0.293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0.212</w:t>
            </w:r>
          </w:p>
        </w:tc>
        <w:tc>
          <w:tcPr>
            <w:tcW w:w="2073" w:type="dxa"/>
          </w:tcPr>
          <w:p>
            <w:pPr>
              <w:jc w:val="center"/>
              <w:rPr>
                <w:rFonts w:ascii="Times New Roman" w:hAnsi="Times New Roman" w:cs="Times New Roman"/>
              </w:rPr>
            </w:pPr>
            <w:r>
              <w:rPr>
                <w:rFonts w:ascii="Times New Roman" w:hAnsi="Times New Roman" w:cs="Times New Roman"/>
              </w:rPr>
              <w:t>0.248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0.237</w:t>
            </w:r>
          </w:p>
        </w:tc>
        <w:tc>
          <w:tcPr>
            <w:tcW w:w="2073" w:type="dxa"/>
          </w:tcPr>
          <w:p>
            <w:pPr>
              <w:jc w:val="center"/>
              <w:rPr>
                <w:rFonts w:ascii="Times New Roman" w:hAnsi="Times New Roman" w:cs="Times New Roman"/>
              </w:rPr>
            </w:pPr>
            <w:r>
              <w:rPr>
                <w:rFonts w:ascii="Times New Roman" w:hAnsi="Times New Roman" w:cs="Times New Roman"/>
              </w:rPr>
              <w:t>0.287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0.189</w:t>
            </w:r>
          </w:p>
        </w:tc>
        <w:tc>
          <w:tcPr>
            <w:tcW w:w="2073" w:type="dxa"/>
          </w:tcPr>
          <w:p>
            <w:pPr>
              <w:jc w:val="center"/>
              <w:rPr>
                <w:rFonts w:ascii="Times New Roman" w:hAnsi="Times New Roman" w:cs="Times New Roman"/>
                <w:b/>
                <w:bCs/>
              </w:rPr>
            </w:pPr>
            <w:r>
              <w:rPr>
                <w:rFonts w:ascii="Times New Roman" w:hAnsi="Times New Roman" w:cs="Times New Roman"/>
                <w:b/>
                <w:bCs/>
              </w:rPr>
              <w:t>0.204</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rPr>
              <w:t>0.226</w:t>
            </w:r>
          </w:p>
        </w:tc>
        <w:tc>
          <w:tcPr>
            <w:tcW w:w="2073" w:type="dxa"/>
          </w:tcPr>
          <w:p>
            <w:pPr>
              <w:jc w:val="center"/>
              <w:rPr>
                <w:rFonts w:ascii="Times New Roman" w:hAnsi="Times New Roman" w:cs="Times New Roman"/>
              </w:rPr>
            </w:pPr>
            <w:r>
              <w:rPr>
                <w:rFonts w:ascii="Times New Roman" w:hAnsi="Times New Roman" w:cs="Times New Roman"/>
              </w:rPr>
              <w:t>0.236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line="360" w:lineRule="auto"/>
        <w:ind w:firstLine="420"/>
        <w:rPr>
          <w:rFonts w:ascii="Times New Roman" w:hAnsi="Times New Roman" w:cs="Times New Roman"/>
          <w:color w:val="FF0000"/>
          <w:sz w:val="24"/>
          <w:szCs w:val="32"/>
        </w:rPr>
      </w:pPr>
      <w:r>
        <w:rPr>
          <w:rFonts w:hint="eastAsia" w:ascii="Times New Roman" w:hAnsi="Times New Roman" w:cs="Times New Roman"/>
          <w:color w:val="FF0000"/>
          <w:sz w:val="24"/>
        </w:rPr>
        <w:t xml:space="preserve">In conclusion, LASSO and BiLSTM-based models can effectively increase forecasting accuracy. LASSO plays an essential role in enhancing accuracy since it selects the most correlated variables and thus artificial intelligence models can </w:t>
      </w:r>
      <w:r>
        <w:rPr>
          <w:rFonts w:ascii="Times New Roman" w:hAnsi="Times New Roman" w:cs="Times New Roman"/>
          <w:color w:val="FF0000"/>
          <w:sz w:val="24"/>
          <w:szCs w:val="32"/>
        </w:rPr>
        <w:t xml:space="preserve">emphasize </w:t>
      </w:r>
      <w:r>
        <w:rPr>
          <w:rFonts w:hint="eastAsia" w:ascii="Times New Roman" w:hAnsi="Times New Roman" w:cs="Times New Roman"/>
          <w:color w:val="FF0000"/>
          <w:sz w:val="24"/>
          <w:szCs w:val="32"/>
        </w:rPr>
        <w:t xml:space="preserve">on </w:t>
      </w:r>
      <w:r>
        <w:rPr>
          <w:rFonts w:ascii="Times New Roman" w:hAnsi="Times New Roman" w:cs="Times New Roman"/>
          <w:color w:val="FF0000"/>
          <w:sz w:val="24"/>
          <w:szCs w:val="32"/>
        </w:rPr>
        <w:t xml:space="preserve">them. Whereas non-LASSO models </w:t>
      </w:r>
      <w:r>
        <w:rPr>
          <w:rFonts w:hint="eastAsia" w:ascii="Times New Roman" w:hAnsi="Times New Roman" w:cs="Times New Roman"/>
          <w:color w:val="FF0000"/>
          <w:sz w:val="24"/>
          <w:szCs w:val="32"/>
        </w:rPr>
        <w:t xml:space="preserve">emphasize 29 </w:t>
      </w:r>
      <w:r>
        <w:rPr>
          <w:rFonts w:ascii="Times New Roman" w:hAnsi="Times New Roman" w:cs="Times New Roman"/>
          <w:color w:val="FF0000"/>
          <w:sz w:val="24"/>
          <w:szCs w:val="32"/>
        </w:rPr>
        <w:t>variables equally</w:t>
      </w:r>
      <w:r>
        <w:rPr>
          <w:rFonts w:hint="eastAsia" w:ascii="Times New Roman" w:hAnsi="Times New Roman" w:cs="Times New Roman"/>
          <w:color w:val="FF0000"/>
          <w:sz w:val="24"/>
          <w:szCs w:val="32"/>
        </w:rPr>
        <w:t xml:space="preserve">, which means less </w:t>
      </w:r>
      <w:r>
        <w:rPr>
          <w:rFonts w:ascii="Times New Roman" w:hAnsi="Times New Roman" w:cs="Times New Roman"/>
          <w:color w:val="FF0000"/>
          <w:sz w:val="24"/>
          <w:szCs w:val="32"/>
        </w:rPr>
        <w:t xml:space="preserve">correlated variables </w:t>
      </w:r>
      <w:r>
        <w:rPr>
          <w:rFonts w:hint="eastAsia" w:ascii="Times New Roman" w:hAnsi="Times New Roman" w:cs="Times New Roman"/>
          <w:color w:val="FF0000"/>
          <w:sz w:val="24"/>
          <w:szCs w:val="32"/>
        </w:rPr>
        <w:t>may not contribute to forecasting accuracy but instead create noises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Moreover, LASSO-BiLSTM out</w:t>
      </w:r>
      <w:r>
        <w:rPr>
          <w:rFonts w:ascii="Times New Roman" w:hAnsi="Times New Roman" w:cs="Times New Roman"/>
          <w:color w:val="FF0000"/>
          <w:sz w:val="24"/>
          <w:szCs w:val="32"/>
        </w:rPr>
        <w:t>perform</w:t>
      </w:r>
      <w:r>
        <w:rPr>
          <w:rFonts w:hint="eastAsia" w:ascii="Times New Roman" w:hAnsi="Times New Roman" w:cs="Times New Roman"/>
          <w:color w:val="FF0000"/>
          <w:sz w:val="24"/>
          <w:szCs w:val="32"/>
        </w:rPr>
        <w:t>s</w:t>
      </w:r>
      <w:r>
        <w:rPr>
          <w:rFonts w:ascii="Times New Roman" w:hAnsi="Times New Roman" w:cs="Times New Roman"/>
          <w:color w:val="FF0000"/>
          <w:sz w:val="24"/>
          <w:szCs w:val="32"/>
        </w:rPr>
        <w:t xml:space="preserve"> the other</w:t>
      </w:r>
      <w:r>
        <w:rPr>
          <w:rFonts w:hint="eastAsia" w:ascii="Times New Roman" w:hAnsi="Times New Roman" w:cs="Times New Roman"/>
          <w:color w:val="FF0000"/>
          <w:sz w:val="24"/>
          <w:szCs w:val="32"/>
        </w:rPr>
        <w:t xml:space="preserve"> models since it has strong capacity to train numerical time series data twice and learn from the future as well as past (Siami-Namini et al. 2019). With 29 variables that reflect economic status, LASSO-BiLSTM selects data that contribute to forecasting accuracy and thus respond to high volatility effectively.</w:t>
      </w:r>
    </w:p>
    <w:p>
      <w:pPr>
        <w:spacing w:line="360" w:lineRule="auto"/>
        <w:ind w:firstLine="420"/>
        <w:rPr>
          <w:rFonts w:ascii="Times New Roman" w:hAnsi="Times New Roman" w:cs="Times New Roman"/>
          <w:sz w:val="24"/>
        </w:rPr>
      </w:pPr>
      <w:r>
        <w:rPr>
          <w:rFonts w:ascii="Times New Roman" w:hAnsi="Times New Roman" w:cs="Times New Roman"/>
          <w:color w:val="FF0000"/>
          <w:sz w:val="24"/>
        </w:rPr>
        <w:t>Furthermore, the 29 variables have been selected from various dimensions to predict the exchange rate of USD/CNY,</w:t>
      </w:r>
      <w:r>
        <w:rPr>
          <w:rFonts w:ascii="Times New Roman" w:hAnsi="Times New Roman" w:cs="Times New Roman"/>
          <w:sz w:val="24"/>
        </w:rPr>
        <w:t xml:space="preserve"> </w:t>
      </w:r>
      <w:r>
        <w:rPr>
          <w:rFonts w:ascii="Times New Roman" w:hAnsi="Times New Roman" w:cs="Times New Roman"/>
          <w:color w:val="FF0000"/>
          <w:sz w:val="24"/>
        </w:rPr>
        <w:t>our result gives new implications of what variables are significantly related to the exchange rate forecast.</w:t>
      </w:r>
      <w:r>
        <w:rPr>
          <w:rFonts w:ascii="Times New Roman" w:hAnsi="Times New Roman" w:cs="Times New Roman"/>
          <w:sz w:val="24"/>
        </w:rPr>
        <w:t xml:space="preserve"> More specifically, 6 variables have the highest relevance with the forecast, which are: FER, DXY, S&amp;P, GEPU, CEPU, and BI.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rPr>
          <w:rFonts w:ascii="Times New Roman" w:hAnsi="Times New Roman" w:cs="Times New Roman"/>
          <w:sz w:val="24"/>
        </w:rPr>
      </w:pPr>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Diebold-Mariano (DM) test is utilized to test the statistical superiority of LASSO-BiLSTM</w:t>
      </w:r>
      <w:r>
        <w:rPr>
          <w:rFonts w:ascii="Times New Roman" w:hAnsi="Times New Roman" w:cs="Times New Roman"/>
          <w:sz w:val="24"/>
        </w:rPr>
        <w:t>.</w:t>
      </w:r>
      <w:bookmarkStart w:id="26" w:name="_Hlk143377889"/>
      <w:r>
        <w:rPr>
          <w:rFonts w:ascii="Times New Roman" w:hAnsi="Times New Roman" w:cs="Times New Roman"/>
          <w:color w:val="FF0000"/>
          <w:sz w:val="24"/>
        </w:rPr>
        <w:t xml:space="preserve"> </w:t>
      </w:r>
      <w:r>
        <w:rPr>
          <w:rFonts w:hint="eastAsia" w:ascii="Times New Roman" w:hAnsi="Times New Roman" w:cs="Times New Roman"/>
          <w:color w:val="FF0000"/>
          <w:sz w:val="24"/>
        </w:rPr>
        <w:t>T</w:t>
      </w:r>
      <w:r>
        <w:rPr>
          <w:rFonts w:ascii="Times New Roman" w:hAnsi="Times New Roman" w:cs="Times New Roman"/>
          <w:color w:val="FF0000"/>
          <w:sz w:val="24"/>
        </w:rPr>
        <w:t xml:space="preserve">he DM test is performed by checking the loss differential expectation score. </w:t>
      </w:r>
      <w:r>
        <w:rPr>
          <w:rFonts w:hint="eastAsia" w:ascii="Times New Roman" w:hAnsi="Times New Roman" w:cs="Times New Roman"/>
          <w:color w:val="FF0000"/>
          <w:sz w:val="24"/>
        </w:rPr>
        <w:t>N</w:t>
      </w:r>
      <w:r>
        <w:rPr>
          <w:rFonts w:ascii="Times New Roman" w:hAnsi="Times New Roman" w:cs="Times New Roman"/>
          <w:color w:val="FF0000"/>
          <w:sz w:val="24"/>
        </w:rPr>
        <w:t>ull hypothesis (</w:t>
      </w:r>
      <m:oMath>
        <m:sSub>
          <m:sSubPr>
            <m:ctrlPr>
              <w:rPr>
                <w:rFonts w:ascii="Cambria Math" w:hAnsi="Cambria Math" w:cs="Times New Roman"/>
                <w:i/>
                <w:color w:val="FF0000"/>
                <w:sz w:val="24"/>
              </w:rPr>
            </m:ctrlPr>
          </m:sSubPr>
          <m:e>
            <m:r>
              <m:rPr/>
              <w:rPr>
                <w:rFonts w:ascii="Cambria Math" w:hAnsi="Cambria Math" w:cs="Times New Roman"/>
                <w:color w:val="FF0000"/>
                <w:sz w:val="24"/>
              </w:rPr>
              <m:t>H</m:t>
            </m:r>
            <m:ctrlPr>
              <w:rPr>
                <w:rFonts w:ascii="Cambria Math" w:hAnsi="Cambria Math" w:cs="Times New Roman"/>
                <w:i/>
                <w:color w:val="FF0000"/>
                <w:sz w:val="24"/>
              </w:rPr>
            </m:ctrlPr>
          </m:e>
          <m:sub>
            <m:r>
              <m:rPr/>
              <w:rPr>
                <w:rFonts w:ascii="Cambria Math" w:hAnsi="Cambria Math" w:cs="Times New Roman"/>
                <w:color w:val="FF0000"/>
                <w:sz w:val="24"/>
              </w:rPr>
              <m:t>0</m:t>
            </m:r>
            <m:ctrlPr>
              <w:rPr>
                <w:rFonts w:ascii="Cambria Math" w:hAnsi="Cambria Math" w:cs="Times New Roman"/>
                <w:i/>
                <w:color w:val="FF0000"/>
                <w:sz w:val="24"/>
              </w:rPr>
            </m:ctrlPr>
          </m:sub>
        </m:sSub>
      </m:oMath>
      <w:r>
        <w:rPr>
          <w:rFonts w:ascii="Times New Roman" w:hAnsi="Times New Roman" w:cs="Times New Roman"/>
          <w:color w:val="FF0000"/>
          <w:sz w:val="24"/>
        </w:rPr>
        <w:t xml:space="preserve">) is two forecasts have equal predicting accuracy. </w:t>
      </w:r>
      <w:r>
        <w:rPr>
          <w:rFonts w:hint="eastAsia" w:ascii="Times New Roman" w:hAnsi="Times New Roman" w:cs="Times New Roman"/>
          <w:color w:val="FF0000"/>
          <w:sz w:val="24"/>
        </w:rPr>
        <w:t>To reject H</w:t>
      </w:r>
      <w:r>
        <w:rPr>
          <w:rFonts w:hint="eastAsia" w:ascii="Times New Roman" w:hAnsi="Times New Roman" w:cs="Times New Roman"/>
          <w:color w:val="FF0000"/>
          <w:sz w:val="24"/>
          <w:vertAlign w:val="subscript"/>
        </w:rPr>
        <w:t>0</w:t>
      </w:r>
      <w:r>
        <w:rPr>
          <w:rFonts w:hint="eastAsia" w:ascii="Times New Roman" w:hAnsi="Times New Roman" w:cs="Times New Roman"/>
          <w:color w:val="FF0000"/>
          <w:sz w:val="24"/>
        </w:rPr>
        <w:t>,</w:t>
      </w:r>
      <w:r>
        <w:rPr>
          <w:rFonts w:ascii="Times New Roman" w:hAnsi="Times New Roman" w:cs="Times New Roman"/>
          <w:color w:val="FF0000"/>
          <w:sz w:val="24"/>
        </w:rPr>
        <w:t xml:space="preserve"> the significance level </w:t>
      </w:r>
      <w:r>
        <w:rPr>
          <w:rFonts w:hint="eastAsia" w:ascii="Times New Roman" w:hAnsi="Times New Roman" w:cs="Times New Roman"/>
          <w:color w:val="FF0000"/>
          <w:sz w:val="24"/>
        </w:rPr>
        <w:t>should</w:t>
      </w:r>
      <w:r>
        <w:rPr>
          <w:rFonts w:ascii="Times New Roman" w:hAnsi="Times New Roman" w:cs="Times New Roman"/>
          <w:color w:val="FF0000"/>
          <w:sz w:val="24"/>
        </w:rPr>
        <w:t xml:space="preserve"> lower than 10%. </w:t>
      </w:r>
      <w:r>
        <w:rPr>
          <w:rFonts w:ascii="Times New Roman" w:hAnsi="Times New Roman" w:cs="Times New Roman"/>
          <w:sz w:val="24"/>
        </w:rPr>
        <w:t>The loss differential is calculated according to the root mean squared error (RMSE).</w:t>
      </w:r>
    </w:p>
    <w:bookmarkEnd w:id="26"/>
    <w:p>
      <w:pPr>
        <w:spacing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8: Diebold-Mariano test on results performance</w:t>
      </w:r>
    </w:p>
    <w:tbl>
      <w:tblPr>
        <w:tblStyle w:val="15"/>
        <w:tblW w:w="85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1"/>
        <w:gridCol w:w="659"/>
        <w:gridCol w:w="704"/>
        <w:gridCol w:w="697"/>
        <w:gridCol w:w="709"/>
        <w:gridCol w:w="772"/>
        <w:gridCol w:w="959"/>
        <w:gridCol w:w="982"/>
        <w:gridCol w:w="1058"/>
        <w:gridCol w:w="108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bottom w:val="single" w:color="auto" w:sz="4" w:space="0"/>
            </w:tcBorders>
          </w:tcPr>
          <w:p>
            <w:pPr>
              <w:spacing w:before="156" w:beforeLines="50"/>
              <w:rPr>
                <w:rFonts w:ascii="Times New Roman" w:hAnsi="Times New Roman" w:cs="Times New Roman"/>
                <w:sz w:val="18"/>
                <w:szCs w:val="18"/>
              </w:rPr>
            </w:pPr>
          </w:p>
        </w:tc>
        <w:tc>
          <w:tcPr>
            <w:tcW w:w="6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04"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97"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0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7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9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98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1058"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1081"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6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04"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697"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70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77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9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98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1058"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108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bookmarkStart w:id="27" w:name="_Hlk143469661"/>
      <w:bookmarkStart w:id="28" w:name="_Hlk143377905"/>
      <w:r>
        <w:rPr>
          <w:rFonts w:ascii="Times New Roman" w:hAnsi="Times New Roman" w:cs="Times New Roman"/>
          <w:color w:val="FF0000"/>
          <w:sz w:val="24"/>
        </w:rPr>
        <w:t>As shown in table 8, all of the DM statistics for LASSO-BiLSTM are negative and p values are smaller than 5%</w:t>
      </w:r>
      <w:r>
        <w:rPr>
          <w:rFonts w:hint="eastAsia" w:ascii="Times New Roman" w:hAnsi="Times New Roman" w:cs="Times New Roman"/>
          <w:color w:val="FF0000"/>
          <w:sz w:val="24"/>
        </w:rPr>
        <w:t>.</w:t>
      </w:r>
      <w:bookmarkEnd w:id="27"/>
      <w:bookmarkStart w:id="29" w:name="_Hlk143469718"/>
      <w:r>
        <w:rPr>
          <w:rFonts w:hint="eastAsia" w:ascii="Times New Roman" w:hAnsi="Times New Roman" w:cs="Times New Roman"/>
          <w:color w:val="FF0000"/>
          <w:sz w:val="24"/>
        </w:rPr>
        <w:t xml:space="preserve"> Therefore, </w:t>
      </w:r>
      <w:r>
        <w:rPr>
          <w:rFonts w:ascii="Times New Roman" w:hAnsi="Times New Roman" w:cs="Times New Roman"/>
          <w:color w:val="FF0000"/>
          <w:sz w:val="24"/>
        </w:rPr>
        <w:t>the null hypothesis is rejected. It is revealed that the LASSO-BiLSTM approach is far superior to the other benchmarks under 95% confiden</w:t>
      </w:r>
      <w:r>
        <w:rPr>
          <w:rFonts w:hint="eastAsia" w:ascii="Times New Roman" w:hAnsi="Times New Roman" w:cs="Times New Roman"/>
          <w:color w:val="FF0000"/>
          <w:sz w:val="24"/>
        </w:rPr>
        <w:t>c</w:t>
      </w:r>
      <w:r>
        <w:rPr>
          <w:rFonts w:ascii="Times New Roman" w:hAnsi="Times New Roman" w:cs="Times New Roman"/>
          <w:color w:val="FF0000"/>
          <w:sz w:val="24"/>
        </w:rPr>
        <w:t>e level.</w:t>
      </w:r>
      <w:bookmarkEnd w:id="28"/>
      <w:bookmarkEnd w:id="29"/>
    </w:p>
    <w:p>
      <w:pPr>
        <w:pStyle w:val="21"/>
        <w:spacing w:before="156" w:beforeLines="50" w:line="360" w:lineRule="auto"/>
        <w:ind w:left="0" w:leftChars="0"/>
        <w:outlineLvl w:val="1"/>
        <w:rPr>
          <w:rFonts w:ascii="Times New Roman" w:hAnsi="Times New Roman" w:cs="Times New Roman"/>
          <w:color w:val="FF0000"/>
          <w:sz w:val="24"/>
        </w:rPr>
      </w:pPr>
      <w:bookmarkStart w:id="30" w:name="_Hlk143470662"/>
      <w:r>
        <w:rPr>
          <w:rFonts w:ascii="Times New Roman" w:hAnsi="Times New Roman" w:cs="Times New Roman"/>
          <w:b/>
          <w:bCs/>
          <w:i/>
          <w:iCs/>
          <w:color w:val="FF0000"/>
          <w:sz w:val="24"/>
        </w:rPr>
        <w:t>5.3 Further Verification</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LASSO-BiLSTM method is also tested on datasets other than USD-CNY, in order to demonstrate its effectiveness. After deleting the variables that related to China’s economic status, the rest of the variables are used to test Dollar (USD) to Pound (GBP). The result from this additional test also indicates that LASSO-BiLSTM is the best method for exchange rate forecasting.</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 xml:space="preserve">ble 9: </w:t>
      </w:r>
      <w:bookmarkStart w:id="31" w:name="_Hlk143371604"/>
      <w:r>
        <w:rPr>
          <w:rFonts w:ascii="Times New Roman" w:hAnsi="Times New Roman" w:cs="Times New Roman"/>
          <w:color w:val="FF0000"/>
        </w:rPr>
        <w:t>USD-GBP</w:t>
      </w:r>
      <w:bookmarkEnd w:id="31"/>
      <w:r>
        <w:rPr>
          <w:rFonts w:ascii="Times New Roman" w:hAnsi="Times New Roman" w:cs="Times New Roman"/>
          <w:color w:val="FF0000"/>
        </w:rPr>
        <w:t xml:space="preserve"> forecasting performance</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SVR</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0.135</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0.078</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0.145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0.155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BiLSTM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0.041</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LASSO-SVR</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0.038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0.025</w:t>
            </w:r>
          </w:p>
        </w:tc>
        <w:tc>
          <w:tcPr>
            <w:tcW w:w="2766" w:type="dxa"/>
          </w:tcPr>
          <w:p>
            <w:pPr>
              <w:jc w:val="center"/>
              <w:rPr>
                <w:rFonts w:ascii="Times New Roman" w:hAnsi="Times New Roman" w:cs="Times New Roman"/>
                <w:b/>
                <w:bCs/>
                <w:color w:val="FF0000"/>
              </w:rPr>
            </w:pPr>
            <w:r>
              <w:rPr>
                <w:rFonts w:ascii="Times New Roman" w:hAnsi="Times New Roman" w:cs="Times New Roman"/>
                <w:b/>
                <w:bCs/>
                <w:color w:val="FF0000"/>
              </w:rPr>
              <w:t>0.030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0.050</w:t>
            </w:r>
          </w:p>
        </w:tc>
      </w:tr>
    </w:tbl>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As shown in table 9, for a completely different dataset, the MAE and RMSE for LASSO-BiLSTM are still the smallest among all of the models. This further demonstrates that for exchange rate forecasting, LASSO-BiLSTM currently provides the best result and the smallest error possible.</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To further verify the effectiveness of LASSO-BiLSTM model comparing to more up to date models, Gated Recurrent Unit (GRU) and Temporal Convolutional Network (TCN) and its LASSO selection version are performed. The dataset used is still USD-CNY dataset. The parameters are the same as above parameters. To make the result consistent, parameters in all following models are kept consistent with the BiLSTM parameters in table 2. The result is shown in the following table.</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ble 10: New models comparison</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0.051</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0.072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0.346</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0.374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0.482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0.094</w:t>
            </w:r>
          </w:p>
        </w:tc>
      </w:tr>
    </w:tbl>
    <w:p>
      <w:pPr>
        <w:spacing w:before="156" w:beforeLines="50" w:line="360" w:lineRule="auto"/>
        <w:ind w:firstLine="420"/>
        <w:rPr>
          <w:rFonts w:ascii="Times New Roman" w:hAnsi="Times New Roman" w:cs="Times New Roman"/>
          <w:color w:val="FF0000"/>
          <w:sz w:val="24"/>
        </w:rPr>
      </w:pPr>
      <w:r>
        <w:rPr>
          <w:rFonts w:ascii="Times New Roman" w:hAnsi="Times New Roman" w:cs="Times New Roman"/>
          <w:color w:val="FF0000"/>
          <w:sz w:val="24"/>
        </w:rPr>
        <w:t>Even comparing with more state-of-the-art models, as illustrated in table 10, LASSO-BiLSTM still yields the lowest error, the highest forecasting accuracy. Therefore, this paper concludes that LASSO-BiLSTM is shown to be the most effective model in exchange rate forecasting.</w:t>
      </w:r>
    </w:p>
    <w:bookmarkEnd w:id="30"/>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32" w:name="_Toc114151819"/>
      <w:bookmarkStart w:id="33" w:name="_Hlk143378328"/>
      <w:r>
        <w:rPr>
          <w:rFonts w:ascii="Times New Roman" w:hAnsi="Times New Roman" w:eastAsia="宋体"/>
          <w:b/>
          <w:bCs/>
          <w:color w:val="0E101A"/>
          <w:sz w:val="28"/>
          <w:szCs w:val="28"/>
        </w:rPr>
        <w:t>Conclusion</w:t>
      </w:r>
      <w:bookmarkEnd w:id="32"/>
      <w:r>
        <w:rPr>
          <w:rFonts w:ascii="Times New Roman" w:hAnsi="Times New Roman" w:eastAsia="宋体"/>
          <w:b/>
          <w:bCs/>
          <w:color w:val="0E101A"/>
          <w:sz w:val="28"/>
          <w:szCs w:val="28"/>
        </w:rPr>
        <w:t xml:space="preserve"> and Discussions</w:t>
      </w:r>
    </w:p>
    <w:bookmarkEnd w:id="33"/>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lang w:bidi="ar"/>
        </w:rPr>
        <w:t>The main purpose of this study is to improve the accuracy of exchange rate forecast.</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sz w:val="24"/>
          <w:lang w:bidi="ar"/>
        </w:rPr>
        <w:t xml:space="preserve">To achieve,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w:t>
      </w:r>
      <w:bookmarkStart w:id="34" w:name="_Hlk143470392"/>
      <w:r>
        <w:rPr>
          <w:rFonts w:ascii="Times New Roman" w:hAnsi="Times New Roman" w:eastAsia="宋体" w:cs="Times New Roman"/>
          <w:color w:val="FF0000"/>
          <w:sz w:val="24"/>
          <w:lang w:bidi="ar"/>
        </w:rPr>
        <w:t>Overall, LASSO plays a significant role in forecast accuracy and LASSO-BiLSTM has the best performance</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color w:val="FF0000"/>
          <w:sz w:val="24"/>
          <w:lang w:bidi="ar"/>
        </w:rPr>
        <w:t>in 1 step forecasting, 3 steps forecasting and 6 steps forecasting. To verify the robustness of LASSO-BiLSTM, same test has applied to the forecast of USD/GBP and LASSO-BiLSTM still outperformed the other models.</w:t>
      </w:r>
    </w:p>
    <w:p>
      <w:pPr>
        <w:spacing w:line="360" w:lineRule="auto"/>
        <w:ind w:firstLine="420"/>
        <w:rPr>
          <w:rFonts w:ascii="Times New Roman" w:hAnsi="Times New Roman" w:eastAsia="宋体" w:cs="Times New Roman"/>
          <w:color w:val="FF0000"/>
          <w:sz w:val="24"/>
        </w:rPr>
      </w:pPr>
      <w:bookmarkStart w:id="35" w:name="_Hlk143469024"/>
      <w:r>
        <w:rPr>
          <w:rFonts w:ascii="Times New Roman" w:hAnsi="Times New Roman" w:eastAsia="宋体" w:cs="Times New Roman"/>
          <w:color w:val="FF0000"/>
          <w:sz w:val="24"/>
          <w:lang w:bidi="ar"/>
        </w:rPr>
        <w:t>This study has four major implications: (1)LASSO-BiLSTM has outstanding potential to forecast exchange rate (2) Adopting LASSO as feature selection can reduce overfitting effectively and thus improve the result (3) BiLSTM-based model can effectively process information from both direction and thus outperforms other models (4) Considering different types of variables before forecast can better understand economic situation. These conclusions can apply to further study and help improve forecasting performance.</w:t>
      </w:r>
    </w:p>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lang w:bidi="ar"/>
        </w:rPr>
        <w:t>Since exchange rate is tightly related countries economic status, financial transaction and enterprise decisions, exchange rate forecasting would be highly essential. Therefore, the newly raised methodology will provide two management implications. First, the proposed model can help policy makers make decisions and thus ensure countries’</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color w:val="FF0000"/>
          <w:sz w:val="24"/>
          <w:lang w:bidi="ar"/>
        </w:rPr>
        <w:t>economic development and security. Second, individual transactors can learn from the signals and thus manage their assets effectively.</w:t>
      </w:r>
    </w:p>
    <w:p>
      <w:pPr>
        <w:spacing w:line="360" w:lineRule="auto"/>
        <w:ind w:firstLine="420"/>
        <w:rPr>
          <w:rFonts w:ascii="Times New Roman" w:hAnsi="Times New Roman" w:eastAsia="宋体" w:cs="Times New Roman"/>
          <w:color w:val="FF0000"/>
          <w:sz w:val="24"/>
        </w:rPr>
      </w:pPr>
      <w:bookmarkStart w:id="36" w:name="_Hlk143469450"/>
      <w:r>
        <w:rPr>
          <w:rFonts w:ascii="Times New Roman" w:hAnsi="Times New Roman" w:eastAsia="宋体" w:cs="Times New Roman"/>
          <w:color w:val="FF0000"/>
          <w:sz w:val="24"/>
          <w:lang w:bidi="ar"/>
        </w:rPr>
        <w:t xml:space="preserve">Although the proposed framework has obtained an outstanding forecasting performance, it still has certain limitations. Firstly, LASSO-BiLSTM has only applied to Forex market but not applied to other markets. Since variables in other financial markets also have high volatility, LASSO-BiLSTM may also have strong potential to forecast those variables. Secondly, this study mainly focuses on short-run forecast. To apply the model in more situations, LASSO-BiLSTM can also be tested in long-run forecast in future study. Lastly, to capture data characteristic more comprehensively, further study can extract features of other models and adopt BiLSTM-based ensemble learning approach to forecast. </w:t>
      </w:r>
      <w:bookmarkEnd w:id="34"/>
    </w:p>
    <w:bookmarkEnd w:id="35"/>
    <w:bookmarkEnd w:id="36"/>
    <w:p>
      <w:pPr>
        <w:pStyle w:val="12"/>
        <w:spacing w:before="312" w:beforeLines="100" w:beforeAutospacing="0" w:afterAutospacing="0" w:line="360" w:lineRule="auto"/>
        <w:outlineLvl w:val="0"/>
        <w:rPr>
          <w:rFonts w:ascii="Times New Roman" w:hAnsi="Times New Roman"/>
          <w:color w:val="FF0000"/>
          <w:sz w:val="28"/>
          <w:szCs w:val="28"/>
          <w:shd w:val="clear" w:color="auto" w:fill="FFFFFF"/>
        </w:rPr>
      </w:pPr>
      <w:r>
        <w:rPr>
          <w:rFonts w:ascii="Times New Roman" w:hAnsi="Times New Roman"/>
          <w:color w:val="FF0000"/>
          <w:sz w:val="28"/>
          <w:szCs w:val="28"/>
          <w:shd w:val="clear" w:color="auto" w:fill="FFFFFF"/>
        </w:rPr>
        <w:t>Reference</w:t>
      </w:r>
    </w:p>
    <w:p>
      <w:pPr>
        <w:pStyle w:val="12"/>
        <w:widowControl/>
        <w:autoSpaceDE w:val="0"/>
        <w:spacing w:beforeAutospacing="0" w:afterAutospacing="0" w:line="360" w:lineRule="auto"/>
        <w:rPr>
          <w:rFonts w:ascii="Calibri" w:hAnsi="Calibri" w:eastAsia="宋体"/>
          <w:color w:val="FF0000"/>
          <w:kern w:val="0"/>
          <w:szCs w:val="21"/>
        </w:rPr>
      </w:pPr>
      <w:r>
        <w:rPr>
          <w:rFonts w:ascii="Times New Roman" w:hAnsi="Times New Roman" w:eastAsia="宋体"/>
          <w:color w:val="FF0000"/>
          <w:kern w:val="0"/>
          <w:szCs w:val="21"/>
          <w:lang w:bidi="ar"/>
        </w:rPr>
        <w:t xml:space="preserve">Akusok, A., Bjork, K.-M., Miche, Y., &amp; Lendasse, A. (2015). High-Performance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 xml:space="preserve">Extreme Learning Machines: A Complete Toolbox for Big Data Applications.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w:t>
      </w:r>
      <w:r>
        <w:rPr>
          <w:rFonts w:ascii="Times New Roman" w:hAnsi="Times New Roman" w:eastAsia="宋体"/>
          <w:color w:val="FF0000"/>
          <w:kern w:val="0"/>
          <w:szCs w:val="21"/>
          <w:lang w:bidi="ar"/>
        </w:rPr>
        <w:t>, 1011–1025. https://doi.org/10.1109/access.2015.2450498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Altan, A., &amp; Karasu, S. (2019). The Effect of Kernel Values in Support Vector Machine to Forecasting Performance of Financial Time Series. </w:t>
      </w:r>
      <w:r>
        <w:rPr>
          <w:rFonts w:ascii="Times New Roman" w:hAnsi="Times New Roman" w:eastAsia="宋体"/>
          <w:i/>
          <w:iCs/>
          <w:color w:val="FF0000"/>
          <w:kern w:val="0"/>
          <w:szCs w:val="21"/>
          <w:lang w:bidi="ar"/>
        </w:rPr>
        <w:t>The Journal of Cognitive Systems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w:t>
      </w:r>
      <w:r>
        <w:rPr>
          <w:rFonts w:ascii="Times New Roman" w:hAnsi="Times New Roman" w:eastAsia="宋体"/>
          <w:color w:val="FF0000"/>
          <w:kern w:val="0"/>
          <w:szCs w:val="21"/>
          <w:lang w:bidi="ar"/>
        </w:rPr>
        <w:t>(1), 17–21. https://dergipark.org.tr/en/pub/jcs/issue/44276/570863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Amelot, L. M. M., Subadar Agathee, U., &amp; Sunecher, Y. (2020). Time series modelling, NARX neural network and hybrid KPCA–SVR approach to forecast the foreign exchange market in Mauritius. </w:t>
      </w:r>
      <w:r>
        <w:rPr>
          <w:rFonts w:ascii="Times New Roman" w:hAnsi="Times New Roman" w:eastAsia="宋体"/>
          <w:i/>
          <w:iCs/>
          <w:color w:val="FF0000"/>
          <w:kern w:val="0"/>
          <w:szCs w:val="21"/>
          <w:lang w:bidi="ar"/>
        </w:rPr>
        <w:t>African Journal of Economic and Management Studies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12</w:t>
      </w:r>
      <w:r>
        <w:rPr>
          <w:rFonts w:ascii="Times New Roman" w:hAnsi="Times New Roman" w:eastAsia="宋体"/>
          <w:color w:val="FF0000"/>
          <w:kern w:val="0"/>
          <w:szCs w:val="21"/>
          <w:lang w:bidi="ar"/>
        </w:rPr>
        <w:t>(1), 18–54. https://doi.org/10.1108/ajems-04-2019-0161</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shd w:val="clear" w:color="auto" w:fill="FFFFFF"/>
        </w:rPr>
      </w:pPr>
      <w:r>
        <w:rPr>
          <w:rFonts w:ascii="Times New Roman" w:hAnsi="Times New Roman" w:eastAsia="宋体"/>
          <w:color w:val="FF0000"/>
          <w:szCs w:val="21"/>
          <w:shd w:val="clear" w:color="auto" w:fill="FFFFFF"/>
          <w:lang w:bidi="ar"/>
        </w:rPr>
        <w:t xml:space="preserve">Aslan, M. F., Unlersen, M. F., Sabanci, K., &amp; Durdu, A. (2021). CNN-based transfer learning–BiLSTM network: A novel approach for COVID-19 infection detection. </w:t>
      </w:r>
      <w:r>
        <w:rPr>
          <w:rFonts w:ascii="Times New Roman" w:hAnsi="Times New Roman" w:eastAsia="宋体"/>
          <w:i/>
          <w:iCs/>
          <w:color w:val="FF0000"/>
          <w:szCs w:val="21"/>
          <w:lang w:bidi="ar"/>
        </w:rPr>
        <w:t>Applied Soft Computing</w:t>
      </w:r>
      <w:r>
        <w:rPr>
          <w:rFonts w:ascii="Times New Roman" w:hAnsi="Times New Roman" w:eastAsia="宋体"/>
          <w:color w:val="FF0000"/>
          <w:szCs w:val="21"/>
          <w:shd w:val="clear" w:color="auto" w:fill="FFFFFF"/>
          <w:lang w:bidi="ar"/>
        </w:rPr>
        <w:t xml:space="preserve">, </w:t>
      </w:r>
      <w:r>
        <w:rPr>
          <w:rFonts w:ascii="Times New Roman" w:hAnsi="Times New Roman" w:eastAsia="宋体"/>
          <w:i/>
          <w:iCs/>
          <w:color w:val="FF0000"/>
          <w:szCs w:val="21"/>
          <w:lang w:bidi="ar"/>
        </w:rPr>
        <w:t>98</w:t>
      </w:r>
      <w:r>
        <w:rPr>
          <w:rFonts w:ascii="Times New Roman" w:hAnsi="Times New Roman" w:eastAsia="宋体"/>
          <w:color w:val="FF0000"/>
          <w:szCs w:val="21"/>
          <w:shd w:val="clear" w:color="auto" w:fill="FFFFFF"/>
          <w:lang w:bidi="ar"/>
        </w:rPr>
        <w:t>, 106912.</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shd w:val="clear" w:color="auto" w:fill="FFFFFF"/>
        </w:rPr>
      </w:pPr>
      <w:r>
        <w:rPr>
          <w:rFonts w:ascii="Times New Roman" w:hAnsi="Times New Roman" w:eastAsia="宋体"/>
          <w:color w:val="FF0000"/>
          <w:szCs w:val="21"/>
          <w:shd w:val="clear" w:color="auto" w:fill="FFFFFF"/>
          <w:lang w:bidi="ar"/>
        </w:rPr>
        <w:t>Baffour, A. A., Feng, J., &amp; Taylor, E. K. (2019). A hybrid artificial neural network-GJR modeling approach to forecasting currency exchange rate volatility. Neurocomputing, 365, 285-301.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Beckmann, J., &amp; Czudaj, R. (2017). Exchange rate expectations and economic policy uncertainty. </w:t>
      </w:r>
      <w:r>
        <w:rPr>
          <w:rFonts w:ascii="Times New Roman" w:hAnsi="Times New Roman" w:eastAsia="宋体"/>
          <w:i/>
          <w:iCs/>
          <w:color w:val="FF0000"/>
          <w:kern w:val="0"/>
          <w:szCs w:val="21"/>
          <w:lang w:bidi="ar"/>
        </w:rPr>
        <w:t>European Journal of Political Economy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47</w:t>
      </w:r>
      <w:r>
        <w:rPr>
          <w:rFonts w:ascii="Times New Roman" w:hAnsi="Times New Roman" w:eastAsia="宋体"/>
          <w:color w:val="FF0000"/>
          <w:kern w:val="0"/>
          <w:szCs w:val="21"/>
          <w:lang w:bidi="ar"/>
        </w:rPr>
        <w:t>, 148–162. https://doi.org/10.1016/j.ejpoleco.2016.06.003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Beckmann, J., &amp; Schüssler, R. (2016). Forecasting exchange rates under parameter and model uncertainty. </w:t>
      </w:r>
      <w:r>
        <w:rPr>
          <w:rFonts w:ascii="Times New Roman" w:hAnsi="Times New Roman" w:eastAsia="宋体"/>
          <w:i/>
          <w:iCs/>
          <w:color w:val="FF0000"/>
          <w:kern w:val="0"/>
          <w:szCs w:val="21"/>
          <w:lang w:bidi="ar"/>
        </w:rPr>
        <w:t>Journal of International Money and Finance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60</w:t>
      </w:r>
      <w:r>
        <w:rPr>
          <w:rFonts w:ascii="Times New Roman" w:hAnsi="Times New Roman" w:eastAsia="宋体"/>
          <w:color w:val="FF0000"/>
          <w:kern w:val="0"/>
          <w:szCs w:val="21"/>
          <w:lang w:bidi="ar"/>
        </w:rPr>
        <w:t>, 267–288. https://doi.org/10.1016/j.jimonfin.2015.07.001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Brownlees, C. T., &amp; Gallo, G. M. (2009). Comparison of Volatility Measures: a Risk Management Perspective. </w:t>
      </w:r>
      <w:r>
        <w:rPr>
          <w:rFonts w:ascii="Times New Roman" w:hAnsi="Times New Roman" w:eastAsia="宋体"/>
          <w:i/>
          <w:iCs/>
          <w:color w:val="FF0000"/>
          <w:kern w:val="0"/>
          <w:szCs w:val="21"/>
          <w:lang w:bidi="ar"/>
        </w:rPr>
        <w:t>Journal of Financial Econometrics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w:t>
      </w:r>
      <w:r>
        <w:rPr>
          <w:rFonts w:ascii="Times New Roman" w:hAnsi="Times New Roman" w:eastAsia="宋体"/>
          <w:color w:val="FF0000"/>
          <w:kern w:val="0"/>
          <w:szCs w:val="21"/>
          <w:lang w:bidi="ar"/>
        </w:rPr>
        <w:t>(1), 29–56. https://doi.org/10.1093/jjfinec/nbp009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Bulut, L. (2017). Google Trends and the forecasting performance of exchange rate models. </w:t>
      </w:r>
      <w:r>
        <w:rPr>
          <w:rFonts w:ascii="Times New Roman" w:hAnsi="Times New Roman" w:eastAsia="宋体"/>
          <w:i/>
          <w:iCs/>
          <w:color w:val="FF0000"/>
          <w:kern w:val="0"/>
          <w:szCs w:val="21"/>
          <w:lang w:bidi="ar"/>
        </w:rPr>
        <w:t>Journal of Forecasting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37</w:t>
      </w:r>
      <w:r>
        <w:rPr>
          <w:rFonts w:ascii="Times New Roman" w:hAnsi="Times New Roman" w:eastAsia="宋体"/>
          <w:color w:val="FF0000"/>
          <w:kern w:val="0"/>
          <w:szCs w:val="21"/>
          <w:lang w:bidi="ar"/>
        </w:rPr>
        <w:t>(3), 303–315. https://doi.org/10.1002/for.2500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Bulut, L. (2018). Google Trends and the forecasting performance of exchange rate models. Journal of Forecasting, 37(3), 303-315.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Ca’ Zorzi, M., Kolasa, M., &amp; Rubaszek, M. (2017). Exchange rate forecasting with DSGE models. </w:t>
      </w:r>
      <w:r>
        <w:rPr>
          <w:rFonts w:ascii="Times New Roman" w:hAnsi="Times New Roman" w:eastAsia="宋体"/>
          <w:i/>
          <w:iCs/>
          <w:color w:val="FF0000"/>
          <w:kern w:val="0"/>
          <w:szCs w:val="21"/>
          <w:lang w:bidi="ar"/>
        </w:rPr>
        <w:t>Journal of International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107</w:t>
      </w:r>
      <w:r>
        <w:rPr>
          <w:rFonts w:ascii="Times New Roman" w:hAnsi="Times New Roman" w:eastAsia="宋体"/>
          <w:color w:val="FF0000"/>
          <w:kern w:val="0"/>
          <w:szCs w:val="21"/>
          <w:lang w:bidi="ar"/>
        </w:rPr>
        <w:t>, 127–146. https://doi.org/10.1016/j.jinteco.2017.03.011</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rPr>
      </w:pPr>
      <w:r>
        <w:rPr>
          <w:rFonts w:ascii="Times New Roman" w:hAnsi="Times New Roman" w:eastAsia="宋体"/>
          <w:color w:val="FF0000"/>
          <w:szCs w:val="21"/>
          <w:lang w:bidi="ar"/>
        </w:rPr>
        <w:t>Cashin, P., Céspedes, L. F., &amp; Sahay, R. (2004). Commodity currencies and the real exchange rate. Journal of Development Economics, 75(1), 239-268.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Chaudhuri, T. D., &amp; Ghosh, I. (2016, July 3). </w:t>
      </w:r>
      <w:r>
        <w:rPr>
          <w:rFonts w:ascii="Times New Roman" w:hAnsi="Times New Roman" w:eastAsia="宋体"/>
          <w:i/>
          <w:iCs/>
          <w:color w:val="FF0000"/>
          <w:kern w:val="0"/>
          <w:szCs w:val="21"/>
          <w:lang w:bidi="ar"/>
        </w:rPr>
        <w:t>Artificial Neural Network and Time Series Modeling Based Approach to Forecasting the Exchange Rate in a Multivariate Framework</w:t>
      </w:r>
      <w:r>
        <w:rPr>
          <w:rFonts w:ascii="Times New Roman" w:hAnsi="Times New Roman" w:eastAsia="宋体"/>
          <w:color w:val="FF0000"/>
          <w:kern w:val="0"/>
          <w:szCs w:val="21"/>
          <w:lang w:bidi="ar"/>
        </w:rPr>
        <w:t>. ArXiv.org. https://doi.org/10.48550/arXiv.1607.02093</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Chen, H. L., Wang, G., Ma, C., Cai, Z. N., Liu, W. B., &amp; Wang, S. J. (2016). An efficient hybrid kernel extreme learning machine approach for early diagnosis of Parkinson׳ s disease.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184</w:t>
      </w:r>
      <w:r>
        <w:rPr>
          <w:rFonts w:ascii="Times New Roman" w:hAnsi="Times New Roman" w:eastAsia="宋体" w:cs="Times New Roman"/>
          <w:color w:val="FF0000"/>
          <w:szCs w:val="21"/>
          <w:shd w:val="clear" w:color="auto" w:fill="FFFFFF"/>
          <w:lang w:bidi="ar"/>
        </w:rPr>
        <w:t>, 131-144.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Chen, L., Du, Z., &amp; Hu, Z. (2019). Impact of economic policy uncertainty on exchange rate volatility of China.</w:t>
      </w:r>
      <w:r>
        <w:rPr>
          <w:rFonts w:ascii="Times New Roman" w:hAnsi="Times New Roman" w:eastAsia="宋体" w:cs="Times New Roman"/>
          <w:i/>
          <w:iCs/>
          <w:color w:val="FF0000"/>
          <w:szCs w:val="21"/>
          <w:shd w:val="clear" w:color="auto" w:fill="FFFFFF"/>
          <w:lang w:bidi="ar"/>
        </w:rPr>
        <w:t xml:space="preserve"> Finance Research Letters</w:t>
      </w:r>
      <w:r>
        <w:rPr>
          <w:rFonts w:ascii="Times New Roman" w:hAnsi="Times New Roman" w:eastAsia="宋体" w:cs="Times New Roman"/>
          <w:color w:val="FF0000"/>
          <w:szCs w:val="21"/>
          <w:shd w:val="clear" w:color="auto" w:fill="FFFFFF"/>
          <w:lang w:bidi="ar"/>
        </w:rPr>
        <w:t>. https://doi.org/10.1016/j.frl.2019.08.014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Chen, T., Xu, R., He, Y., &amp; Wang, X. (2017). Improving sentiment analysis via sentence type classification using BiLSTM-CRF and CNN. </w:t>
      </w:r>
      <w:r>
        <w:rPr>
          <w:rFonts w:ascii="Times New Roman" w:hAnsi="Times New Roman" w:eastAsia="宋体"/>
          <w:i/>
          <w:iCs/>
          <w:color w:val="FF0000"/>
          <w:kern w:val="0"/>
          <w:szCs w:val="21"/>
          <w:lang w:bidi="ar"/>
        </w:rPr>
        <w:t>Expert Systems with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72</w:t>
      </w:r>
      <w:r>
        <w:rPr>
          <w:rFonts w:ascii="Times New Roman" w:hAnsi="Times New Roman" w:eastAsia="宋体"/>
          <w:color w:val="FF0000"/>
          <w:kern w:val="0"/>
          <w:szCs w:val="21"/>
          <w:lang w:bidi="ar"/>
        </w:rPr>
        <w:t>, 221–230. https://doi.org/10.1016/j.eswa.2016.10.065</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Chen, T., Xu, R., He, Y., &amp; Wang, X. (2017). Improving sentiment analysis via sentence type classification using BiLSTM-CRF and CNN. </w:t>
      </w:r>
      <w:r>
        <w:rPr>
          <w:rFonts w:ascii="Times New Roman" w:hAnsi="Times New Roman" w:eastAsia="宋体" w:cs="Times New Roman"/>
          <w:i/>
          <w:iCs/>
          <w:color w:val="FF0000"/>
          <w:szCs w:val="21"/>
          <w:lang w:bidi="ar"/>
        </w:rPr>
        <w:t>Expert Systems with Applications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72</w:t>
      </w:r>
      <w:r>
        <w:rPr>
          <w:rFonts w:ascii="Times New Roman" w:hAnsi="Times New Roman" w:eastAsia="宋体" w:cs="Times New Roman"/>
          <w:color w:val="FF0000"/>
          <w:szCs w:val="21"/>
          <w:shd w:val="clear" w:color="auto" w:fill="FFFFFF"/>
          <w:lang w:bidi="ar"/>
        </w:rPr>
        <w:t>, 221-230.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Cortes, C., &amp; Vapnik, V. (1995). Support-vector networks. </w:t>
      </w:r>
      <w:r>
        <w:rPr>
          <w:rFonts w:ascii="Times New Roman" w:hAnsi="Times New Roman" w:eastAsia="宋体" w:cs="Times New Roman"/>
          <w:i/>
          <w:iCs/>
          <w:color w:val="FF0000"/>
          <w:szCs w:val="21"/>
          <w:lang w:bidi="ar"/>
        </w:rPr>
        <w:t>Machine learning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20</w:t>
      </w:r>
      <w:r>
        <w:rPr>
          <w:rFonts w:ascii="Times New Roman" w:hAnsi="Times New Roman" w:eastAsia="宋体" w:cs="Times New Roman"/>
          <w:color w:val="FF0000"/>
          <w:szCs w:val="21"/>
          <w:shd w:val="clear" w:color="auto" w:fill="FFFFFF"/>
          <w:lang w:bidi="ar"/>
        </w:rPr>
        <w:t>(3), 273-297.</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Datta, R. K., Sajid, S. W., Moon, M. H., &amp; Abedin, M. Z. (2021). Foreign Currency Exchange Rate Prediction Using Bidirectional Long Short Term Memory. Studies in Computational Intelligence, 213–227. https://doi.org/10.1007/978-3-030-73057-4_17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Dautel, A. J., Härdle, W. K., Lessmann, S., &amp; Seow, H.-V. (2020). Forex exchange rate forecasting using deep recurrent neural networks. </w:t>
      </w:r>
      <w:r>
        <w:rPr>
          <w:rFonts w:ascii="Times New Roman" w:hAnsi="Times New Roman" w:eastAsia="宋体"/>
          <w:i/>
          <w:iCs/>
          <w:color w:val="FF0000"/>
          <w:kern w:val="0"/>
          <w:szCs w:val="21"/>
          <w:lang w:bidi="ar"/>
        </w:rPr>
        <w:t>Digital Finance</w:t>
      </w:r>
      <w:r>
        <w:rPr>
          <w:rFonts w:ascii="Times New Roman" w:hAnsi="Times New Roman" w:eastAsia="宋体"/>
          <w:color w:val="FF0000"/>
          <w:kern w:val="0"/>
          <w:szCs w:val="21"/>
          <w:lang w:bidi="ar"/>
        </w:rPr>
        <w:t>. https://doi.org/10.1007/s42521-020-00019-x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S., Xu, X., &amp; Nie, R. (2014). Extreme learning machine and its applications. </w:t>
      </w:r>
      <w:r>
        <w:rPr>
          <w:rFonts w:ascii="Times New Roman" w:hAnsi="Times New Roman" w:eastAsia="宋体" w:cs="Times New Roman"/>
          <w:i/>
          <w:iCs/>
          <w:color w:val="FF0000"/>
          <w:szCs w:val="21"/>
          <w:lang w:bidi="ar"/>
        </w:rPr>
        <w:t>Neural Computing and Applications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25</w:t>
      </w:r>
      <w:r>
        <w:rPr>
          <w:rFonts w:ascii="Times New Roman" w:hAnsi="Times New Roman" w:eastAsia="宋体" w:cs="Times New Roman"/>
          <w:color w:val="FF0000"/>
          <w:szCs w:val="21"/>
          <w:shd w:val="clear" w:color="auto" w:fill="FFFFFF"/>
          <w:lang w:bidi="ar"/>
        </w:rPr>
        <w:t>(3), 549-556.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S., Zhao, H., Zhang, Y., Xu, X., &amp; Nie, R. (2015). Extreme learning machine: algorithm, theory and applications. </w:t>
      </w:r>
      <w:r>
        <w:rPr>
          <w:rFonts w:ascii="Times New Roman" w:hAnsi="Times New Roman" w:eastAsia="宋体" w:cs="Times New Roman"/>
          <w:i/>
          <w:iCs/>
          <w:color w:val="FF0000"/>
          <w:szCs w:val="21"/>
          <w:lang w:bidi="ar"/>
        </w:rPr>
        <w:t>Artificial Intelligence Review</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44</w:t>
      </w:r>
      <w:r>
        <w:rPr>
          <w:rFonts w:ascii="Times New Roman" w:hAnsi="Times New Roman" w:eastAsia="宋体" w:cs="Times New Roman"/>
          <w:color w:val="FF0000"/>
          <w:szCs w:val="21"/>
          <w:shd w:val="clear" w:color="auto" w:fill="FFFFFF"/>
          <w:lang w:bidi="ar"/>
        </w:rPr>
        <w:t>(1), 103-115.</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X., Liu, J., Yang, F., &amp; Cao, J. (2021). Random radial basis function kernel-based support vector machine. </w:t>
      </w:r>
      <w:r>
        <w:rPr>
          <w:rFonts w:ascii="Times New Roman" w:hAnsi="Times New Roman" w:eastAsia="宋体" w:cs="Times New Roman"/>
          <w:i/>
          <w:iCs/>
          <w:color w:val="FF0000"/>
          <w:szCs w:val="21"/>
          <w:lang w:bidi="ar"/>
        </w:rPr>
        <w:t>Journal of the Franklin Institute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358</w:t>
      </w:r>
      <w:r>
        <w:rPr>
          <w:rFonts w:ascii="Times New Roman" w:hAnsi="Times New Roman" w:eastAsia="宋体" w:cs="Times New Roman"/>
          <w:color w:val="FF0000"/>
          <w:szCs w:val="21"/>
          <w:shd w:val="clear" w:color="auto" w:fill="FFFFFF"/>
          <w:lang w:bidi="ar"/>
        </w:rPr>
        <w:t>(18), 10121-10140.</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Economic Policy Uncertainty Index. (2012). Policyuncertainty.com. https://www.policyuncertainty.com/</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Epaphra, M. (2017). Modeling Exchange Rate Volatility: Application of the GARCH and EGARCH Models. </w:t>
      </w:r>
      <w:r>
        <w:rPr>
          <w:rFonts w:ascii="Times New Roman" w:hAnsi="Times New Roman" w:eastAsia="宋体"/>
          <w:i/>
          <w:iCs/>
          <w:color w:val="FF0000"/>
          <w:kern w:val="0"/>
          <w:szCs w:val="21"/>
          <w:lang w:bidi="ar"/>
        </w:rPr>
        <w:t>Journal of Mathematical Finance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07</w:t>
      </w:r>
      <w:r>
        <w:rPr>
          <w:rFonts w:ascii="Times New Roman" w:hAnsi="Times New Roman" w:eastAsia="宋体"/>
          <w:color w:val="FF0000"/>
          <w:kern w:val="0"/>
          <w:szCs w:val="21"/>
          <w:lang w:bidi="ar"/>
        </w:rPr>
        <w:t>(01), 121–143. https://doi.org/10.4236/jmf.2017.71007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Fu, S., Li, Y., Sun, S., &amp; Li, H. (2019). Evolutionary support vector machine for RMB exchange rate forecasting. </w:t>
      </w:r>
      <w:r>
        <w:rPr>
          <w:rFonts w:ascii="Times New Roman" w:hAnsi="Times New Roman" w:eastAsia="宋体"/>
          <w:i/>
          <w:iCs/>
          <w:color w:val="FF0000"/>
          <w:kern w:val="0"/>
          <w:szCs w:val="21"/>
          <w:lang w:bidi="ar"/>
        </w:rPr>
        <w:t>Physica A: Statistical Mechanics and Its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521</w:t>
      </w:r>
      <w:r>
        <w:rPr>
          <w:rFonts w:ascii="Times New Roman" w:hAnsi="Times New Roman" w:eastAsia="宋体"/>
          <w:color w:val="FF0000"/>
          <w:kern w:val="0"/>
          <w:szCs w:val="21"/>
          <w:lang w:bidi="ar"/>
        </w:rPr>
        <w:t>, 692–704. https://doi.org/10.1016/j.physa.2019.01.026</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Hameed, Z., &amp; Garcia-Zapirain, B. (2020). Sentiment classification using a single-layered BiLSTM model. </w:t>
      </w:r>
      <w:r>
        <w:rPr>
          <w:rFonts w:ascii="Times New Roman" w:hAnsi="Times New Roman" w:eastAsia="PMingLiU"/>
          <w:i/>
          <w:iCs/>
          <w:color w:val="FF0000"/>
          <w:kern w:val="0"/>
          <w:szCs w:val="21"/>
          <w:lang w:bidi="ar"/>
        </w:rPr>
        <w:t>IEEE Access</w:t>
      </w:r>
      <w:r>
        <w:rPr>
          <w:rFonts w:ascii="Times New Roman" w:hAnsi="Times New Roman" w:eastAsia="PMingLiU"/>
          <w:color w:val="FF0000"/>
          <w:kern w:val="0"/>
          <w:szCs w:val="21"/>
          <w:shd w:val="clear" w:color="auto" w:fill="FFFFFF"/>
          <w:lang w:bidi="ar"/>
        </w:rPr>
        <w:t xml:space="preserve">, </w:t>
      </w:r>
      <w:r>
        <w:rPr>
          <w:rFonts w:ascii="Times New Roman" w:hAnsi="Times New Roman" w:eastAsia="PMingLiU"/>
          <w:i/>
          <w:iCs/>
          <w:color w:val="FF0000"/>
          <w:kern w:val="0"/>
          <w:szCs w:val="21"/>
          <w:lang w:bidi="ar"/>
        </w:rPr>
        <w:t>8</w:t>
      </w:r>
      <w:r>
        <w:rPr>
          <w:rFonts w:ascii="Times New Roman" w:hAnsi="Times New Roman" w:eastAsia="PMingLiU"/>
          <w:color w:val="FF0000"/>
          <w:kern w:val="0"/>
          <w:szCs w:val="21"/>
          <w:shd w:val="clear" w:color="auto" w:fill="FFFFFF"/>
          <w:lang w:bidi="ar"/>
        </w:rPr>
        <w:t>, 73992-74001.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Heiden, S., Klein, C., &amp; Zwergel, B. (2013). Beyond Fundamentals: Investor Sentiment and Exchange Rate Forecasting. </w:t>
      </w:r>
      <w:r>
        <w:rPr>
          <w:rFonts w:ascii="Times New Roman" w:hAnsi="Times New Roman" w:eastAsia="宋体"/>
          <w:i/>
          <w:iCs/>
          <w:color w:val="FF0000"/>
          <w:kern w:val="0"/>
          <w:szCs w:val="21"/>
          <w:lang w:bidi="ar"/>
        </w:rPr>
        <w:t>European Financial Management</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19</w:t>
      </w:r>
      <w:r>
        <w:rPr>
          <w:rFonts w:ascii="Times New Roman" w:hAnsi="Times New Roman" w:eastAsia="宋体"/>
          <w:color w:val="FF0000"/>
          <w:kern w:val="0"/>
          <w:szCs w:val="21"/>
          <w:lang w:bidi="ar"/>
        </w:rPr>
        <w:t>(3), 558–578. https://doi.org/10.1111/j.1468-036x.2010.00593.x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Henríquez, J., &amp; Kristjanpoller, W. (2019). A combined Independent Component Analysis–Neural Network model for forecasting exchange rate variation. Applied Soft Computing, 83, 105654.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Hochreiter, S., &amp; Schmidhuber, J. (1997). Long short-term memory. </w:t>
      </w:r>
      <w:r>
        <w:rPr>
          <w:rFonts w:ascii="Times New Roman" w:hAnsi="Times New Roman" w:eastAsia="宋体" w:cs="Times New Roman"/>
          <w:i/>
          <w:iCs/>
          <w:color w:val="FF0000"/>
          <w:szCs w:val="21"/>
          <w:lang w:bidi="ar"/>
        </w:rPr>
        <w:t>Neural computation</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9</w:t>
      </w:r>
      <w:r>
        <w:rPr>
          <w:rFonts w:ascii="Times New Roman" w:hAnsi="Times New Roman" w:eastAsia="宋体" w:cs="Times New Roman"/>
          <w:color w:val="FF0000"/>
          <w:szCs w:val="21"/>
          <w:shd w:val="clear" w:color="auto" w:fill="FFFFFF"/>
          <w:lang w:bidi="ar"/>
        </w:rPr>
        <w:t>(8), 1735-1780.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Huang, G. B., Zhu, Q. Y., &amp; Siew, C. K. (2006). Extreme learning machine: theory and applications.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70</w:t>
      </w:r>
      <w:r>
        <w:rPr>
          <w:rFonts w:ascii="Times New Roman" w:hAnsi="Times New Roman" w:eastAsia="宋体" w:cs="Times New Roman"/>
          <w:color w:val="FF0000"/>
          <w:szCs w:val="21"/>
          <w:shd w:val="clear" w:color="auto" w:fill="FFFFFF"/>
          <w:lang w:bidi="ar"/>
        </w:rPr>
        <w:t>(1-3), 489-501.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Huang, W., Lai, K. K., Nakamori, Y., &amp; WANG, S. (2004). Forecasting Foreign Exchange Rates with Artificial Neural Networks: A Review. </w:t>
      </w:r>
      <w:r>
        <w:rPr>
          <w:rFonts w:ascii="Times New Roman" w:hAnsi="Times New Roman" w:eastAsia="宋体"/>
          <w:i/>
          <w:iCs/>
          <w:color w:val="FF0000"/>
          <w:kern w:val="0"/>
          <w:szCs w:val="21"/>
          <w:lang w:bidi="ar"/>
        </w:rPr>
        <w:t>International Journal of Information Technology &amp; Decision Making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03</w:t>
      </w:r>
      <w:r>
        <w:rPr>
          <w:rFonts w:ascii="Times New Roman" w:hAnsi="Times New Roman" w:eastAsia="宋体"/>
          <w:color w:val="FF0000"/>
          <w:kern w:val="0"/>
          <w:szCs w:val="21"/>
          <w:lang w:bidi="ar"/>
        </w:rPr>
        <w:t>(01), 145–165. https://doi.org/10.1142/s0219622004000969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Huang, W., Lai, K. keung, Nakamori, Y., Wang, S., &amp; Yu, L. (2007). Neural Networks in Finance and Economics Forecasting. </w:t>
      </w:r>
      <w:r>
        <w:rPr>
          <w:rFonts w:ascii="Times New Roman" w:hAnsi="Times New Roman" w:eastAsia="宋体"/>
          <w:i/>
          <w:iCs/>
          <w:color w:val="FF0000"/>
          <w:kern w:val="0"/>
          <w:szCs w:val="21"/>
          <w:lang w:bidi="ar"/>
        </w:rPr>
        <w:t>International Journal of Information Technology &amp; Decision Making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06</w:t>
      </w:r>
      <w:r>
        <w:rPr>
          <w:rFonts w:ascii="Times New Roman" w:hAnsi="Times New Roman" w:eastAsia="宋体"/>
          <w:color w:val="FF0000"/>
          <w:kern w:val="0"/>
          <w:szCs w:val="21"/>
          <w:lang w:bidi="ar"/>
        </w:rPr>
        <w:t>(01), 113–140. https://doi.org/10.1142/s021962200700237x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Iosifidis, A., Tefas, A., &amp; Pitas, I. (2015). On the kernel extreme learning machine classifier. </w:t>
      </w:r>
      <w:r>
        <w:rPr>
          <w:rFonts w:ascii="Times New Roman" w:hAnsi="Times New Roman" w:eastAsia="宋体" w:cs="Times New Roman"/>
          <w:i/>
          <w:iCs/>
          <w:color w:val="FF0000"/>
          <w:szCs w:val="21"/>
          <w:lang w:bidi="ar"/>
        </w:rPr>
        <w:t>Pattern Recognition Letters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54</w:t>
      </w:r>
      <w:r>
        <w:rPr>
          <w:rFonts w:ascii="Times New Roman" w:hAnsi="Times New Roman" w:eastAsia="宋体" w:cs="Times New Roman"/>
          <w:color w:val="FF0000"/>
          <w:szCs w:val="21"/>
          <w:shd w:val="clear" w:color="auto" w:fill="FFFFFF"/>
          <w:lang w:bidi="ar"/>
        </w:rPr>
        <w:t>, 11-17.</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Islam, M. S., &amp; Hossain, E. (2020). Foreign exchange currency rate prediction using a GRU-LSTM hybrid network. Soft Computing Letters, 100009.</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Jain, A., &amp; Biswal, P. C. (2016). Dynamic linkages among oil price, gold price, exchange rate, and the stock market in India. Resources Policy, 49, 179-185.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Kaushik, M., &amp; Giri, A. K. (2020, February 19). </w:t>
      </w:r>
      <w:r>
        <w:rPr>
          <w:rFonts w:ascii="Times New Roman" w:hAnsi="Times New Roman" w:eastAsia="宋体"/>
          <w:i/>
          <w:iCs/>
          <w:color w:val="FF0000"/>
          <w:kern w:val="0"/>
          <w:szCs w:val="21"/>
          <w:lang w:bidi="ar"/>
        </w:rPr>
        <w:t>Forecasting Foreign Exchange Rate: A Multivariate Comparative Analysis between Traditional Econometric, Contemporary Machine Learning &amp; Deep Learning Techniques</w:t>
      </w:r>
      <w:r>
        <w:rPr>
          <w:rFonts w:ascii="Times New Roman" w:hAnsi="Times New Roman" w:eastAsia="宋体"/>
          <w:color w:val="FF0000"/>
          <w:kern w:val="0"/>
          <w:szCs w:val="21"/>
          <w:lang w:bidi="ar"/>
        </w:rPr>
        <w:t>. ArXiv.org. https://doi.org/10.48550/arXiv.2002.10247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Khashei, M., Ali Montazeri, M., &amp; Bijari, M. (2015). Comparison of Four Interval ARIMA-base Time Series Methods for Exchange Rate Forecasting. </w:t>
      </w:r>
      <w:r>
        <w:rPr>
          <w:rFonts w:ascii="Times New Roman" w:hAnsi="Times New Roman" w:eastAsia="宋体"/>
          <w:i/>
          <w:iCs/>
          <w:color w:val="FF0000"/>
          <w:kern w:val="0"/>
          <w:szCs w:val="21"/>
          <w:lang w:bidi="ar"/>
        </w:rPr>
        <w:t>International Journal of Mathematical Sciences and Computing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w:t>
      </w:r>
      <w:r>
        <w:rPr>
          <w:rFonts w:ascii="Times New Roman" w:hAnsi="Times New Roman" w:eastAsia="宋体"/>
          <w:color w:val="FF0000"/>
          <w:kern w:val="0"/>
          <w:szCs w:val="21"/>
          <w:lang w:bidi="ar"/>
        </w:rPr>
        <w:t>(1), 21–34. https://doi.org/10.5815/ijmsc.2015.01.03</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rPr>
      </w:pPr>
      <w:r>
        <w:rPr>
          <w:rFonts w:ascii="Times New Roman" w:hAnsi="Times New Roman" w:eastAsia="宋体"/>
          <w:color w:val="FF0000"/>
          <w:szCs w:val="21"/>
          <w:lang w:bidi="ar"/>
        </w:rPr>
        <w:t>Kim, Y., &amp; Park, C. (2020). Are exchange rates disconnected from macroeconomic variables? Evidence from the factor approach. Empirical Economics, 58(4), 1713-1747.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Kulshrestha, A., Krishnaswamy, V., &amp; Sharma, M. (2020). Bayesian BILSTM approach for tourism demand forecasting. </w:t>
      </w:r>
      <w:r>
        <w:rPr>
          <w:rFonts w:ascii="Times New Roman" w:hAnsi="Times New Roman" w:eastAsia="宋体"/>
          <w:i/>
          <w:iCs/>
          <w:color w:val="FF0000"/>
          <w:kern w:val="0"/>
          <w:szCs w:val="21"/>
          <w:lang w:bidi="ar"/>
        </w:rPr>
        <w:t>Annals of Tourism Research</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83</w:t>
      </w:r>
      <w:r>
        <w:rPr>
          <w:rFonts w:ascii="Times New Roman" w:hAnsi="Times New Roman" w:eastAsia="宋体"/>
          <w:color w:val="FF0000"/>
          <w:kern w:val="0"/>
          <w:szCs w:val="21"/>
          <w:lang w:bidi="ar"/>
        </w:rPr>
        <w:t>, 102925. https://doi.org/10.1016/j.annals.2020.102925</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Lilley, A., &amp; Rinaldi, G. (2018, October 8). Currency Betas and Interest Rate Spreads. Papers.ssrn.com. https://ssrn.com/abstract=3262313</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Lilley, A., Maggiori, M., Neiman, B., &amp; Schreger, J. (2020). Exchange Rate Reconnect. The Review of Economics and Statistics, 1–28. https://doi.org/10.1162/rest_a_00978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Lin, Y., Wang, R., Gong, X., &amp; Jia, G. (2022). Cross-correlation and forecast impact of public attention on USD/CNY exchange rate: Evidence from Baidu Index. </w:t>
      </w:r>
      <w:r>
        <w:rPr>
          <w:rFonts w:ascii="Times New Roman" w:hAnsi="Times New Roman" w:eastAsia="宋体"/>
          <w:i/>
          <w:iCs/>
          <w:color w:val="FF0000"/>
          <w:kern w:val="0"/>
          <w:szCs w:val="21"/>
          <w:lang w:bidi="ar"/>
        </w:rPr>
        <w:t>Physica A: Statistical Mechanics and Its Applications</w:t>
      </w:r>
      <w:r>
        <w:rPr>
          <w:rFonts w:ascii="Times New Roman" w:hAnsi="Times New Roman" w:eastAsia="宋体"/>
          <w:color w:val="FF0000"/>
          <w:kern w:val="0"/>
          <w:szCs w:val="21"/>
          <w:lang w:bidi="ar"/>
        </w:rPr>
        <w:t>, 127686. https://doi.org/10.1016/j.physa.2022.127686</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Lin, Y., Wang, R., Gong, X., &amp; Jia, G. (2022). Cross-correlation and forecast impact of public attention on USD/CNY exchange rate: Evidence from Baidu Index. Physica A: Statistical Mechanics and Its Applications, 127686. https://doi.org/10.1016/j.physa.2022.127686</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Liu, P., Wang, Z., Liu, D., Wang, J., &amp; Wang, T. (2023). A CNN-STLSTM-AM model for forecasting USD/RMB exchange rate. </w:t>
      </w:r>
      <w:r>
        <w:rPr>
          <w:rFonts w:ascii="Times New Roman" w:hAnsi="Times New Roman" w:eastAsia="宋体"/>
          <w:i/>
          <w:iCs/>
          <w:color w:val="FF0000"/>
          <w:kern w:val="0"/>
          <w:szCs w:val="21"/>
          <w:lang w:bidi="ar"/>
        </w:rPr>
        <w:t>Journal of Engineering Research</w:t>
      </w:r>
      <w:r>
        <w:rPr>
          <w:rFonts w:ascii="Times New Roman" w:hAnsi="Times New Roman" w:eastAsia="宋体"/>
          <w:color w:val="FF0000"/>
          <w:kern w:val="0"/>
          <w:szCs w:val="21"/>
          <w:lang w:bidi="ar"/>
        </w:rPr>
        <w:t>, 100079–100079. https://doi.org/10.1016/j.jer.2023.100079</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Liu, X., Wang, L., Huang, G. B., Zhang, J., &amp; Yin, J. (2015). Multiple kernel extreme learning machine.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149</w:t>
      </w:r>
      <w:r>
        <w:rPr>
          <w:rFonts w:ascii="Times New Roman" w:hAnsi="Times New Roman" w:eastAsia="宋体" w:cs="Times New Roman"/>
          <w:color w:val="FF0000"/>
          <w:szCs w:val="21"/>
          <w:shd w:val="clear" w:color="auto" w:fill="FFFFFF"/>
          <w:lang w:bidi="ar"/>
        </w:rPr>
        <w:t>, 253-264.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Lu, W., Li, J., Wang, J., &amp; Qin, L. (2020). A CNN-BiLSTM-AM method for stock price prediction. </w:t>
      </w:r>
      <w:r>
        <w:rPr>
          <w:rFonts w:ascii="Times New Roman" w:hAnsi="Times New Roman" w:eastAsia="宋体"/>
          <w:i/>
          <w:iCs/>
          <w:color w:val="FF0000"/>
          <w:kern w:val="0"/>
          <w:szCs w:val="21"/>
          <w:lang w:bidi="ar"/>
        </w:rPr>
        <w:t>Neural Computing and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33</w:t>
      </w:r>
      <w:r>
        <w:rPr>
          <w:rFonts w:ascii="Times New Roman" w:hAnsi="Times New Roman" w:eastAsia="宋体"/>
          <w:color w:val="FF0000"/>
          <w:kern w:val="0"/>
          <w:szCs w:val="21"/>
          <w:lang w:bidi="ar"/>
        </w:rPr>
        <w:t>(10), 4741–4753. https://doi.org/10.1007/s00521-020-05532-z</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Lu, X., Li, J., Zhou, Y., &amp; Qian, Y. (2017). Cross-correlations between RMB exchange rate and international commodity markets. </w:t>
      </w:r>
      <w:r>
        <w:rPr>
          <w:rFonts w:ascii="Times New Roman" w:hAnsi="Times New Roman" w:eastAsia="宋体" w:cs="Times New Roman"/>
          <w:i/>
          <w:iCs/>
          <w:color w:val="FF0000"/>
          <w:szCs w:val="21"/>
          <w:shd w:val="clear" w:color="auto" w:fill="FFFFFF"/>
          <w:lang w:bidi="ar"/>
        </w:rPr>
        <w:t>Physica A: Statistical Mechanics and its Applications</w:t>
      </w:r>
      <w:r>
        <w:rPr>
          <w:rFonts w:ascii="Times New Roman" w:hAnsi="Times New Roman" w:eastAsia="宋体" w:cs="Times New Roman"/>
          <w:color w:val="FF0000"/>
          <w:szCs w:val="21"/>
          <w:shd w:val="clear" w:color="auto" w:fill="FFFFFF"/>
          <w:lang w:bidi="ar"/>
        </w:rPr>
        <w:t>, 486, 168-182.</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Lv, L., Wang, W., Zhang, Z., &amp; Liu, X. (2020). A novel intrusion detection system based on an optimal hybrid kernel extreme learning machine. </w:t>
      </w:r>
      <w:r>
        <w:rPr>
          <w:rFonts w:ascii="Times New Roman" w:hAnsi="Times New Roman" w:eastAsia="宋体" w:cs="Times New Roman"/>
          <w:i/>
          <w:iCs/>
          <w:color w:val="FF0000"/>
          <w:szCs w:val="21"/>
          <w:lang w:bidi="ar"/>
        </w:rPr>
        <w:t>Knowledge-based systems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195</w:t>
      </w:r>
      <w:r>
        <w:rPr>
          <w:rFonts w:ascii="Times New Roman" w:hAnsi="Times New Roman" w:eastAsia="宋体" w:cs="Times New Roman"/>
          <w:color w:val="FF0000"/>
          <w:szCs w:val="21"/>
          <w:shd w:val="clear" w:color="auto" w:fill="FFFFFF"/>
          <w:lang w:bidi="ar"/>
        </w:rPr>
        <w:t>, 105648.</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Madheswaran, M., &amp; Dhas, D. A. S. (2015). Classification of brain MRI images using support vector machine with various Kernels. </w:t>
      </w:r>
      <w:r>
        <w:rPr>
          <w:rFonts w:ascii="Times New Roman" w:hAnsi="Times New Roman" w:eastAsia="宋体" w:cs="Times New Roman"/>
          <w:i/>
          <w:iCs/>
          <w:color w:val="FF0000"/>
          <w:szCs w:val="21"/>
          <w:lang w:bidi="ar"/>
        </w:rPr>
        <w:t>Biomedical Research</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26</w:t>
      </w:r>
      <w:r>
        <w:rPr>
          <w:rFonts w:ascii="Times New Roman" w:hAnsi="Times New Roman" w:eastAsia="宋体" w:cs="Times New Roman"/>
          <w:color w:val="FF0000"/>
          <w:szCs w:val="21"/>
          <w:shd w:val="clear" w:color="auto" w:fill="FFFFFF"/>
          <w:lang w:bidi="ar"/>
        </w:rPr>
        <w:t>(3), 505-513.</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Méndez, M., Merayo, M. G., &amp; Núñez, M. (2023). Long-term traffic flow forecasting using a hybrid CNN-BiLSTM model. </w:t>
      </w:r>
      <w:r>
        <w:rPr>
          <w:rFonts w:ascii="Times New Roman" w:hAnsi="Times New Roman" w:eastAsia="宋体" w:cs="Times New Roman"/>
          <w:i/>
          <w:iCs/>
          <w:color w:val="FF0000"/>
          <w:szCs w:val="21"/>
          <w:shd w:val="clear" w:color="auto" w:fill="FFFFFF"/>
          <w:lang w:bidi="ar"/>
        </w:rPr>
        <w:t>Engineering Applications of Artificial Intelligence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shd w:val="clear" w:color="auto" w:fill="FFFFFF"/>
          <w:lang w:bidi="ar"/>
        </w:rPr>
        <w:t>121</w:t>
      </w:r>
      <w:r>
        <w:rPr>
          <w:rFonts w:ascii="Times New Roman" w:hAnsi="Times New Roman" w:eastAsia="宋体" w:cs="Times New Roman"/>
          <w:color w:val="FF0000"/>
          <w:szCs w:val="21"/>
          <w:shd w:val="clear" w:color="auto" w:fill="FFFFFF"/>
          <w:lang w:bidi="ar"/>
        </w:rPr>
        <w:t>, 106041.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Molodtsova, T., &amp; Papell, D. H. (2012). Taylor Rule Exchange Rate Forecasting during the Financial Crisis. </w:t>
      </w:r>
      <w:r>
        <w:rPr>
          <w:rFonts w:ascii="Times New Roman" w:hAnsi="Times New Roman" w:eastAsia="宋体"/>
          <w:i/>
          <w:iCs/>
          <w:color w:val="FF0000"/>
          <w:kern w:val="0"/>
          <w:szCs w:val="21"/>
          <w:lang w:bidi="ar"/>
        </w:rPr>
        <w:t>NBER International Seminar on Macroeconomics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(1), 55–97. https://doi.org/10.1086/669584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Mong, T., &amp; Ngan, U. (2016). Forecasting Foreign Exchange Rate by using ARIMA Model: A Case of VND/USD Exchange Rate. </w:t>
      </w:r>
      <w:r>
        <w:rPr>
          <w:rFonts w:ascii="Times New Roman" w:hAnsi="Times New Roman" w:eastAsia="宋体"/>
          <w:i/>
          <w:iCs/>
          <w:color w:val="FF0000"/>
          <w:kern w:val="0"/>
          <w:szCs w:val="21"/>
          <w:lang w:bidi="ar"/>
        </w:rPr>
        <w:t>Research Journal of Finance and Accounting Www.iiste.org ISSN</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w:t>
      </w:r>
      <w:r>
        <w:rPr>
          <w:rFonts w:ascii="Times New Roman" w:hAnsi="Times New Roman" w:eastAsia="宋体"/>
          <w:color w:val="FF0000"/>
          <w:kern w:val="0"/>
          <w:szCs w:val="21"/>
          <w:lang w:bidi="ar"/>
        </w:rPr>
        <w:t>(12), 2222–2847. https://core.ac.uk/download/pdf/234631456.pdf</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Morales-Arias, L., &amp; Moura, G. V. (2013). Adaptive forecasting of exchange rates with panel data. </w:t>
      </w:r>
      <w:r>
        <w:rPr>
          <w:rFonts w:ascii="Times New Roman" w:hAnsi="Times New Roman" w:eastAsia="宋体"/>
          <w:i/>
          <w:iCs/>
          <w:color w:val="FF0000"/>
          <w:kern w:val="0"/>
          <w:szCs w:val="21"/>
          <w:lang w:bidi="ar"/>
        </w:rPr>
        <w:t>International Journal of Forecasting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29</w:t>
      </w:r>
      <w:r>
        <w:rPr>
          <w:rFonts w:ascii="Times New Roman" w:hAnsi="Times New Roman" w:eastAsia="宋体"/>
          <w:color w:val="FF0000"/>
          <w:kern w:val="0"/>
          <w:szCs w:val="21"/>
          <w:lang w:bidi="ar"/>
        </w:rPr>
        <w:t>(3), 493–509. https://doi.org/10.1016/j.ijforecast.2012.10.007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Mustaqeem, Sajjad, M., &amp; Kwon, S. (2020). Clustering-Based Speech Emotion Recognition by Incorporating Learned Features and Deep BiLSTM.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w:t>
      </w:r>
      <w:r>
        <w:rPr>
          <w:rFonts w:ascii="Times New Roman" w:hAnsi="Times New Roman" w:eastAsia="宋体"/>
          <w:color w:val="FF0000"/>
          <w:kern w:val="0"/>
          <w:szCs w:val="21"/>
          <w:lang w:bidi="ar"/>
        </w:rPr>
        <w:t>, 79861–79875. https://doi.org/10.1109/access.2020.2990405</w:t>
      </w:r>
    </w:p>
    <w:p>
      <w:pPr>
        <w:pStyle w:val="12"/>
        <w:widowControl/>
        <w:autoSpaceDE w:val="0"/>
        <w:spacing w:beforeAutospacing="0" w:afterAutospacing="0" w:line="480" w:lineRule="auto"/>
        <w:ind w:left="720" w:hanging="720"/>
        <w:jc w:val="left"/>
        <w:rPr>
          <w:rFonts w:ascii="Times New Roman" w:hAnsi="Times New Roman"/>
          <w:color w:val="FF0000"/>
          <w:szCs w:val="21"/>
        </w:rPr>
      </w:pPr>
      <w:r>
        <w:rPr>
          <w:rFonts w:ascii="Times New Roman" w:hAnsi="Times New Roman"/>
          <w:color w:val="FF0000"/>
          <w:szCs w:val="21"/>
        </w:rPr>
        <w:t xml:space="preserve">Narayan, P. K., &amp; Smyth, R. (2006). The dynamic relationship between real exchange rates, real interest rates and foreign exchange reserves: empirical evidence from China. </w:t>
      </w:r>
      <w:r>
        <w:rPr>
          <w:rFonts w:ascii="Times New Roman" w:hAnsi="Times New Roman"/>
          <w:i/>
          <w:iCs/>
          <w:color w:val="FF0000"/>
          <w:szCs w:val="21"/>
        </w:rPr>
        <w:t>Applied Financial Economics</w:t>
      </w:r>
      <w:r>
        <w:rPr>
          <w:rFonts w:ascii="Times New Roman" w:hAnsi="Times New Roman"/>
          <w:color w:val="FF0000"/>
          <w:szCs w:val="21"/>
        </w:rPr>
        <w:t xml:space="preserve">, </w:t>
      </w:r>
      <w:r>
        <w:rPr>
          <w:rFonts w:ascii="Times New Roman" w:hAnsi="Times New Roman"/>
          <w:i/>
          <w:iCs/>
          <w:color w:val="FF0000"/>
          <w:szCs w:val="21"/>
        </w:rPr>
        <w:t>16</w:t>
      </w:r>
      <w:r>
        <w:rPr>
          <w:rFonts w:ascii="Times New Roman" w:hAnsi="Times New Roman"/>
          <w:color w:val="FF0000"/>
          <w:szCs w:val="21"/>
        </w:rPr>
        <w:t xml:space="preserve">(9), 639–651. </w:t>
      </w:r>
      <w:r>
        <w:fldChar w:fldCharType="begin"/>
      </w:r>
      <w:r>
        <w:instrText xml:space="preserve"> HYPERLINK "https://doi.org/10.1080/09603100500401278" </w:instrText>
      </w:r>
      <w:r>
        <w:fldChar w:fldCharType="separate"/>
      </w:r>
      <w:r>
        <w:rPr>
          <w:rStyle w:val="18"/>
          <w:rFonts w:ascii="Times New Roman" w:hAnsi="Times New Roman"/>
          <w:color w:val="FF0000"/>
          <w:szCs w:val="21"/>
        </w:rPr>
        <w:t>https://doi.org/10.1080/09603100500401278</w:t>
      </w:r>
      <w:r>
        <w:rPr>
          <w:rStyle w:val="18"/>
          <w:rFonts w:ascii="Times New Roman" w:hAnsi="Times New Roman"/>
          <w:color w:val="FF0000"/>
          <w:szCs w:val="21"/>
        </w:rPr>
        <w:fldChar w:fldCharType="end"/>
      </w:r>
    </w:p>
    <w:p>
      <w:pPr>
        <w:pStyle w:val="12"/>
        <w:widowControl/>
        <w:autoSpaceDE w:val="0"/>
        <w:spacing w:beforeAutospacing="0" w:afterAutospacing="0" w:line="480" w:lineRule="auto"/>
        <w:ind w:left="720" w:hanging="720"/>
        <w:jc w:val="left"/>
        <w:rPr>
          <w:rFonts w:ascii="Times New Roman" w:hAnsi="Times New Roman" w:eastAsia="PMingLiU"/>
          <w:color w:val="FF0000"/>
          <w:kern w:val="0"/>
          <w:szCs w:val="21"/>
          <w:shd w:val="clear" w:color="auto" w:fill="FFFFFF"/>
          <w:lang w:bidi="ar"/>
        </w:rPr>
      </w:pPr>
      <w:r>
        <w:rPr>
          <w:rFonts w:ascii="Times New Roman" w:hAnsi="Times New Roman"/>
          <w:color w:val="FF0000"/>
          <w:szCs w:val="21"/>
        </w:rPr>
        <w:t xml:space="preserve">Nasiri, H., &amp; Ebadzadeh, M. M. (2022). MFRFNN: Multi-Functional Recurrent Fuzzy Neural Network for Chaotic Time Series Prediction. </w:t>
      </w:r>
      <w:r>
        <w:rPr>
          <w:rFonts w:ascii="Times New Roman" w:hAnsi="Times New Roman"/>
          <w:i/>
          <w:iCs/>
          <w:color w:val="FF0000"/>
          <w:szCs w:val="21"/>
        </w:rPr>
        <w:t>Neurocomputing</w:t>
      </w:r>
      <w:r>
        <w:rPr>
          <w:rFonts w:ascii="Times New Roman" w:hAnsi="Times New Roman"/>
          <w:color w:val="FF0000"/>
          <w:szCs w:val="21"/>
        </w:rPr>
        <w:t>. https://doi.org/10.1016/j.neucom.2022.08.032</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Njindan Iyke, B. (2020). The Disease Outbreak Channel of Exchange Rate Return Predictability: Evidence from COVID-19. </w:t>
      </w:r>
      <w:r>
        <w:rPr>
          <w:rFonts w:ascii="Times New Roman" w:hAnsi="Times New Roman" w:eastAsia="宋体"/>
          <w:i/>
          <w:iCs/>
          <w:color w:val="FF0000"/>
          <w:kern w:val="0"/>
          <w:szCs w:val="21"/>
          <w:lang w:bidi="ar"/>
        </w:rPr>
        <w:t>Emerging Markets Finance and Trade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56</w:t>
      </w:r>
      <w:r>
        <w:rPr>
          <w:rFonts w:ascii="Times New Roman" w:hAnsi="Times New Roman" w:eastAsia="宋体"/>
          <w:color w:val="FF0000"/>
          <w:kern w:val="0"/>
          <w:szCs w:val="21"/>
          <w:lang w:bidi="ar"/>
        </w:rPr>
        <w:t>(10), 2277–2297. https://doi.org/10.1080/1540496x.2020.1784718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Panda, C., &amp; Narasimhan, V. (2007). Forecasting exchange rate better with artificial neural network. </w:t>
      </w:r>
      <w:r>
        <w:rPr>
          <w:rFonts w:ascii="Times New Roman" w:hAnsi="Times New Roman" w:eastAsia="宋体"/>
          <w:i/>
          <w:iCs/>
          <w:color w:val="FF0000"/>
          <w:kern w:val="0"/>
          <w:szCs w:val="21"/>
          <w:lang w:bidi="ar"/>
        </w:rPr>
        <w:t>Journal of Policy Modeling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29</w:t>
      </w:r>
      <w:r>
        <w:rPr>
          <w:rFonts w:ascii="Times New Roman" w:hAnsi="Times New Roman" w:eastAsia="宋体"/>
          <w:color w:val="FF0000"/>
          <w:kern w:val="0"/>
          <w:szCs w:val="21"/>
          <w:lang w:bidi="ar"/>
        </w:rPr>
        <w:t>(2), 227–236. https://doi.org/10.1016/j.jpolmod.2006.01.005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Parot, A., Michell, K., &amp; Kristjanpoller, W. D. (2019). Using Artificial Neural Networks to forecast Exchange Rate, including VAR‐VECM residual analysis and prediction linear combination. </w:t>
      </w:r>
      <w:r>
        <w:rPr>
          <w:rFonts w:ascii="Times New Roman" w:hAnsi="Times New Roman" w:eastAsia="宋体"/>
          <w:i/>
          <w:iCs/>
          <w:color w:val="FF0000"/>
          <w:kern w:val="0"/>
          <w:szCs w:val="21"/>
          <w:lang w:bidi="ar"/>
        </w:rPr>
        <w:t>Intelligent Systems in Accounting, Finance and Management</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26</w:t>
      </w:r>
      <w:r>
        <w:rPr>
          <w:rFonts w:ascii="Times New Roman" w:hAnsi="Times New Roman" w:eastAsia="宋体"/>
          <w:color w:val="FF0000"/>
          <w:kern w:val="0"/>
          <w:szCs w:val="21"/>
          <w:lang w:bidi="ar"/>
        </w:rPr>
        <w:t>(1), 3–15. https://doi.org/10.1002/isaf.1440</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Pilbeam, K., &amp; Langeland, K. N. (2014). Forecasting exchange rate volatility: GARCH models versus implied volatility forecasts. </w:t>
      </w:r>
      <w:r>
        <w:rPr>
          <w:rFonts w:ascii="Times New Roman" w:hAnsi="Times New Roman" w:eastAsia="宋体"/>
          <w:i/>
          <w:iCs/>
          <w:color w:val="FF0000"/>
          <w:kern w:val="0"/>
          <w:szCs w:val="21"/>
          <w:lang w:bidi="ar"/>
        </w:rPr>
        <w:t>International Economics and Economic Policy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12</w:t>
      </w:r>
      <w:r>
        <w:rPr>
          <w:rFonts w:ascii="Times New Roman" w:hAnsi="Times New Roman" w:eastAsia="宋体"/>
          <w:color w:val="FF0000"/>
          <w:kern w:val="0"/>
          <w:szCs w:val="21"/>
          <w:lang w:bidi="ar"/>
        </w:rPr>
        <w:t>(1), 127–142. https://doi.org/10.1007/s10368-014-0289-4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Raheem, I. D. (2020). Global financial cycles and exchange rate forecast: A factor analysis. </w:t>
      </w:r>
      <w:r>
        <w:rPr>
          <w:rFonts w:ascii="Times New Roman" w:hAnsi="Times New Roman" w:eastAsia="宋体"/>
          <w:i/>
          <w:iCs/>
          <w:color w:val="FF0000"/>
          <w:kern w:val="0"/>
          <w:szCs w:val="21"/>
          <w:lang w:bidi="ar"/>
        </w:rPr>
        <w:t>Borsa Istanbul Review</w:t>
      </w:r>
      <w:r>
        <w:rPr>
          <w:rFonts w:ascii="Times New Roman" w:hAnsi="Times New Roman" w:eastAsia="宋体"/>
          <w:color w:val="FF0000"/>
          <w:kern w:val="0"/>
          <w:szCs w:val="21"/>
          <w:lang w:bidi="ar"/>
        </w:rPr>
        <w:t>. https://doi.org/10.1016/j.bir.2020.06.002</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Reddy SK, B. A. (2015). Exchange Rate Forecasting using ARIMA, Neural Network and Fuzzy Neuron. </w:t>
      </w:r>
      <w:r>
        <w:rPr>
          <w:rFonts w:ascii="Times New Roman" w:hAnsi="Times New Roman" w:eastAsia="宋体"/>
          <w:i/>
          <w:iCs/>
          <w:color w:val="FF0000"/>
          <w:kern w:val="0"/>
          <w:szCs w:val="21"/>
          <w:lang w:bidi="ar"/>
        </w:rPr>
        <w:t>Journal of Stock &amp; Forex Trading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04</w:t>
      </w:r>
      <w:r>
        <w:rPr>
          <w:rFonts w:ascii="Times New Roman" w:hAnsi="Times New Roman" w:eastAsia="宋体"/>
          <w:color w:val="FF0000"/>
          <w:kern w:val="0"/>
          <w:szCs w:val="21"/>
          <w:lang w:bidi="ar"/>
        </w:rPr>
        <w:t>(03). https://doi.org/10.4172/2168-9458.1000155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Rhanoui, M., Mikram, M., Yousfi, S., &amp; Barzali, S. (2019). A CNN-BiLSTM Model for Document-Level Sentiment Analysis. </w:t>
      </w:r>
      <w:r>
        <w:rPr>
          <w:rFonts w:ascii="Times New Roman" w:hAnsi="Times New Roman" w:eastAsia="宋体"/>
          <w:i/>
          <w:iCs/>
          <w:color w:val="FF0000"/>
          <w:kern w:val="0"/>
          <w:szCs w:val="21"/>
          <w:lang w:bidi="ar"/>
        </w:rPr>
        <w:t>Machine Learning and Knowledge Extraction</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w:t>
      </w:r>
      <w:r>
        <w:rPr>
          <w:rFonts w:ascii="Times New Roman" w:hAnsi="Times New Roman" w:eastAsia="宋体"/>
          <w:color w:val="FF0000"/>
          <w:kern w:val="0"/>
          <w:szCs w:val="21"/>
          <w:lang w:bidi="ar"/>
        </w:rPr>
        <w:t>(3), 832–847. https://doi.org/10.3390/make1030048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Rime, D., Sarno, L., &amp; Sojli, E. (2010). Exchange rate forecasting, order flow and macroeconomic information. </w:t>
      </w:r>
      <w:r>
        <w:rPr>
          <w:rFonts w:ascii="Times New Roman" w:hAnsi="Times New Roman" w:eastAsia="宋体"/>
          <w:i/>
          <w:iCs/>
          <w:color w:val="FF0000"/>
          <w:kern w:val="0"/>
          <w:szCs w:val="21"/>
          <w:lang w:bidi="ar"/>
        </w:rPr>
        <w:t>Journal of International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80</w:t>
      </w:r>
      <w:r>
        <w:rPr>
          <w:rFonts w:ascii="Times New Roman" w:hAnsi="Times New Roman" w:eastAsia="宋体"/>
          <w:color w:val="FF0000"/>
          <w:kern w:val="0"/>
          <w:szCs w:val="21"/>
          <w:lang w:bidi="ar"/>
        </w:rPr>
        <w:t>(1), 72–88. https://doi.org/10.1016/j.jinteco.2009.03.005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Rossi, B. (2013). Exchange Rate Predictability. </w:t>
      </w:r>
      <w:r>
        <w:rPr>
          <w:rFonts w:ascii="Times New Roman" w:hAnsi="Times New Roman" w:eastAsia="宋体"/>
          <w:i/>
          <w:iCs/>
          <w:color w:val="FF0000"/>
          <w:kern w:val="0"/>
          <w:szCs w:val="21"/>
          <w:lang w:bidi="ar"/>
        </w:rPr>
        <w:t>Journal of Economic Literature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51</w:t>
      </w:r>
      <w:r>
        <w:rPr>
          <w:rFonts w:ascii="Times New Roman" w:hAnsi="Times New Roman" w:eastAsia="宋体"/>
          <w:color w:val="FF0000"/>
          <w:kern w:val="0"/>
          <w:szCs w:val="21"/>
          <w:lang w:bidi="ar"/>
        </w:rPr>
        <w:t>(4), 1063–1119. https://doi.org/10.1257/jel.51.4.1063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Salisu, A. A., Adekunle, W., Alimi, W. A., &amp; Emmanuel, Z. (2019). Predicting exchange rate with commodity prices: New evidence from Westerlund and Narayan (2015) estimator with structural breaks and asymmetries. </w:t>
      </w:r>
      <w:r>
        <w:rPr>
          <w:rFonts w:ascii="Times New Roman" w:hAnsi="Times New Roman" w:eastAsia="宋体"/>
          <w:i/>
          <w:iCs/>
          <w:color w:val="FF0000"/>
          <w:kern w:val="0"/>
          <w:szCs w:val="21"/>
          <w:lang w:bidi="ar"/>
        </w:rPr>
        <w:t>Resources Policy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62</w:t>
      </w:r>
      <w:r>
        <w:rPr>
          <w:rFonts w:ascii="Times New Roman" w:hAnsi="Times New Roman" w:eastAsia="宋体"/>
          <w:color w:val="FF0000"/>
          <w:kern w:val="0"/>
          <w:szCs w:val="21"/>
          <w:lang w:bidi="ar"/>
        </w:rPr>
        <w:t>, 33–56. https://doi.org/10.1016/j.resourpol.2019.03.006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Sherstinsky, A. (2020). Fundamentals of recurrent neural network (RNN) and long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short-term memory (LSTM) network. </w:t>
      </w:r>
      <w:r>
        <w:rPr>
          <w:rFonts w:ascii="Times New Roman" w:hAnsi="Times New Roman" w:eastAsia="宋体" w:cs="Times New Roman"/>
          <w:i/>
          <w:iCs/>
          <w:color w:val="FF0000"/>
          <w:szCs w:val="21"/>
          <w:lang w:bidi="ar"/>
        </w:rPr>
        <w:t>Physica D: Nonlinear Phenomena</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404</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132306.</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Singh, G., Pradeepta Kumar Sarangi, Rani, L., Sharma, K., Sinha, S., Ashok Kumar Sahoo, &amp; Bishnu Prasad Rath. (2022). CNN-RNN based Hybrid Machine Learning Model to Predict the Currency Exchange Rate: USD to INR. </w:t>
      </w:r>
      <w:r>
        <w:rPr>
          <w:rFonts w:ascii="Times New Roman" w:hAnsi="Times New Roman" w:eastAsia="宋体"/>
          <w:i/>
          <w:iCs/>
          <w:color w:val="FF0000"/>
          <w:kern w:val="0"/>
          <w:szCs w:val="21"/>
          <w:lang w:bidi="ar"/>
        </w:rPr>
        <w:t>2022 2nd International Conference on Advance Computing and Innovative Technologies in Engineering (ICACITE)</w:t>
      </w:r>
      <w:r>
        <w:rPr>
          <w:rFonts w:ascii="Times New Roman" w:hAnsi="Times New Roman" w:eastAsia="宋体"/>
          <w:color w:val="FF0000"/>
          <w:kern w:val="0"/>
          <w:szCs w:val="21"/>
          <w:lang w:bidi="ar"/>
        </w:rPr>
        <w:t>. https://doi.org/10.1109/icacite53722.2022.9823844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Singhal, S., Choudhary, S., &amp; Biswal, P. C. (2019). Return and volatility linkages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among International crude oil price, gold price, exchange rate and stock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markets: Evidence from Mexico. Resources Policy, 60, 255-261.</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Smola, A. J., &amp; Schölkopf, B. (2004). A tutorial on support vector regression.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i/>
          <w:iCs/>
          <w:color w:val="FF0000"/>
          <w:szCs w:val="21"/>
          <w:lang w:bidi="ar"/>
        </w:rPr>
        <w:t>Statistics and 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14</w:t>
      </w:r>
      <w:r>
        <w:rPr>
          <w:rFonts w:ascii="Times New Roman" w:hAnsi="Times New Roman" w:eastAsia="宋体" w:cs="Times New Roman"/>
          <w:color w:val="FF0000"/>
          <w:szCs w:val="21"/>
          <w:shd w:val="clear" w:color="auto" w:fill="FFFFFF"/>
          <w:lang w:bidi="ar"/>
        </w:rPr>
        <w:t>(3), 199-222.</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Sujit, K. S., &amp; Kumar, B. R. (2011). Study on the dynamic relationship among gold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price, oil price, exchange rate and stock market returns. International journal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of applied business and economic research, 9(2), 145-165.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Sun, H., &amp; Yu, B. (2019). Forecasting Financial Returns Volatility: A GARCH-SVR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 xml:space="preserve">Model. </w:t>
      </w:r>
      <w:r>
        <w:rPr>
          <w:rFonts w:ascii="Times New Roman" w:hAnsi="Times New Roman" w:eastAsia="宋体"/>
          <w:i/>
          <w:iCs/>
          <w:color w:val="FF0000"/>
          <w:kern w:val="0"/>
          <w:szCs w:val="21"/>
          <w:lang w:bidi="ar"/>
        </w:rPr>
        <w:t>Computational Economics</w:t>
      </w:r>
      <w:r>
        <w:rPr>
          <w:rFonts w:ascii="Times New Roman" w:hAnsi="Times New Roman" w:eastAsia="宋体"/>
          <w:color w:val="FF0000"/>
          <w:kern w:val="0"/>
          <w:szCs w:val="21"/>
          <w:lang w:bidi="ar"/>
        </w:rPr>
        <w:t xml:space="preserve">.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https://doi.org/10.1007/s10614-019-09896-w</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Sun, S., Wang, S., &amp; Wei, Y. (2020). A new ensemble deep learning approach for exchange rates forecasting and trading. </w:t>
      </w:r>
      <w:r>
        <w:rPr>
          <w:rFonts w:ascii="Times New Roman" w:hAnsi="Times New Roman" w:eastAsia="宋体"/>
          <w:i/>
          <w:iCs/>
          <w:color w:val="FF0000"/>
          <w:kern w:val="0"/>
          <w:szCs w:val="21"/>
          <w:lang w:bidi="ar"/>
        </w:rPr>
        <w:t>Advanced Engineering Informatics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46</w:t>
      </w:r>
      <w:r>
        <w:rPr>
          <w:rFonts w:ascii="Times New Roman" w:hAnsi="Times New Roman" w:eastAsia="宋体"/>
          <w:color w:val="FF0000"/>
          <w:kern w:val="0"/>
          <w:szCs w:val="21"/>
          <w:lang w:bidi="ar"/>
        </w:rPr>
        <w:t>, 101160. https://doi.org/10.1016/j.aei.2020.101160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Tibshirani, R. (1996). Regression shrinkage and selection via the lasso. </w:t>
      </w:r>
      <w:r>
        <w:rPr>
          <w:rFonts w:ascii="Times New Roman" w:hAnsi="Times New Roman" w:eastAsia="宋体" w:cs="Times New Roman"/>
          <w:i/>
          <w:iCs/>
          <w:color w:val="FF0000"/>
          <w:szCs w:val="21"/>
          <w:lang w:bidi="ar"/>
        </w:rPr>
        <w:t xml:space="preserve">Journal of the </w:t>
      </w:r>
      <w:r>
        <w:rPr>
          <w:rFonts w:ascii="Times New Roman" w:hAnsi="Times New Roman" w:eastAsia="宋体" w:cs="Times New Roman"/>
          <w:i/>
          <w:iCs/>
          <w:color w:val="FF0000"/>
          <w:szCs w:val="21"/>
          <w:lang w:bidi="ar"/>
        </w:rPr>
        <w:tab/>
      </w:r>
      <w:r>
        <w:rPr>
          <w:rFonts w:ascii="Times New Roman" w:hAnsi="Times New Roman" w:eastAsia="宋体" w:cs="Times New Roman"/>
          <w:i/>
          <w:iCs/>
          <w:color w:val="FF0000"/>
          <w:szCs w:val="21"/>
          <w:lang w:bidi="ar"/>
        </w:rPr>
        <w:t>Royal Statistical Society: Series B (Methodological)</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58</w:t>
      </w:r>
      <w:r>
        <w:rPr>
          <w:rFonts w:ascii="Times New Roman" w:hAnsi="Times New Roman" w:eastAsia="宋体" w:cs="Times New Roman"/>
          <w:color w:val="FF0000"/>
          <w:szCs w:val="21"/>
          <w:shd w:val="clear" w:color="auto" w:fill="FFFFFF"/>
          <w:lang w:bidi="ar"/>
        </w:rPr>
        <w:t>(1), 267-288.</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Tibshirani, R. (1997). The lasso method for variable selection in the Cox model. </w:t>
      </w:r>
      <w:r>
        <w:rPr>
          <w:rFonts w:ascii="Times New Roman" w:hAnsi="Times New Roman" w:eastAsia="宋体" w:cs="Times New Roman"/>
          <w:i/>
          <w:iCs/>
          <w:color w:val="FF0000"/>
          <w:szCs w:val="21"/>
          <w:lang w:bidi="ar"/>
        </w:rPr>
        <w:t>Statistics in medicine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16</w:t>
      </w:r>
      <w:r>
        <w:rPr>
          <w:rFonts w:ascii="Times New Roman" w:hAnsi="Times New Roman" w:eastAsia="宋体" w:cs="Times New Roman"/>
          <w:color w:val="FF0000"/>
          <w:szCs w:val="21"/>
          <w:shd w:val="clear" w:color="auto" w:fill="FFFFFF"/>
          <w:lang w:bidi="ar"/>
        </w:rPr>
        <w:t>(4), 385-395.</w:t>
      </w:r>
    </w:p>
    <w:p>
      <w:pPr>
        <w:pStyle w:val="12"/>
        <w:widowControl/>
        <w:autoSpaceDE w:val="0"/>
        <w:spacing w:beforeAutospacing="0" w:afterAutospacing="0" w:line="360" w:lineRule="auto"/>
        <w:ind w:left="720" w:hanging="720"/>
        <w:jc w:val="left"/>
        <w:rPr>
          <w:rFonts w:ascii="Times New Roman" w:hAnsi="Times New Roman" w:eastAsia="宋体"/>
          <w:color w:val="FF0000"/>
          <w:kern w:val="0"/>
          <w:szCs w:val="21"/>
          <w:lang w:bidi="ar"/>
        </w:rPr>
      </w:pPr>
      <w:r>
        <w:rPr>
          <w:rFonts w:ascii="Times New Roman" w:hAnsi="Times New Roman" w:eastAsia="宋体"/>
          <w:color w:val="FF0000"/>
          <w:kern w:val="0"/>
          <w:szCs w:val="21"/>
          <w:lang w:bidi="ar"/>
        </w:rPr>
        <w:t xml:space="preserve">Wang, J., Wang, X., Li, J., &amp; Wang, H. (2021). A Prediction Model of CNN-TLSTM for USD/CNY Exchange Rate Prediction.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 xml:space="preserve">, 73346–73354. </w:t>
      </w:r>
      <w:r>
        <w:fldChar w:fldCharType="begin"/>
      </w:r>
      <w:r>
        <w:instrText xml:space="preserve"> HYPERLINK "https://doi.org/10.1109/access.2021.3080459" </w:instrText>
      </w:r>
      <w:r>
        <w:fldChar w:fldCharType="separate"/>
      </w:r>
      <w:r>
        <w:rPr>
          <w:rStyle w:val="18"/>
          <w:rFonts w:ascii="Times New Roman" w:hAnsi="Times New Roman" w:eastAsia="宋体"/>
          <w:color w:val="FF0000"/>
          <w:kern w:val="0"/>
          <w:szCs w:val="21"/>
          <w:lang w:bidi="ar"/>
        </w:rPr>
        <w:t>https://doi.org/10.1109/access.2021.3080459</w:t>
      </w:r>
      <w:r>
        <w:rPr>
          <w:rStyle w:val="18"/>
          <w:rFonts w:ascii="Times New Roman" w:hAnsi="Times New Roman" w:eastAsia="宋体"/>
          <w:color w:val="FF0000"/>
          <w:kern w:val="0"/>
          <w:szCs w:val="21"/>
          <w:lang w:bidi="ar"/>
        </w:rPr>
        <w:fldChar w:fldCharType="end"/>
      </w:r>
    </w:p>
    <w:p>
      <w:pPr>
        <w:pStyle w:val="12"/>
        <w:widowControl/>
        <w:autoSpaceDE w:val="0"/>
        <w:spacing w:beforeAutospacing="0" w:afterAutospacing="0" w:line="480" w:lineRule="auto"/>
        <w:ind w:left="720" w:hanging="720"/>
        <w:jc w:val="left"/>
        <w:rPr>
          <w:rFonts w:ascii="Times New Roman" w:hAnsi="Times New Roman" w:eastAsia="宋体"/>
          <w:color w:val="FF0000"/>
          <w:kern w:val="0"/>
          <w:szCs w:val="21"/>
          <w:lang w:bidi="ar"/>
        </w:rPr>
      </w:pPr>
      <w:r>
        <w:rPr>
          <w:rFonts w:ascii="Times New Roman" w:hAnsi="Times New Roman"/>
          <w:color w:val="FF0000"/>
          <w:szCs w:val="21"/>
        </w:rPr>
        <w:t xml:space="preserve">Wang, J., Li, X., Li, J., Sun, Q., &amp; Wang, H. (2022). NGCU: A New RNN Model for Time-Series Data Prediction. </w:t>
      </w:r>
      <w:r>
        <w:rPr>
          <w:rFonts w:ascii="Times New Roman" w:hAnsi="Times New Roman"/>
          <w:i/>
          <w:iCs/>
          <w:color w:val="FF0000"/>
          <w:szCs w:val="21"/>
        </w:rPr>
        <w:t>Big Data Research</w:t>
      </w:r>
      <w:r>
        <w:rPr>
          <w:rFonts w:ascii="Times New Roman" w:hAnsi="Times New Roman"/>
          <w:color w:val="FF0000"/>
          <w:szCs w:val="21"/>
        </w:rPr>
        <w:t xml:space="preserve">, </w:t>
      </w:r>
      <w:r>
        <w:rPr>
          <w:rFonts w:ascii="Times New Roman" w:hAnsi="Times New Roman"/>
          <w:i/>
          <w:iCs/>
          <w:color w:val="FF0000"/>
          <w:szCs w:val="21"/>
        </w:rPr>
        <w:t>27</w:t>
      </w:r>
      <w:r>
        <w:rPr>
          <w:rFonts w:ascii="Times New Roman" w:hAnsi="Times New Roman"/>
          <w:color w:val="FF0000"/>
          <w:szCs w:val="21"/>
        </w:rPr>
        <w:t>, 100296. https://doi.org/10.1016/j.bdr.2021.100296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Wei, Y., Sun, S., Lai, K. K., &amp; Abbas, G. (2018). A KELM-Based Ensemble Learning Approach for Exchange Rate Forecasting. Journal of Systems Science and Information, 6(4), 289-301.</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Wu, C. H., Ho, J. M., &amp; Lee, D. T. (2004). Travel-time prediction with support vector regression. </w:t>
      </w:r>
      <w:r>
        <w:rPr>
          <w:rFonts w:ascii="Times New Roman" w:hAnsi="Times New Roman" w:eastAsia="宋体" w:cs="Times New Roman"/>
          <w:i/>
          <w:iCs/>
          <w:color w:val="FF0000"/>
          <w:szCs w:val="21"/>
          <w:lang w:bidi="ar"/>
        </w:rPr>
        <w:t>IEEE transactions on intelligent transportation systems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w:t>
      </w:r>
      <w:r>
        <w:rPr>
          <w:rFonts w:ascii="Times New Roman" w:hAnsi="Times New Roman" w:eastAsia="宋体" w:cs="Times New Roman"/>
          <w:color w:val="FF0000"/>
          <w:szCs w:val="21"/>
          <w:shd w:val="clear" w:color="auto" w:fill="FFFFFF"/>
          <w:lang w:bidi="ar"/>
        </w:rPr>
        <w:t>(4), 276-281.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Xiao, L. (2013). Realized volatility forecasting: empirical evidence from stock market indices and exchange rates. </w:t>
      </w:r>
      <w:r>
        <w:rPr>
          <w:rFonts w:ascii="Times New Roman" w:hAnsi="Times New Roman" w:eastAsia="宋体"/>
          <w:i/>
          <w:iCs/>
          <w:color w:val="FF0000"/>
          <w:kern w:val="0"/>
          <w:szCs w:val="21"/>
          <w:lang w:bidi="ar"/>
        </w:rPr>
        <w:t>Applied Financial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23</w:t>
      </w:r>
      <w:r>
        <w:rPr>
          <w:rFonts w:ascii="Times New Roman" w:hAnsi="Times New Roman" w:eastAsia="宋体"/>
          <w:color w:val="FF0000"/>
          <w:kern w:val="0"/>
          <w:szCs w:val="21"/>
          <w:lang w:bidi="ar"/>
        </w:rPr>
        <w:t>(1), 57–69. https://doi.org/10.1080/09603107.2012.707769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Xu, G., Meng, Y., Qiu, X., Yu, Z., &amp; Wu, X. (2019). Sentiment Analysis of Comment Texts Based on BiLSTM.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w:t>
      </w:r>
      <w:r>
        <w:rPr>
          <w:rFonts w:ascii="Times New Roman" w:hAnsi="Times New Roman" w:eastAsia="宋体"/>
          <w:color w:val="FF0000"/>
          <w:kern w:val="0"/>
          <w:szCs w:val="21"/>
          <w:lang w:bidi="ar"/>
        </w:rPr>
        <w:t>, 51522–51532. https://doi.org/10.1109/access.2019.2909919</w:t>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Xu, G., Meng, Y., Qiu, X., Yu, Z., &amp; Wu, X. (2019). Sentiment Analysis of Comment Texts Based on BiLSTM. IEEE</w:t>
      </w:r>
      <w:r>
        <w:rPr>
          <w:rFonts w:hint="eastAsia" w:ascii="Times New Roman" w:hAnsi="Times New Roman" w:eastAsia="宋体"/>
          <w:color w:val="FF0000"/>
          <w:kern w:val="0"/>
          <w:szCs w:val="21"/>
          <w:shd w:val="clear" w:color="auto" w:fill="FFFFFF"/>
          <w:lang w:bidi="ar"/>
        </w:rPr>
        <w:t xml:space="preserve"> </w:t>
      </w:r>
      <w:r>
        <w:rPr>
          <w:rFonts w:ascii="Times New Roman" w:hAnsi="Times New Roman" w:eastAsia="PMingLiU"/>
          <w:color w:val="FF0000"/>
          <w:kern w:val="0"/>
          <w:szCs w:val="21"/>
          <w:shd w:val="clear" w:color="auto" w:fill="FFFFFF"/>
          <w:lang w:bidi="ar"/>
        </w:rPr>
        <w:t>Access, 7, 51522–51532. https://doi.org/10.1109/access.2019.2909919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Yang, M., &amp; Wang, J. (2022). Adaptability of Financial Time Series Prediction Based on BiLSTM. </w:t>
      </w:r>
      <w:r>
        <w:rPr>
          <w:rFonts w:ascii="Times New Roman" w:hAnsi="Times New Roman" w:eastAsia="宋体"/>
          <w:i/>
          <w:iCs/>
          <w:color w:val="FF0000"/>
          <w:kern w:val="0"/>
          <w:szCs w:val="21"/>
          <w:lang w:bidi="ar"/>
        </w:rPr>
        <w:t>Procedia Computer Science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199</w:t>
      </w:r>
      <w:r>
        <w:rPr>
          <w:rFonts w:ascii="Times New Roman" w:hAnsi="Times New Roman" w:eastAsia="宋体"/>
          <w:color w:val="FF0000"/>
          <w:kern w:val="0"/>
          <w:szCs w:val="21"/>
          <w:lang w:bidi="ar"/>
        </w:rPr>
        <w:t>, 18–25. https://doi.org/10.1016/j.procs.2022.01.003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Yasir, M., Durrani, M. Y., Afzal, S., Maqsood, M., Aadil, F., Mehmood, I., &amp; Rho, S. (2019). An Intelligent Event-Sentiment-Based Daily Foreign Exchange Rate Forecasting System. </w:t>
      </w:r>
      <w:r>
        <w:rPr>
          <w:rFonts w:ascii="Times New Roman" w:hAnsi="Times New Roman" w:eastAsia="宋体"/>
          <w:i/>
          <w:iCs/>
          <w:color w:val="FF0000"/>
          <w:kern w:val="0"/>
          <w:szCs w:val="21"/>
          <w:lang w:bidi="ar"/>
        </w:rPr>
        <w:t>Applied Sciences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(15), 2980. https://doi.org/10.3390/app9152980</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Yuan, Y. (2013). Forecasting the movement direction of exchange rate with polynomial smooth support vector machine. </w:t>
      </w:r>
      <w:r>
        <w:rPr>
          <w:rFonts w:ascii="Times New Roman" w:hAnsi="Times New Roman" w:eastAsia="宋体"/>
          <w:i/>
          <w:iCs/>
          <w:color w:val="FF0000"/>
          <w:kern w:val="0"/>
          <w:szCs w:val="21"/>
          <w:lang w:bidi="ar"/>
        </w:rPr>
        <w:t>Mathematical and Computer Modelling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57</w:t>
      </w:r>
      <w:r>
        <w:rPr>
          <w:rFonts w:ascii="Times New Roman" w:hAnsi="Times New Roman" w:eastAsia="宋体"/>
          <w:color w:val="FF0000"/>
          <w:kern w:val="0"/>
          <w:szCs w:val="21"/>
          <w:lang w:bidi="ar"/>
        </w:rPr>
        <w:t>(3-4), 932–944. https://doi.org/10.1016/j.mcm.2012.10.004</w:t>
      </w:r>
    </w:p>
    <w:p>
      <w:pPr>
        <w:pStyle w:val="12"/>
        <w:widowControl/>
        <w:autoSpaceDE w:val="0"/>
        <w:spacing w:beforeAutospacing="0" w:afterAutospacing="0" w:line="360" w:lineRule="auto"/>
        <w:ind w:left="720" w:hanging="720"/>
        <w:jc w:val="left"/>
        <w:rPr>
          <w:rFonts w:ascii="Times New Roman" w:hAnsi="Times New Roman" w:eastAsia="宋体"/>
          <w:color w:val="FF0000"/>
          <w:kern w:val="0"/>
          <w:szCs w:val="21"/>
        </w:rPr>
      </w:pPr>
      <w:r>
        <w:rPr>
          <w:rFonts w:ascii="Times New Roman" w:hAnsi="Times New Roman" w:eastAsia="宋体"/>
          <w:color w:val="FF0000"/>
          <w:kern w:val="0"/>
          <w:szCs w:val="21"/>
          <w:lang w:bidi="ar"/>
        </w:rPr>
        <w:t xml:space="preserve">Zhang, Y., Wang, J., &amp; Zhang, X. (2018, June 1). </w:t>
      </w:r>
      <w:r>
        <w:rPr>
          <w:rFonts w:ascii="Times New Roman" w:hAnsi="Times New Roman" w:eastAsia="宋体"/>
          <w:i/>
          <w:iCs/>
          <w:color w:val="FF0000"/>
          <w:kern w:val="0"/>
          <w:szCs w:val="21"/>
          <w:lang w:bidi="ar"/>
        </w:rPr>
        <w:t>YNU-HPCC at SemEval-2018 Task 1: BiLSTM with Attention based Sentiment Analysis for Affect in Tweets</w:t>
      </w:r>
      <w:r>
        <w:rPr>
          <w:rFonts w:ascii="Times New Roman" w:hAnsi="Times New Roman" w:eastAsia="宋体"/>
          <w:color w:val="FF0000"/>
          <w:kern w:val="0"/>
          <w:szCs w:val="21"/>
          <w:lang w:bidi="ar"/>
        </w:rPr>
        <w:t xml:space="preserve">. Aclanthology.org. </w:t>
      </w:r>
      <w:r>
        <w:fldChar w:fldCharType="begin"/>
      </w:r>
      <w:r>
        <w:instrText xml:space="preserve"> HYPERLINK "https://doi.org/10.18653/v1/S18-1040" </w:instrText>
      </w:r>
      <w:r>
        <w:fldChar w:fldCharType="separate"/>
      </w:r>
      <w:r>
        <w:rPr>
          <w:rStyle w:val="18"/>
          <w:rFonts w:ascii="Times New Roman" w:hAnsi="Times New Roman" w:eastAsia="宋体"/>
          <w:color w:val="FF0000"/>
          <w:szCs w:val="21"/>
        </w:rPr>
        <w:t>https://doi.org/10.18653/v1/S18-1040</w:t>
      </w:r>
      <w:r>
        <w:rPr>
          <w:rStyle w:val="18"/>
          <w:rFonts w:ascii="Times New Roman" w:hAnsi="Times New Roman" w:eastAsia="宋体"/>
          <w:color w:val="FF0000"/>
          <w:szCs w:val="21"/>
        </w:rPr>
        <w:fldChar w:fldCharType="end"/>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Zhang, Y., Wang, J., &amp; Zhang, X. (2018, June). Ynu-hpcc at semeval-2018 task 1: Bilstm with attention based sentiment analysis for affect in tweets. In </w:t>
      </w:r>
      <w:r>
        <w:rPr>
          <w:rFonts w:ascii="Times New Roman" w:hAnsi="Times New Roman" w:eastAsia="PMingLiU"/>
          <w:i/>
          <w:iCs/>
          <w:color w:val="FF0000"/>
          <w:kern w:val="0"/>
          <w:szCs w:val="21"/>
          <w:lang w:bidi="ar"/>
        </w:rPr>
        <w:t>Proceedings of The 12th International Workshop on Semantic Evaluation</w:t>
      </w:r>
      <w:r>
        <w:rPr>
          <w:rFonts w:ascii="Times New Roman" w:hAnsi="Times New Roman" w:eastAsia="PMingLiU"/>
          <w:color w:val="FF0000"/>
          <w:kern w:val="0"/>
          <w:szCs w:val="21"/>
          <w:shd w:val="clear" w:color="auto" w:fill="FFFFFF"/>
          <w:lang w:bidi="ar"/>
        </w:rPr>
        <w:t xml:space="preserve"> (pp. 273-278).</w:t>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Zhao, Z., Yun, S., Jia, L., Guo, J., Meng, Y., He, N., ... &amp; Yang, L. (2023). Hybrid VMD-CNN-GRU-based model for short-term forecasting of wind power considering spatio-temporal features. </w:t>
      </w:r>
      <w:r>
        <w:rPr>
          <w:rFonts w:ascii="Times New Roman" w:hAnsi="Times New Roman" w:eastAsia="PMingLiU"/>
          <w:i/>
          <w:iCs/>
          <w:color w:val="FF0000"/>
          <w:kern w:val="0"/>
          <w:szCs w:val="21"/>
          <w:shd w:val="clear" w:color="auto" w:fill="FFFFFF"/>
          <w:lang w:bidi="ar"/>
        </w:rPr>
        <w:t>Engineering Applications of Artificial Intelligence</w:t>
      </w:r>
      <w:r>
        <w:rPr>
          <w:rFonts w:ascii="Times New Roman" w:hAnsi="Times New Roman" w:eastAsia="PMingLiU"/>
          <w:color w:val="FF0000"/>
          <w:kern w:val="0"/>
          <w:szCs w:val="21"/>
          <w:shd w:val="clear" w:color="auto" w:fill="FFFFFF"/>
          <w:lang w:bidi="ar"/>
        </w:rPr>
        <w:t xml:space="preserve">, </w:t>
      </w:r>
      <w:r>
        <w:rPr>
          <w:rFonts w:ascii="Times New Roman" w:hAnsi="Times New Roman" w:eastAsia="PMingLiU"/>
          <w:i/>
          <w:iCs/>
          <w:color w:val="FF0000"/>
          <w:kern w:val="0"/>
          <w:szCs w:val="21"/>
          <w:shd w:val="clear" w:color="auto" w:fill="FFFFFF"/>
          <w:lang w:bidi="ar"/>
        </w:rPr>
        <w:t>121</w:t>
      </w:r>
      <w:r>
        <w:rPr>
          <w:rFonts w:ascii="Times New Roman" w:hAnsi="Times New Roman" w:eastAsia="PMingLiU"/>
          <w:color w:val="FF0000"/>
          <w:kern w:val="0"/>
          <w:szCs w:val="21"/>
          <w:shd w:val="clear" w:color="auto" w:fill="FFFFFF"/>
          <w:lang w:bidi="ar"/>
        </w:rPr>
        <w:t>, 182.</w:t>
      </w:r>
    </w:p>
    <w:p>
      <w:pPr>
        <w:pStyle w:val="12"/>
        <w:spacing w:before="312" w:beforeLines="100" w:beforeAutospacing="0" w:afterAutospacing="0" w:line="360" w:lineRule="auto"/>
        <w:outlineLvl w:val="0"/>
        <w:rPr>
          <w:rFonts w:ascii="Times New Roman" w:hAnsi="Times New Roman"/>
          <w:color w:val="FF0000"/>
          <w:sz w:val="28"/>
          <w:szCs w:val="28"/>
          <w:shd w:val="clear" w:color="auto" w:fill="FFFFFF"/>
        </w:rPr>
      </w:pPr>
      <w:bookmarkStart w:id="37" w:name="_Hlk143452170"/>
      <w:r>
        <w:rPr>
          <w:rFonts w:ascii="Times New Roman" w:hAnsi="Times New Roman"/>
          <w:color w:val="FF0000"/>
          <w:sz w:val="28"/>
          <w:szCs w:val="28"/>
          <w:shd w:val="clear" w:color="auto" w:fill="FFFFFF"/>
        </w:rPr>
        <w:t>Appendix</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eastAsia="宋体" w:cs="Times New Roman"/>
          <w:b/>
          <w:bCs/>
          <w:color w:val="FF0000"/>
          <w:sz w:val="28"/>
          <w:szCs w:val="28"/>
        </w:rPr>
        <w:t xml:space="preserve"> </w:t>
      </w:r>
      <w:r>
        <w:rPr>
          <w:rFonts w:ascii="Times New Roman" w:hAnsi="Times New Roman" w:cs="Times New Roman"/>
          <w:b/>
          <w:bCs/>
          <w:i/>
          <w:iCs/>
          <w:color w:val="FF0000"/>
          <w:sz w:val="24"/>
        </w:rPr>
        <w:t>Appendix</w:t>
      </w:r>
      <w:bookmarkEnd w:id="37"/>
      <w:r>
        <w:rPr>
          <w:rFonts w:ascii="Times New Roman" w:hAnsi="Times New Roman" w:cs="Times New Roman"/>
          <w:b/>
          <w:bCs/>
          <w:i/>
          <w:iCs/>
          <w:color w:val="FF0000"/>
          <w:sz w:val="24"/>
        </w:rPr>
        <w:t xml:space="preserve"> 1: Runtime</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Runtime (Second)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0.0026s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0.0040s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4.9227s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14.0618s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7.9575s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10.4951s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19.5828s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7.9655s</w:t>
            </w:r>
          </w:p>
        </w:tc>
      </w:tr>
    </w:tbl>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Appendix 2: Memory</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Memory (Megabyte)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0.015625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2.7695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6.0195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4.7929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448.9921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449.0781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453.1211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484.3476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453.0586</w:t>
            </w:r>
          </w:p>
        </w:tc>
      </w:tr>
    </w:tbl>
    <w:p>
      <w:pPr>
        <w:pStyle w:val="21"/>
        <w:spacing w:before="156" w:beforeLines="50" w:line="360" w:lineRule="auto"/>
        <w:ind w:left="0" w:leftChars="0"/>
        <w:outlineLvl w:val="1"/>
        <w:rPr>
          <w:rFonts w:ascii="Times New Roman" w:hAnsi="Times New Roman" w:eastAsia="PMingLiU" w:cs="Times New Roman"/>
          <w:color w:val="FF0000"/>
          <w:kern w:val="0"/>
          <w:shd w:val="clear" w:color="auto" w:fill="FFFFFF"/>
        </w:rPr>
      </w:pPr>
      <w:r>
        <w:rPr>
          <w:rFonts w:ascii="Times New Roman" w:hAnsi="Times New Roman" w:cs="Times New Roman"/>
          <w:b/>
          <w:bCs/>
          <w:i/>
          <w:iCs/>
          <w:color w:val="FF0000"/>
          <w:sz w:val="24"/>
        </w:rPr>
        <w:t>Appendix 3: High Resolution Prediction Picture</w:t>
      </w:r>
    </w:p>
    <w:p>
      <w:pPr>
        <w:spacing w:line="360" w:lineRule="auto"/>
        <w:ind w:left="420" w:hanging="420" w:hangingChars="200"/>
        <w:rPr>
          <w:rFonts w:ascii="Times New Roman" w:hAnsi="Times New Roman" w:eastAsia="PMingLiU" w:cs="Times New Roman"/>
          <w:color w:val="FF0000"/>
          <w:kern w:val="0"/>
          <w:shd w:val="clear" w:color="auto" w:fill="FFFFFF"/>
        </w:rPr>
      </w:pPr>
      <w:r>
        <w:rPr>
          <w:rFonts w:ascii="Times New Roman" w:hAnsi="Times New Roman" w:eastAsia="PMingLiU" w:cs="Times New Roman"/>
          <w:color w:val="FF0000"/>
          <w:kern w:val="0"/>
          <w:shd w:val="clear" w:color="auto" w:fill="FFFFFF"/>
        </w:rPr>
        <w:drawing>
          <wp:inline distT="0" distB="0" distL="114300" distR="114300">
            <wp:extent cx="4902200" cy="3530600"/>
            <wp:effectExtent l="0" t="0" r="1270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2"/>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bookmarkStart w:id="38" w:name="_GoBack"/>
      <w:bookmarkEnd w:id="38"/>
    </w:p>
    <w:sectPr>
      <w:footerReference r:id="rId4" w:type="default"/>
      <w:footnotePr>
        <w:numFmt w:val="chicago"/>
      </w:footnotePr>
      <w:pgSz w:w="11906" w:h="16838"/>
      <w:pgMar w:top="1440" w:right="1800" w:bottom="1440" w:left="1800" w:header="851" w:footer="992" w:gutter="0"/>
      <w:lnNumType w:countBy="1" w:restart="continuou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Times New Roman (本文 CS 字型)">
    <w:altName w:val="Times New Roman"/>
    <w:panose1 w:val="00000000000000000000"/>
    <w:charset w:val="88"/>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PMingLiU">
    <w:altName w:val="Microsoft JhengHei"/>
    <w:panose1 w:val="02010601000101010101"/>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jc w:val="left"/>
        <w:rPr>
          <w:rFonts w:ascii="Times New Roman" w:hAnsi="Times New Roman"/>
          <w:sz w:val="16"/>
          <w:szCs w:val="16"/>
        </w:rPr>
      </w:pPr>
      <w:r>
        <w:rPr>
          <w:rStyle w:val="20"/>
        </w:rPr>
        <w:footnoteRef/>
      </w:r>
      <w:r>
        <w:t xml:space="preserve"> </w:t>
      </w:r>
      <w:r>
        <w:rPr>
          <w:rFonts w:ascii="Times New Roman" w:hAnsi="Times New Roman"/>
          <w:sz w:val="16"/>
          <w:szCs w:val="16"/>
        </w:rPr>
        <w:t xml:space="preserve">Corresponding author’s email: weiyunjie@amss.ac.cn (Yunjie Wei), </w:t>
      </w:r>
    </w:p>
    <w:p>
      <w:pPr>
        <w:contextualSpacing/>
        <w:jc w:val="left"/>
        <w:rPr>
          <w:rFonts w:ascii="Times New Roman" w:hAnsi="Times New Roman"/>
          <w:sz w:val="16"/>
          <w:szCs w:val="16"/>
        </w:rPr>
      </w:pPr>
      <w:r>
        <w:rPr>
          <w:rFonts w:ascii="Times New Roman" w:hAnsi="Times New Roman"/>
          <w:sz w:val="16"/>
          <w:szCs w:val="16"/>
        </w:rPr>
        <w:t>Postal Address: Academy of Mathematics and Systems Science, Chinese Academy of Sciences, Zhongguancun East Road, # 55, Haidian District, Beijing, PR China, Tel: +86 10 82541655</w:t>
      </w:r>
    </w:p>
    <w:p>
      <w:pPr>
        <w:pStyle w:val="11"/>
      </w:pPr>
      <w:r>
        <w:rPr>
          <w:rFonts w:ascii="Times New Roman" w:hAnsi="Times New Roman"/>
          <w:sz w:val="16"/>
          <w:szCs w:val="16"/>
        </w:rPr>
        <w:t>Acknowledgements: This research work was partly supported by the National Natural Science Foundation of China under Grants No. 72171223, No. 71801213 and No. 71988101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50354"/>
    <w:multiLevelType w:val="singleLevel"/>
    <w:tmpl w:val="295503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numFmt w:val="chicago"/>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0692B"/>
    <w:rsid w:val="00012457"/>
    <w:rsid w:val="00016FB3"/>
    <w:rsid w:val="000257F6"/>
    <w:rsid w:val="000475FD"/>
    <w:rsid w:val="00060EE8"/>
    <w:rsid w:val="00067AFA"/>
    <w:rsid w:val="0009142B"/>
    <w:rsid w:val="00092551"/>
    <w:rsid w:val="000A3F26"/>
    <w:rsid w:val="000B508D"/>
    <w:rsid w:val="000C73F0"/>
    <w:rsid w:val="000D2DB8"/>
    <w:rsid w:val="000F38A9"/>
    <w:rsid w:val="000F7799"/>
    <w:rsid w:val="00155EB4"/>
    <w:rsid w:val="001634EC"/>
    <w:rsid w:val="0016406D"/>
    <w:rsid w:val="0016703A"/>
    <w:rsid w:val="00177A25"/>
    <w:rsid w:val="00196573"/>
    <w:rsid w:val="00196633"/>
    <w:rsid w:val="001A2C6F"/>
    <w:rsid w:val="001B07E0"/>
    <w:rsid w:val="001E4490"/>
    <w:rsid w:val="002250FE"/>
    <w:rsid w:val="002271F9"/>
    <w:rsid w:val="00231E2C"/>
    <w:rsid w:val="00234484"/>
    <w:rsid w:val="00256097"/>
    <w:rsid w:val="00277011"/>
    <w:rsid w:val="002971B2"/>
    <w:rsid w:val="002D2FDB"/>
    <w:rsid w:val="002E645F"/>
    <w:rsid w:val="003211EF"/>
    <w:rsid w:val="003448B8"/>
    <w:rsid w:val="003658D1"/>
    <w:rsid w:val="00373CAB"/>
    <w:rsid w:val="003839E5"/>
    <w:rsid w:val="00390347"/>
    <w:rsid w:val="003A5036"/>
    <w:rsid w:val="003C4F99"/>
    <w:rsid w:val="003E3FB5"/>
    <w:rsid w:val="003F742F"/>
    <w:rsid w:val="0041076F"/>
    <w:rsid w:val="00411AB2"/>
    <w:rsid w:val="00423EB3"/>
    <w:rsid w:val="00433C17"/>
    <w:rsid w:val="004664B0"/>
    <w:rsid w:val="00473E59"/>
    <w:rsid w:val="004E7EF0"/>
    <w:rsid w:val="004F3BC5"/>
    <w:rsid w:val="00513708"/>
    <w:rsid w:val="00535AA5"/>
    <w:rsid w:val="00545EA6"/>
    <w:rsid w:val="005625C9"/>
    <w:rsid w:val="005D0BF5"/>
    <w:rsid w:val="005D4CBA"/>
    <w:rsid w:val="005F4805"/>
    <w:rsid w:val="005F5404"/>
    <w:rsid w:val="00601F5F"/>
    <w:rsid w:val="00616232"/>
    <w:rsid w:val="00635643"/>
    <w:rsid w:val="00647A84"/>
    <w:rsid w:val="00650DA1"/>
    <w:rsid w:val="00675F80"/>
    <w:rsid w:val="00677365"/>
    <w:rsid w:val="006806B3"/>
    <w:rsid w:val="006835C5"/>
    <w:rsid w:val="006B32BC"/>
    <w:rsid w:val="006B785D"/>
    <w:rsid w:val="006D038B"/>
    <w:rsid w:val="006D475E"/>
    <w:rsid w:val="006E189A"/>
    <w:rsid w:val="006E219E"/>
    <w:rsid w:val="006F09ED"/>
    <w:rsid w:val="00703084"/>
    <w:rsid w:val="007050CC"/>
    <w:rsid w:val="007216E3"/>
    <w:rsid w:val="00721866"/>
    <w:rsid w:val="007370DD"/>
    <w:rsid w:val="007518ED"/>
    <w:rsid w:val="00764BE3"/>
    <w:rsid w:val="00776A5C"/>
    <w:rsid w:val="00785328"/>
    <w:rsid w:val="00791671"/>
    <w:rsid w:val="007A5D93"/>
    <w:rsid w:val="007B0C19"/>
    <w:rsid w:val="007B4117"/>
    <w:rsid w:val="007C33DC"/>
    <w:rsid w:val="007D7427"/>
    <w:rsid w:val="007E24ED"/>
    <w:rsid w:val="0081260F"/>
    <w:rsid w:val="00831453"/>
    <w:rsid w:val="00862061"/>
    <w:rsid w:val="00885E36"/>
    <w:rsid w:val="008A53EA"/>
    <w:rsid w:val="008B677A"/>
    <w:rsid w:val="0090235D"/>
    <w:rsid w:val="00911D94"/>
    <w:rsid w:val="00923736"/>
    <w:rsid w:val="009466E7"/>
    <w:rsid w:val="00952953"/>
    <w:rsid w:val="009604DC"/>
    <w:rsid w:val="00976EE3"/>
    <w:rsid w:val="00995CDC"/>
    <w:rsid w:val="009A3817"/>
    <w:rsid w:val="009B1C76"/>
    <w:rsid w:val="009E0EAB"/>
    <w:rsid w:val="009E6FFA"/>
    <w:rsid w:val="009F59D4"/>
    <w:rsid w:val="00A03986"/>
    <w:rsid w:val="00A127EA"/>
    <w:rsid w:val="00A16A99"/>
    <w:rsid w:val="00A2278D"/>
    <w:rsid w:val="00A23188"/>
    <w:rsid w:val="00A25ECB"/>
    <w:rsid w:val="00AA13E8"/>
    <w:rsid w:val="00B00C7A"/>
    <w:rsid w:val="00B1562C"/>
    <w:rsid w:val="00B15648"/>
    <w:rsid w:val="00B33D81"/>
    <w:rsid w:val="00B6720D"/>
    <w:rsid w:val="00B75F2C"/>
    <w:rsid w:val="00B922B1"/>
    <w:rsid w:val="00BA55E7"/>
    <w:rsid w:val="00BD10DA"/>
    <w:rsid w:val="00BD3F97"/>
    <w:rsid w:val="00BE4195"/>
    <w:rsid w:val="00BF361E"/>
    <w:rsid w:val="00C021CE"/>
    <w:rsid w:val="00C04AE1"/>
    <w:rsid w:val="00C07E28"/>
    <w:rsid w:val="00C337E8"/>
    <w:rsid w:val="00C3539A"/>
    <w:rsid w:val="00C361D2"/>
    <w:rsid w:val="00C42C33"/>
    <w:rsid w:val="00C640EF"/>
    <w:rsid w:val="00C866B8"/>
    <w:rsid w:val="00CA53B9"/>
    <w:rsid w:val="00CC1C2B"/>
    <w:rsid w:val="00CC5344"/>
    <w:rsid w:val="00CE4048"/>
    <w:rsid w:val="00D11E81"/>
    <w:rsid w:val="00D12C6A"/>
    <w:rsid w:val="00D17053"/>
    <w:rsid w:val="00D27498"/>
    <w:rsid w:val="00D33021"/>
    <w:rsid w:val="00D36081"/>
    <w:rsid w:val="00D434A2"/>
    <w:rsid w:val="00D474DF"/>
    <w:rsid w:val="00D52AA1"/>
    <w:rsid w:val="00D5540F"/>
    <w:rsid w:val="00D630A9"/>
    <w:rsid w:val="00D766F6"/>
    <w:rsid w:val="00D827BB"/>
    <w:rsid w:val="00D90845"/>
    <w:rsid w:val="00DB2CD1"/>
    <w:rsid w:val="00DD25DB"/>
    <w:rsid w:val="00DD62CA"/>
    <w:rsid w:val="00DD6C1B"/>
    <w:rsid w:val="00DE2A96"/>
    <w:rsid w:val="00DE504C"/>
    <w:rsid w:val="00DE57E1"/>
    <w:rsid w:val="00DE7F09"/>
    <w:rsid w:val="00E04D4C"/>
    <w:rsid w:val="00E20BD5"/>
    <w:rsid w:val="00E21ED9"/>
    <w:rsid w:val="00E27237"/>
    <w:rsid w:val="00E36F8D"/>
    <w:rsid w:val="00E4597E"/>
    <w:rsid w:val="00E670BC"/>
    <w:rsid w:val="00E723DA"/>
    <w:rsid w:val="00E94A5C"/>
    <w:rsid w:val="00EB30E7"/>
    <w:rsid w:val="00EF2D18"/>
    <w:rsid w:val="00F13265"/>
    <w:rsid w:val="00F1705D"/>
    <w:rsid w:val="00F25CB2"/>
    <w:rsid w:val="00F52869"/>
    <w:rsid w:val="00F6180C"/>
    <w:rsid w:val="00F90754"/>
    <w:rsid w:val="00FA28C3"/>
    <w:rsid w:val="00FC55C1"/>
    <w:rsid w:val="00FE1AC1"/>
    <w:rsid w:val="00FE721D"/>
    <w:rsid w:val="05E61928"/>
    <w:rsid w:val="11E3705D"/>
    <w:rsid w:val="13625B66"/>
    <w:rsid w:val="169A4F8F"/>
    <w:rsid w:val="1A3B3953"/>
    <w:rsid w:val="1BFFCC7F"/>
    <w:rsid w:val="1E241B26"/>
    <w:rsid w:val="1E761045"/>
    <w:rsid w:val="1E8C282B"/>
    <w:rsid w:val="1FDF151B"/>
    <w:rsid w:val="200666B0"/>
    <w:rsid w:val="23FF0A58"/>
    <w:rsid w:val="2FD5C2AE"/>
    <w:rsid w:val="2FD600FB"/>
    <w:rsid w:val="313F9D89"/>
    <w:rsid w:val="32E0684A"/>
    <w:rsid w:val="333F17C2"/>
    <w:rsid w:val="33F407FF"/>
    <w:rsid w:val="36DFB535"/>
    <w:rsid w:val="379540A7"/>
    <w:rsid w:val="37CC06CE"/>
    <w:rsid w:val="37DF3C8B"/>
    <w:rsid w:val="39DC420F"/>
    <w:rsid w:val="39FFB787"/>
    <w:rsid w:val="3B3C505C"/>
    <w:rsid w:val="3B798571"/>
    <w:rsid w:val="3D463317"/>
    <w:rsid w:val="3D7F19C0"/>
    <w:rsid w:val="3D9D4B32"/>
    <w:rsid w:val="3FDFE5B2"/>
    <w:rsid w:val="3FE7758E"/>
    <w:rsid w:val="42916079"/>
    <w:rsid w:val="42D55C9F"/>
    <w:rsid w:val="47BE3F1E"/>
    <w:rsid w:val="48AC09DF"/>
    <w:rsid w:val="490D6193"/>
    <w:rsid w:val="495F2766"/>
    <w:rsid w:val="4C032F81"/>
    <w:rsid w:val="4DADF613"/>
    <w:rsid w:val="4FEF60A8"/>
    <w:rsid w:val="4FFEFAE4"/>
    <w:rsid w:val="505D7080"/>
    <w:rsid w:val="52310059"/>
    <w:rsid w:val="55D0153B"/>
    <w:rsid w:val="56AFAE39"/>
    <w:rsid w:val="57B7D6B4"/>
    <w:rsid w:val="58A41254"/>
    <w:rsid w:val="592DC02E"/>
    <w:rsid w:val="5BBE0AFD"/>
    <w:rsid w:val="5D6E95FF"/>
    <w:rsid w:val="5EF7C9B0"/>
    <w:rsid w:val="5F1F0576"/>
    <w:rsid w:val="5FB16998"/>
    <w:rsid w:val="5FDD485A"/>
    <w:rsid w:val="5FFFF7E8"/>
    <w:rsid w:val="60EC092C"/>
    <w:rsid w:val="61016585"/>
    <w:rsid w:val="61F05543"/>
    <w:rsid w:val="64155AA4"/>
    <w:rsid w:val="64C14913"/>
    <w:rsid w:val="66668CE3"/>
    <w:rsid w:val="66A80E51"/>
    <w:rsid w:val="671F0B87"/>
    <w:rsid w:val="68AC49F3"/>
    <w:rsid w:val="692F676C"/>
    <w:rsid w:val="69F84D48"/>
    <w:rsid w:val="6BFFDF47"/>
    <w:rsid w:val="6D45389E"/>
    <w:rsid w:val="6DDF123D"/>
    <w:rsid w:val="6EF6C67B"/>
    <w:rsid w:val="6FFDF5BF"/>
    <w:rsid w:val="704C6791"/>
    <w:rsid w:val="70D2369A"/>
    <w:rsid w:val="70DF7B65"/>
    <w:rsid w:val="70DF8B50"/>
    <w:rsid w:val="71EE76CE"/>
    <w:rsid w:val="729A1F96"/>
    <w:rsid w:val="73E55492"/>
    <w:rsid w:val="75D419AB"/>
    <w:rsid w:val="75E59FF3"/>
    <w:rsid w:val="765E5FCB"/>
    <w:rsid w:val="77D77224"/>
    <w:rsid w:val="77F77962"/>
    <w:rsid w:val="794C6296"/>
    <w:rsid w:val="79F89FBD"/>
    <w:rsid w:val="7B3E2DBF"/>
    <w:rsid w:val="7B9822DA"/>
    <w:rsid w:val="7BF10231"/>
    <w:rsid w:val="7DBB097C"/>
    <w:rsid w:val="7DDF0098"/>
    <w:rsid w:val="7DDF0A25"/>
    <w:rsid w:val="7EEF69EF"/>
    <w:rsid w:val="7EFB5C31"/>
    <w:rsid w:val="7F756E3A"/>
    <w:rsid w:val="7FEF2999"/>
    <w:rsid w:val="7FFDC66F"/>
    <w:rsid w:val="9333E4CA"/>
    <w:rsid w:val="94CF6F4C"/>
    <w:rsid w:val="AE7FBBA5"/>
    <w:rsid w:val="B37EB3AF"/>
    <w:rsid w:val="B3F773A8"/>
    <w:rsid w:val="B7C906CA"/>
    <w:rsid w:val="B97B01B9"/>
    <w:rsid w:val="BED59E72"/>
    <w:rsid w:val="BF9BF38D"/>
    <w:rsid w:val="BFC7F0E8"/>
    <w:rsid w:val="BFCB243A"/>
    <w:rsid w:val="BFFF9827"/>
    <w:rsid w:val="CFEA5150"/>
    <w:rsid w:val="CFFFBE3E"/>
    <w:rsid w:val="D9D692EA"/>
    <w:rsid w:val="D9FFC5D4"/>
    <w:rsid w:val="DBBDFB46"/>
    <w:rsid w:val="DCA79715"/>
    <w:rsid w:val="DDBE09A8"/>
    <w:rsid w:val="DDF75847"/>
    <w:rsid w:val="DEFBA4EA"/>
    <w:rsid w:val="DFAF0B2E"/>
    <w:rsid w:val="DFDFE13E"/>
    <w:rsid w:val="DFFF06D7"/>
    <w:rsid w:val="DFFF5D0C"/>
    <w:rsid w:val="E1DC87C6"/>
    <w:rsid w:val="E51FEC37"/>
    <w:rsid w:val="E76794B0"/>
    <w:rsid w:val="E96E5A86"/>
    <w:rsid w:val="EDFF154D"/>
    <w:rsid w:val="EFF753AC"/>
    <w:rsid w:val="F32F3623"/>
    <w:rsid w:val="F5933835"/>
    <w:rsid w:val="F6F9A3F3"/>
    <w:rsid w:val="F72AB291"/>
    <w:rsid w:val="F73BFBF7"/>
    <w:rsid w:val="F7B664B4"/>
    <w:rsid w:val="F9AF52E5"/>
    <w:rsid w:val="FB9D7444"/>
    <w:rsid w:val="FBB1C041"/>
    <w:rsid w:val="FBF89251"/>
    <w:rsid w:val="FBF8DFF9"/>
    <w:rsid w:val="FBFF9D2B"/>
    <w:rsid w:val="FDFAF7C8"/>
    <w:rsid w:val="FEA5DD7F"/>
    <w:rsid w:val="FEFEB9BE"/>
    <w:rsid w:val="FFBF6CEF"/>
    <w:rsid w:val="FFBFD982"/>
    <w:rsid w:val="FFFE56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annotation text"/>
    <w:basedOn w:val="1"/>
    <w:link w:val="23"/>
    <w:qFormat/>
    <w:uiPriority w:val="0"/>
    <w:pPr>
      <w:jc w:val="left"/>
    </w:pPr>
  </w:style>
  <w:style w:type="paragraph" w:styleId="7">
    <w:name w:val="endnote text"/>
    <w:basedOn w:val="1"/>
    <w:unhideWhenUsed/>
    <w:qFormat/>
    <w:uiPriority w:val="99"/>
    <w:pPr>
      <w:snapToGrid w:val="0"/>
    </w:pPr>
  </w:style>
  <w:style w:type="paragraph" w:styleId="8">
    <w:name w:val="Balloon Text"/>
    <w:basedOn w:val="1"/>
    <w:link w:val="27"/>
    <w:qFormat/>
    <w:uiPriority w:val="0"/>
    <w:rPr>
      <w:sz w:val="18"/>
      <w:szCs w:val="18"/>
    </w:r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26"/>
    <w:qFormat/>
    <w:uiPriority w:val="0"/>
    <w:pPr>
      <w:snapToGrid w:val="0"/>
      <w:jc w:val="left"/>
    </w:pPr>
    <w:rPr>
      <w:sz w:val="18"/>
      <w:szCs w:val="18"/>
    </w:rPr>
  </w:style>
  <w:style w:type="paragraph" w:styleId="12">
    <w:name w:val="Normal (Web)"/>
    <w:basedOn w:val="1"/>
    <w:qFormat/>
    <w:uiPriority w:val="0"/>
    <w:pPr>
      <w:spacing w:beforeAutospacing="1" w:afterAutospacing="1"/>
    </w:pPr>
    <w:rPr>
      <w:rFonts w:cs="Times New Roman"/>
    </w:rPr>
  </w:style>
  <w:style w:type="paragraph" w:styleId="13">
    <w:name w:val="annotation subject"/>
    <w:basedOn w:val="6"/>
    <w:next w:val="6"/>
    <w:link w:val="24"/>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line number"/>
    <w:basedOn w:val="16"/>
    <w:qFormat/>
    <w:uiPriority w:val="0"/>
  </w:style>
  <w:style w:type="character" w:styleId="18">
    <w:name w:val="Hyperlink"/>
    <w:basedOn w:val="16"/>
    <w:uiPriority w:val="0"/>
    <w:rPr>
      <w:color w:val="0000FF"/>
      <w:u w:val="single"/>
    </w:rPr>
  </w:style>
  <w:style w:type="character" w:styleId="19">
    <w:name w:val="annotation reference"/>
    <w:basedOn w:val="16"/>
    <w:qFormat/>
    <w:uiPriority w:val="0"/>
    <w:rPr>
      <w:sz w:val="21"/>
      <w:szCs w:val="21"/>
    </w:rPr>
  </w:style>
  <w:style w:type="character" w:styleId="20">
    <w:name w:val="footnote reference"/>
    <w:basedOn w:val="16"/>
    <w:qFormat/>
    <w:uiPriority w:val="99"/>
    <w:rPr>
      <w:vertAlign w:val="superscript"/>
    </w:rPr>
  </w:style>
  <w:style w:type="paragraph" w:styleId="21">
    <w:name w:val="List Paragraph"/>
    <w:basedOn w:val="1"/>
    <w:qFormat/>
    <w:uiPriority w:val="34"/>
    <w:pPr>
      <w:ind w:left="480" w:leftChars="200"/>
    </w:pPr>
  </w:style>
  <w:style w:type="character" w:customStyle="1" w:styleId="22">
    <w:name w:val="页眉 字符"/>
    <w:basedOn w:val="16"/>
    <w:link w:val="10"/>
    <w:qFormat/>
    <w:uiPriority w:val="0"/>
    <w:rPr>
      <w:kern w:val="2"/>
      <w:sz w:val="18"/>
      <w:szCs w:val="18"/>
    </w:rPr>
  </w:style>
  <w:style w:type="character" w:customStyle="1" w:styleId="23">
    <w:name w:val="批注文字 字符"/>
    <w:basedOn w:val="16"/>
    <w:link w:val="6"/>
    <w:qFormat/>
    <w:uiPriority w:val="0"/>
    <w:rPr>
      <w:kern w:val="2"/>
      <w:sz w:val="21"/>
      <w:szCs w:val="24"/>
    </w:rPr>
  </w:style>
  <w:style w:type="character" w:customStyle="1" w:styleId="24">
    <w:name w:val="批注主题 字符"/>
    <w:basedOn w:val="23"/>
    <w:link w:val="13"/>
    <w:qFormat/>
    <w:uiPriority w:val="0"/>
    <w:rPr>
      <w:b/>
      <w:bCs/>
      <w:kern w:val="2"/>
      <w:sz w:val="21"/>
      <w:szCs w:val="24"/>
    </w:rPr>
  </w:style>
  <w:style w:type="character" w:styleId="25">
    <w:name w:val="Placeholder Text"/>
    <w:basedOn w:val="16"/>
    <w:semiHidden/>
    <w:qFormat/>
    <w:uiPriority w:val="99"/>
    <w:rPr>
      <w:color w:val="808080"/>
    </w:rPr>
  </w:style>
  <w:style w:type="character" w:customStyle="1" w:styleId="26">
    <w:name w:val="脚注文本 字符"/>
    <w:basedOn w:val="16"/>
    <w:link w:val="11"/>
    <w:qFormat/>
    <w:uiPriority w:val="0"/>
    <w:rPr>
      <w:kern w:val="2"/>
      <w:sz w:val="18"/>
      <w:szCs w:val="18"/>
      <w:lang w:eastAsia="zh-CN"/>
    </w:rPr>
  </w:style>
  <w:style w:type="character" w:customStyle="1" w:styleId="27">
    <w:name w:val="批注框文本 字符"/>
    <w:basedOn w:val="16"/>
    <w:link w:val="8"/>
    <w:qFormat/>
    <w:uiPriority w:val="0"/>
    <w:rPr>
      <w:kern w:val="2"/>
      <w:sz w:val="18"/>
      <w:szCs w:val="18"/>
      <w:lang w:eastAsia="zh-CN"/>
    </w:rPr>
  </w:style>
  <w:style w:type="paragraph" w:customStyle="1" w:styleId="28">
    <w:name w:val="修订1"/>
    <w:hidden/>
    <w:semiHidden/>
    <w:qFormat/>
    <w:uiPriority w:val="99"/>
    <w:rPr>
      <w:rFonts w:asciiTheme="minorHAnsi" w:hAnsiTheme="minorHAnsi" w:eastAsiaTheme="minorEastAsia" w:cstheme="minorBidi"/>
      <w:kern w:val="2"/>
      <w:sz w:val="21"/>
      <w:szCs w:val="24"/>
      <w:lang w:val="en-US" w:eastAsia="zh-CN" w:bidi="ar-SA"/>
    </w:rPr>
  </w:style>
  <w:style w:type="table" w:customStyle="1" w:styleId="29">
    <w:name w:val="表格內文1"/>
    <w:basedOn w:val="14"/>
    <w:semiHidden/>
    <w:uiPriority w:val="0"/>
    <w:rPr>
      <w:rFonts w:cs="Times New Roman (本文 CS 字型)"/>
      <w:kern w:val="2"/>
      <w:sz w:val="24"/>
      <w:szCs w:val="24"/>
    </w:rPr>
  </w:style>
  <w:style w:type="character" w:customStyle="1" w:styleId="30">
    <w:name w:val="10"/>
    <w:basedOn w:val="16"/>
    <w:uiPriority w:val="0"/>
    <w:rPr>
      <w:rFonts w:hint="default" w:ascii="Times New Roman" w:hAnsi="Times New Roman" w:cs="Times New Roman"/>
    </w:rPr>
  </w:style>
  <w:style w:type="character" w:customStyle="1" w:styleId="31">
    <w:name w:val="15"/>
    <w:basedOn w:val="16"/>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834348E-8892-459F-BD8B-B0ADB0777C20}">
  <ds:schemaRefs/>
</ds:datastoreItem>
</file>

<file path=docProps/app.xml><?xml version="1.0" encoding="utf-8"?>
<Properties xmlns="http://schemas.openxmlformats.org/officeDocument/2006/extended-properties" xmlns:vt="http://schemas.openxmlformats.org/officeDocument/2006/docPropsVTypes">
  <Template>Normal</Template>
  <Pages>42</Pages>
  <Words>10391</Words>
  <Characters>55902</Characters>
  <Lines>472</Lines>
  <Paragraphs>133</Paragraphs>
  <TotalTime>18</TotalTime>
  <ScaleCrop>false</ScaleCrop>
  <LinksUpToDate>false</LinksUpToDate>
  <CharactersWithSpaces>64463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2023-08-20T16:41:00Z</dcterms:created>
  <dc:creator>小尘</dc:creator>
  <cp:lastModifiedBy>小尘</cp:lastModifiedBy>
  <cp:lastPrinted>2023-03-03T22:03:00Z</cp:lastPrinted>
  <dcterms:modified xsi:type="dcterms:W3CDTF">2023-08-21T02:06:29Z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BEE7757879364840A3E388A5B8D81F6A_13</vt:lpwstr>
  </property>
  <property fmtid="{D5CDD505-2E9C-101B-9397-08002B2CF9AE}" pid="4" name="GrammarlyDocumentId">
    <vt:lpwstr>b080343e0cd8976ca09b37e863a902b51c1071802fd2131989ed3fa66b39fdf6</vt:lpwstr>
  </property>
</Properties>
</file>