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spacing w:beforeAutospacing="0" w:afterAutospacing="0" w:line="360" w:lineRule="auto"/>
        <w:jc w:val="center"/>
        <w:rPr>
          <w:rFonts w:ascii="Times New Roman" w:hAnsi="Times New Roman" w:eastAsia="宋体"/>
          <w:b/>
          <w:bCs/>
          <w:color w:val="0E101A"/>
          <w:sz w:val="32"/>
          <w:szCs w:val="32"/>
        </w:rPr>
      </w:pPr>
      <w:bookmarkStart w:id="38" w:name="_GoBack"/>
      <w:bookmarkEnd w:id="38"/>
      <w:bookmarkStart w:id="0" w:name="OLE_LINK1"/>
      <w:r>
        <w:rPr>
          <w:rFonts w:ascii="Times New Roman" w:hAnsi="Times New Roman" w:eastAsia="宋体"/>
          <w:b/>
          <w:bCs/>
          <w:color w:val="0E101A"/>
          <w:sz w:val="32"/>
          <w:szCs w:val="32"/>
        </w:rPr>
        <w:t>A new LASSO-BiLSTM-based ensemble learning approach for exchange rate forecasting</w:t>
      </w:r>
    </w:p>
    <w:bookmarkEnd w:id="0"/>
    <w:p>
      <w:pPr>
        <w:jc w:val="center"/>
        <w:rPr>
          <w:rFonts w:ascii="Times New Roman" w:hAnsi="Times New Roman" w:cs="Times New Roman"/>
        </w:rPr>
      </w:pPr>
      <w:r>
        <w:rPr>
          <w:rFonts w:ascii="Times New Roman" w:hAnsi="Times New Roman" w:cs="Times New Roman"/>
        </w:rPr>
        <w:t xml:space="preserve">Siyuan Liu </w:t>
      </w:r>
      <w:r>
        <w:rPr>
          <w:rFonts w:ascii="Times New Roman" w:hAnsi="Times New Roman" w:cs="Times New Roman"/>
          <w:vertAlign w:val="superscript"/>
        </w:rPr>
        <w:t>a</w:t>
      </w:r>
      <w:r>
        <w:rPr>
          <w:rFonts w:ascii="Times New Roman" w:hAnsi="Times New Roman" w:cs="Times New Roman"/>
        </w:rPr>
        <w:t xml:space="preserve">, Qiqian Huang </w:t>
      </w:r>
      <w:r>
        <w:rPr>
          <w:rFonts w:ascii="Times New Roman" w:hAnsi="Times New Roman" w:cs="Times New Roman"/>
          <w:vertAlign w:val="superscript"/>
        </w:rPr>
        <w:t>a</w:t>
      </w:r>
      <w:r>
        <w:rPr>
          <w:rFonts w:ascii="Times New Roman" w:hAnsi="Times New Roman" w:cs="Times New Roman"/>
        </w:rPr>
        <w:t>, M</w:t>
      </w:r>
      <w:r>
        <w:rPr>
          <w:rFonts w:hint="eastAsia" w:ascii="Times New Roman" w:hAnsi="Times New Roman" w:cs="Times New Roman"/>
        </w:rPr>
        <w:t>ingchen</w:t>
      </w:r>
      <w:r>
        <w:rPr>
          <w:rFonts w:ascii="Times New Roman" w:hAnsi="Times New Roman" w:cs="Times New Roman"/>
        </w:rPr>
        <w:t xml:space="preserve"> Li</w:t>
      </w:r>
      <w:r>
        <w:rPr>
          <w:rFonts w:ascii="Times New Roman" w:hAnsi="Times New Roman" w:cs="Times New Roman"/>
          <w:vertAlign w:val="superscript"/>
        </w:rPr>
        <w:t xml:space="preserve"> b,c</w:t>
      </w:r>
      <w:r>
        <w:rPr>
          <w:rFonts w:ascii="Times New Roman" w:hAnsi="Times New Roman" w:cs="Times New Roman"/>
        </w:rPr>
        <w:t xml:space="preserve">, Yunjie Wei </w:t>
      </w:r>
      <w:r>
        <w:rPr>
          <w:rFonts w:ascii="Times New Roman" w:hAnsi="Times New Roman" w:cs="Times New Roman"/>
          <w:vertAlign w:val="superscript"/>
        </w:rPr>
        <w:t>b,d</w:t>
      </w:r>
      <w:r>
        <w:rPr>
          <w:rStyle w:val="20"/>
          <w:rFonts w:ascii="Times New Roman" w:hAnsi="Times New Roman" w:cs="Times New Roman"/>
        </w:rPr>
        <w:footnoteReference w:id="0"/>
      </w:r>
    </w:p>
    <w:p>
      <w:pPr>
        <w:rPr>
          <w:rFonts w:ascii="Times New Roman" w:hAnsi="Times New Roman" w:cs="Times New Roman"/>
        </w:rPr>
      </w:pPr>
      <w:r>
        <w:rPr>
          <w:rFonts w:ascii="Times New Roman" w:hAnsi="Times New Roman" w:cs="Times New Roman"/>
          <w:vertAlign w:val="superscript"/>
        </w:rPr>
        <w:t xml:space="preserve">a </w:t>
      </w:r>
      <w:r>
        <w:rPr>
          <w:rFonts w:ascii="Times New Roman" w:hAnsi="Times New Roman" w:cs="Times New Roman"/>
        </w:rPr>
        <w:t>Beijing 101 High School</w:t>
      </w:r>
    </w:p>
    <w:p>
      <w:pPr>
        <w:rPr>
          <w:rFonts w:ascii="Times New Roman" w:hAnsi="Times New Roman" w:cs="Times New Roman"/>
        </w:rPr>
      </w:pPr>
      <w:r>
        <w:rPr>
          <w:rFonts w:ascii="Times New Roman" w:hAnsi="Times New Roman" w:cs="Times New Roman"/>
          <w:vertAlign w:val="superscript"/>
        </w:rPr>
        <w:t xml:space="preserve">b </w:t>
      </w:r>
      <w:r>
        <w:rPr>
          <w:rFonts w:ascii="Times New Roman" w:hAnsi="Times New Roman" w:cs="Times New Roman"/>
        </w:rPr>
        <w:t>Academy of Mathematics and Systems Science, Chinese Academy of Sciences, Beijing, 100190, China</w:t>
      </w:r>
    </w:p>
    <w:p>
      <w:pPr>
        <w:contextualSpacing/>
        <w:rPr>
          <w:rFonts w:ascii="Times New Roman" w:hAnsi="Times New Roman" w:cs="Times New Roman"/>
        </w:rPr>
      </w:pPr>
      <w:r>
        <w:rPr>
          <w:rFonts w:ascii="Times New Roman" w:hAnsi="Times New Roman" w:cs="Times New Roman"/>
          <w:szCs w:val="21"/>
          <w:vertAlign w:val="superscript"/>
        </w:rPr>
        <w:t xml:space="preserve">c </w:t>
      </w:r>
      <w:r>
        <w:rPr>
          <w:rFonts w:ascii="Times New Roman" w:hAnsi="Times New Roman" w:cs="Times New Roman"/>
        </w:rPr>
        <w:t>School of Mathematical Sciences, University of Chinese Academy of Sciences, Beijing 100190</w:t>
      </w:r>
    </w:p>
    <w:p>
      <w:pPr>
        <w:rPr>
          <w:rFonts w:ascii="Times New Roman" w:hAnsi="Times New Roman" w:cs="Times New Roman"/>
          <w:szCs w:val="21"/>
        </w:rPr>
      </w:pPr>
      <w:r>
        <w:rPr>
          <w:rFonts w:ascii="Times New Roman" w:hAnsi="Times New Roman" w:cs="Times New Roman"/>
          <w:szCs w:val="21"/>
          <w:vertAlign w:val="superscript"/>
        </w:rPr>
        <w:t xml:space="preserve">d </w:t>
      </w:r>
      <w:r>
        <w:rPr>
          <w:rFonts w:ascii="Times New Roman" w:hAnsi="Times New Roman" w:cs="Times New Roman"/>
          <w:szCs w:val="21"/>
        </w:rPr>
        <w:t>Center for Forecasting Science, Chinese Academy of Sciences, Beijing 100190, China</w:t>
      </w:r>
    </w:p>
    <w:p>
      <w:pPr>
        <w:widowControl/>
        <w:jc w:val="center"/>
        <w:rPr>
          <w:rFonts w:ascii="Times New Roman" w:hAnsi="Times New Roman" w:cs="Times New Roman"/>
          <w:sz w:val="24"/>
        </w:rPr>
      </w:pPr>
    </w:p>
    <w:p>
      <w:pPr>
        <w:pStyle w:val="12"/>
        <w:spacing w:beforeAutospacing="0" w:afterAutospacing="0" w:line="360" w:lineRule="auto"/>
        <w:rPr>
          <w:rFonts w:ascii="Times New Roman" w:hAnsi="Times New Roman"/>
        </w:rPr>
      </w:pPr>
      <w:r>
        <w:rPr>
          <w:rFonts w:ascii="Times New Roman" w:hAnsi="Times New Roman" w:eastAsia="宋体"/>
          <w:b/>
          <w:bCs/>
          <w:color w:val="000000"/>
          <w:kern w:val="0"/>
          <w:sz w:val="28"/>
          <w:szCs w:val="28"/>
          <w:lang w:bidi="ar"/>
        </w:rPr>
        <w:t>Abstract</w:t>
      </w:r>
      <w:r>
        <w:rPr>
          <w:rFonts w:ascii="Times New Roman" w:hAnsi="Times New Roman" w:eastAsia="宋体"/>
          <w:b/>
          <w:bCs/>
          <w:color w:val="000000"/>
          <w:kern w:val="0"/>
          <w:sz w:val="24"/>
          <w:lang w:bidi="ar"/>
        </w:rPr>
        <w:t xml:space="preserve">: </w:t>
      </w:r>
      <w:bookmarkStart w:id="1" w:name="_Hlk143470313"/>
      <w:r>
        <w:rPr>
          <w:rFonts w:ascii="Times New Roman" w:hAnsi="Times New Roman"/>
          <w:sz w:val="24"/>
        </w:rPr>
        <w:t xml:space="preserve">Foreign exchange rate affects many countries’ economic status and development. Therefore, it is essential to find the factors affecting the exchange rate price and make reasonable predictions. This paper proposes the novel LASSO-BiLSTM-based ensemble learning method by integrating LASSO and BiLSTM to predict the USD/CNY exchange rate. </w:t>
      </w:r>
      <w:r>
        <w:rPr>
          <w:rFonts w:ascii="Times New Roman" w:hAnsi="Times New Roman"/>
          <w:color w:val="FF0000"/>
          <w:sz w:val="24"/>
        </w:rPr>
        <w:t xml:space="preserve">First, 29 variables are selected to reflect economic activites on market and macroeconomic levels. </w:t>
      </w:r>
      <w:r>
        <w:rPr>
          <w:rFonts w:ascii="Times New Roman" w:hAnsi="Times New Roman"/>
          <w:sz w:val="24"/>
        </w:rPr>
        <w:t>Then, LASSO-BiLSTM-based ensemble learning approach is adopted with two steps: 1) LASSO is used to select six variables that are highly correlated with the exchange rate to reduce noises</w:t>
      </w:r>
      <w:r>
        <w:rPr>
          <w:rFonts w:ascii="Times New Roman" w:hAnsi="Times New Roman"/>
          <w:color w:val="FF0000"/>
          <w:sz w:val="24"/>
        </w:rPr>
        <w:t xml:space="preserve">. 2) BiLSTM is employed to forecast exchange rate with the six chosen variables. </w:t>
      </w:r>
      <w:r>
        <w:rPr>
          <w:rFonts w:ascii="Times New Roman" w:hAnsi="Times New Roman"/>
          <w:sz w:val="24"/>
        </w:rPr>
        <w:t xml:space="preserve">Last, to test the effectiveness of BiLSTM, comparisons with four deep learning algorithms, which are extreme learning machine (ELM), kernel extreme learning machine (KELM), long short-term memory (LSTM), and support vector regression (SVR), are conducted. </w:t>
      </w:r>
      <w:r>
        <w:rPr>
          <w:rFonts w:ascii="Times New Roman" w:hAnsi="Times New Roman"/>
          <w:color w:val="FF0000"/>
          <w:sz w:val="24"/>
        </w:rPr>
        <w:t xml:space="preserve">The result shows that LASSO-BiLSTM outperforms the other models in 1-step forecast (MAE: 0.051, RMSE: 0.072, MDA:0.777). Same conclusion applies to 3-steps and 6-steps forecast. Overall, the proposed LASSO-BiLSTM-based ensemble learning method demonstrates high potential in time series </w:t>
      </w:r>
      <w:r>
        <w:rPr>
          <w:rFonts w:ascii="Times New Roman" w:hAnsi="Times New Roman" w:eastAsia="宋体"/>
          <w:color w:val="FF0000"/>
          <w:sz w:val="24"/>
        </w:rPr>
        <w:t>forecasting</w:t>
      </w:r>
      <w:r>
        <w:rPr>
          <w:rFonts w:ascii="Times New Roman" w:hAnsi="Times New Roman"/>
          <w:color w:val="FF0000"/>
          <w:sz w:val="24"/>
        </w:rPr>
        <w:t>.</w:t>
      </w:r>
      <w:bookmarkEnd w:id="1"/>
    </w:p>
    <w:p>
      <w:pPr>
        <w:pStyle w:val="12"/>
        <w:spacing w:beforeAutospacing="0" w:afterAutospacing="0" w:line="360" w:lineRule="auto"/>
        <w:rPr>
          <w:rFonts w:ascii="Times New Roman" w:hAnsi="Times New Roman" w:eastAsia="宋体"/>
          <w:b/>
          <w:bCs/>
          <w:color w:val="FF0000"/>
          <w:kern w:val="0"/>
          <w:sz w:val="31"/>
          <w:szCs w:val="31"/>
          <w:lang w:bidi="ar"/>
        </w:rPr>
      </w:pPr>
      <w:bookmarkStart w:id="2" w:name="_Hlk143470425"/>
      <w:r>
        <w:rPr>
          <w:rFonts w:hint="eastAsia" w:ascii="Times New Roman" w:hAnsi="Times New Roman" w:eastAsia="宋体"/>
          <w:b/>
          <w:bCs/>
          <w:color w:val="000000"/>
          <w:kern w:val="0"/>
          <w:sz w:val="28"/>
          <w:szCs w:val="28"/>
          <w:lang w:bidi="ar"/>
        </w:rPr>
        <w:t>K</w:t>
      </w:r>
      <w:r>
        <w:rPr>
          <w:rFonts w:ascii="Times New Roman" w:hAnsi="Times New Roman" w:eastAsia="宋体"/>
          <w:b/>
          <w:bCs/>
          <w:color w:val="000000"/>
          <w:kern w:val="0"/>
          <w:sz w:val="28"/>
          <w:szCs w:val="28"/>
          <w:lang w:bidi="ar"/>
        </w:rPr>
        <w:t>eywords</w:t>
      </w:r>
      <w:r>
        <w:rPr>
          <w:rFonts w:ascii="Times New Roman" w:hAnsi="Times New Roman" w:eastAsia="宋体"/>
          <w:b/>
          <w:bCs/>
          <w:color w:val="000000"/>
          <w:kern w:val="0"/>
          <w:sz w:val="31"/>
          <w:szCs w:val="31"/>
          <w:lang w:bidi="ar"/>
        </w:rPr>
        <w:t>:</w:t>
      </w:r>
      <w:r>
        <w:rPr>
          <w:rFonts w:hint="eastAsia" w:ascii="Times New Roman" w:hAnsi="Times New Roman" w:eastAsia="宋体"/>
          <w:b/>
          <w:bCs/>
          <w:color w:val="000000"/>
          <w:kern w:val="0"/>
          <w:sz w:val="31"/>
          <w:szCs w:val="31"/>
          <w:lang w:bidi="ar"/>
        </w:rPr>
        <w:t xml:space="preserve"> </w:t>
      </w:r>
      <w:r>
        <w:rPr>
          <w:rFonts w:ascii="Times New Roman" w:hAnsi="Times New Roman" w:eastAsia="宋体"/>
          <w:color w:val="0E101A"/>
          <w:sz w:val="24"/>
        </w:rPr>
        <w:t>Exchange rate forecasting, Macroeconomic factors, Market-based variables</w:t>
      </w:r>
      <w:r>
        <w:rPr>
          <w:rFonts w:ascii="Times New Roman" w:hAnsi="Times New Roman" w:eastAsia="宋体"/>
          <w:color w:val="FF0000"/>
          <w:sz w:val="24"/>
        </w:rPr>
        <w:t xml:space="preserve">, </w:t>
      </w:r>
      <w:bookmarkStart w:id="3" w:name="_Hlk143377312"/>
      <w:r>
        <w:rPr>
          <w:rFonts w:ascii="Times New Roman" w:hAnsi="Times New Roman" w:eastAsia="宋体"/>
          <w:color w:val="FF0000"/>
          <w:sz w:val="24"/>
        </w:rPr>
        <w:t>Time series forecasting</w:t>
      </w:r>
      <w:bookmarkEnd w:id="3"/>
    </w:p>
    <w:bookmarkEnd w:id="2"/>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4" w:name="_Hlk143365693"/>
      <w:r>
        <w:rPr>
          <w:rFonts w:ascii="Times New Roman" w:hAnsi="Times New Roman" w:eastAsia="宋体"/>
          <w:b/>
          <w:bCs/>
          <w:color w:val="0E101A"/>
          <w:sz w:val="28"/>
          <w:szCs w:val="28"/>
        </w:rPr>
        <w:t>Introduction</w:t>
      </w:r>
    </w:p>
    <w:bookmarkEnd w:id="4"/>
    <w:p>
      <w:pPr>
        <w:spacing w:line="360" w:lineRule="auto"/>
        <w:ind w:firstLine="420"/>
        <w:rPr>
          <w:rFonts w:ascii="Times New Roman" w:hAnsi="Times New Roman" w:eastAsia="宋体" w:cs="Times New Roman"/>
          <w:color w:val="0E101A"/>
          <w:sz w:val="24"/>
        </w:rPr>
      </w:pPr>
      <w:bookmarkStart w:id="5" w:name="_Hlk143469191"/>
      <w:r>
        <w:rPr>
          <w:rFonts w:ascii="Times New Roman" w:hAnsi="Times New Roman" w:eastAsia="宋体" w:cs="Times New Roman"/>
          <w:color w:val="FF0000"/>
          <w:sz w:val="24"/>
        </w:rPr>
        <w:t>Foreign exchange rates are always characterized by high volatility and uncertainty since it is influenced by numerous unstable factors, such as economic factors and geopolitical events and environmental factors (Njindan Iyke, 2020)</w:t>
      </w:r>
      <w:r>
        <w:rPr>
          <w:rFonts w:ascii="Times New Roman" w:hAnsi="Times New Roman" w:eastAsia="宋体" w:cs="Times New Roman"/>
          <w:color w:val="0E101A"/>
          <w:sz w:val="24"/>
        </w:rPr>
        <w:t xml:space="preserve">. However, forecasting the foreign exchange rates is essential for the government as it relates to the country’s financial security and may be used to have foresight </w:t>
      </w:r>
      <w:r>
        <w:rPr>
          <w:rFonts w:ascii="Times New Roman" w:hAnsi="Times New Roman" w:eastAsia="宋体" w:cs="Times New Roman"/>
          <w:color w:val="000000" w:themeColor="text1"/>
          <w:sz w:val="24"/>
          <w14:textFill>
            <w14:solidFill>
              <w14:schemeClr w14:val="tx1"/>
            </w14:solidFill>
          </w14:textFill>
        </w:rPr>
        <w:t>on</w:t>
      </w:r>
      <w:r>
        <w:rPr>
          <w:rFonts w:ascii="Times New Roman" w:hAnsi="Times New Roman" w:eastAsia="宋体" w:cs="Times New Roman"/>
          <w:color w:val="0E101A"/>
          <w:sz w:val="24"/>
        </w:rPr>
        <w:t xml:space="preserve"> policymaking </w:t>
      </w:r>
      <w:r>
        <w:rPr>
          <w:rFonts w:ascii="Times New Roman" w:hAnsi="Times New Roman" w:eastAsia="宋体" w:cs="Times New Roman"/>
          <w:color w:val="FF0000"/>
          <w:sz w:val="24"/>
        </w:rPr>
        <w:t>(Sun et al., 2020). Moreover, for enterprises and individuals, accurate foreign exchange rates may help them to hedge risks and gain considerable investment income. Thus, different models are adopted to precisely capture the complexity and nonlinearity of the foreign exchange rates (Rossi, 2013). However, decades of research are still plagued by low prediction accuracy, and the prediction of exchange rate series has become particularly important in recent years as the data magnitude and data modality have been updated (search index, sentiment, etc.).</w:t>
      </w:r>
      <w:bookmarkEnd w:id="5"/>
      <w:r>
        <w:rPr>
          <w:rFonts w:ascii="Times New Roman" w:hAnsi="Times New Roman" w:eastAsia="宋体" w:cs="Times New Roman"/>
          <w:color w:val="FF0000"/>
          <w:sz w:val="24"/>
        </w:rPr>
        <w:t xml:space="preserve"> </w:t>
      </w:r>
      <w:r>
        <w:rPr>
          <w:rFonts w:ascii="Times New Roman" w:hAnsi="Times New Roman" w:eastAsia="宋体" w:cs="Times New Roman"/>
          <w:color w:val="0E101A"/>
          <w:sz w:val="24"/>
        </w:rPr>
        <w:t>This research aims to predict the exchange rate of USD/CNY by employing new combinations of variables and using different neural network models, improving the original methodology.</w:t>
      </w:r>
    </w:p>
    <w:p>
      <w:pPr>
        <w:spacing w:line="360" w:lineRule="auto"/>
        <w:ind w:firstLine="420"/>
        <w:rPr>
          <w:rFonts w:ascii="Times New Roman" w:hAnsi="Times New Roman" w:eastAsia="宋体" w:cs="Times New Roman"/>
          <w:color w:val="0E101A"/>
          <w:sz w:val="24"/>
        </w:rPr>
      </w:pPr>
      <w:bookmarkStart w:id="6" w:name="_Hlk143375854"/>
      <w:r>
        <w:rPr>
          <w:rFonts w:ascii="Times New Roman" w:hAnsi="Times New Roman" w:eastAsia="宋体" w:cs="Times New Roman"/>
          <w:color w:val="FF0000"/>
          <w:sz w:val="24"/>
        </w:rPr>
        <w:t>Models applied to exchange rate forecasting</w:t>
      </w:r>
      <w:bookmarkEnd w:id="6"/>
      <w:r>
        <w:rPr>
          <w:rFonts w:ascii="Times New Roman" w:hAnsi="Times New Roman" w:eastAsia="宋体" w:cs="Times New Roman"/>
          <w:color w:val="FF0000"/>
          <w:sz w:val="24"/>
        </w:rPr>
        <w:t xml:space="preserve"> can be divided into three categories</w:t>
      </w:r>
      <w:r>
        <w:rPr>
          <w:rFonts w:ascii="Times New Roman" w:hAnsi="Times New Roman" w:eastAsia="宋体" w:cs="Times New Roman"/>
          <w:color w:val="0E101A"/>
          <w:sz w:val="24"/>
        </w:rPr>
        <w:t xml:space="preserve">: 1) econometric and statistic methods, including autoregressive integrated moving average model (ARIMA), generalized autoregressive conditional heteroskedasticity (GARCH), vector autoregression models (VAR), etc. Econometric and statistical methods always have the stationarity assumption and perform better with stationary data. However, the predictions would be far less than ideal with the nonstationary data. 2) artificial intelligence model, including artificial neural network (ANN), support vector regression (SVR), etc. </w:t>
      </w:r>
      <w:r>
        <w:rPr>
          <w:rFonts w:ascii="Times New Roman" w:hAnsi="Times New Roman" w:eastAsia="宋体" w:cs="Times New Roman"/>
          <w:color w:val="FF0000"/>
          <w:sz w:val="24"/>
        </w:rPr>
        <w:t xml:space="preserve">Other artificial intelligence models such as multi-functional recurrent fuzzy neural network and new gate control unit network are developed recently (Wang et al, 2022; Nasiri &amp; Ebadzadeh, 2022). </w:t>
      </w:r>
      <w:r>
        <w:rPr>
          <w:rFonts w:ascii="Times New Roman" w:hAnsi="Times New Roman" w:eastAsia="宋体" w:cs="Times New Roman"/>
          <w:color w:val="0E101A"/>
          <w:sz w:val="24"/>
        </w:rPr>
        <w:t>Artificial intelligence models overcome the shortages of econometric and</w:t>
      </w:r>
      <w:r>
        <w:rPr>
          <w:rFonts w:ascii="Times New Roman" w:hAnsi="Times New Roman" w:eastAsia="宋体" w:cs="Times New Roman"/>
          <w:color w:val="000000" w:themeColor="text1"/>
          <w:sz w:val="24"/>
          <w14:textFill>
            <w14:solidFill>
              <w14:schemeClr w14:val="tx1"/>
            </w14:solidFill>
          </w14:textFill>
        </w:rPr>
        <w:t xml:space="preserve"> statistical</w:t>
      </w:r>
      <w:r>
        <w:rPr>
          <w:rFonts w:ascii="Times New Roman" w:hAnsi="Times New Roman" w:eastAsia="宋体" w:cs="Times New Roman"/>
          <w:color w:val="0E101A"/>
          <w:sz w:val="24"/>
        </w:rPr>
        <w:t xml:space="preserve"> methods but also have parameters optimal and overfitting problems. 3) Hybrid approach, which can combine parametric and nonparametric techniques. Ince &amp; Trafalis divided the prediction process into two stages, using ARIMA to determine the correct input in the first stage, and combining ANN and SVR to forecast the exchange rate in the second stage (Ince &amp; Trafailis, 2006). Henríquez &amp; Kristjanpoller (2019) first used independent component analysis (ICA) to extract the noise of time series and then used NN in forecasting. Other hybrid models such as the VMD-CNN-GRU-based model (variational mode decomposition-</w:t>
      </w:r>
      <w:r>
        <w:t xml:space="preserve"> </w:t>
      </w:r>
      <w:r>
        <w:rPr>
          <w:rFonts w:ascii="Times New Roman" w:hAnsi="Times New Roman" w:eastAsia="宋体" w:cs="Times New Roman"/>
          <w:color w:val="0E101A"/>
          <w:sz w:val="24"/>
        </w:rPr>
        <w:t>convolutional neural network-</w:t>
      </w:r>
      <w:r>
        <w:t xml:space="preserve"> </w:t>
      </w:r>
      <w:r>
        <w:rPr>
          <w:rFonts w:ascii="Times New Roman" w:hAnsi="Times New Roman" w:eastAsia="宋体" w:cs="Times New Roman"/>
          <w:color w:val="0E101A"/>
          <w:sz w:val="24"/>
        </w:rPr>
        <w:t>gated recurrent unit) (Zhao et al., 2023), CNN-BiLSTM (bi-directional long short-term memory) (Méndez et al., 2023), ANN-GJR (Baffour et al., 2019), and GRU-LSTM (Islam &amp; Hossain, 2020) were used in recent years. Whereas existing literature mainly adopted a data-driven framework. The long-term result may not be captured accurately without comprehensively considering the influence of correlated variables.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Traditionally, macroeconomic and market-level variables are used to forecast the exchange rate. Since macroeconomic variables and the exchange rate are strongly and directly correlated, the predictions were made in various countries. Nor &amp; Masron (2020) analyzed the situation in Somalia and illustrated that shocks and macroeconomic factors lead the high volatility. Kim &amp; Park concluded that specific macroeconomic variables affect short-term and long-term fluctuations of the exchange rate in the US, respectively. Moreover, the relationships between macroeconomic variables and the exchange rate vary in different countries.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Market-level variables may be divided into different categories. For instance, for the commodity market, the cross-correlations between the exchange rate and commodity prices were analyzed (Cashin et al., 2004; Lu et al., 2017). Some pieces of literature may focus on specific commodities and take the financial market into account, studying correlations across energy, gold, the stock market, and the exchange rate (Sujit &amp; Kumar, 2011</w:t>
      </w:r>
      <w:r>
        <w:rPr>
          <w:rFonts w:hint="eastAsia" w:ascii="Times New Roman" w:hAnsi="Times New Roman" w:eastAsia="宋体" w:cs="Times New Roman"/>
          <w:color w:val="0E101A"/>
          <w:sz w:val="24"/>
        </w:rPr>
        <w:t>;</w:t>
      </w:r>
      <w:r>
        <w:rPr>
          <w:rFonts w:ascii="Times New Roman" w:hAnsi="Times New Roman" w:eastAsia="宋体" w:cs="Times New Roman"/>
          <w:color w:val="0E101A"/>
          <w:sz w:val="24"/>
        </w:rPr>
        <w:t xml:space="preserve"> Jain &amp; Biswal, 2016; Singhal et al., 2019). Others may use Google trends to predict the exchange rates since it represents public opinions to a certain degree and may be more accurate in predicting the actual directions of change in the nominal exchange rate (Bulut, 2018).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However, existing literature uses only macroeconomics variables or market-level variables to predict the exchange rate, and a few uses both. Moreover, among these variables, some may have the highest relevance to the exchange rate (Wei et al., 2018). </w:t>
      </w:r>
      <w:r>
        <w:rPr>
          <w:rFonts w:ascii="Times New Roman" w:hAnsi="Times New Roman" w:eastAsia="宋体" w:cs="Times New Roman"/>
          <w:color w:val="FF0000"/>
          <w:sz w:val="24"/>
        </w:rPr>
        <w:t>Thus, selecting the most necessary variables and excluding variables with low relevance may reduce noise, providing a more accurate result.</w:t>
      </w:r>
    </w:p>
    <w:p>
      <w:pPr>
        <w:spacing w:line="360" w:lineRule="auto"/>
        <w:ind w:firstLine="420"/>
        <w:rPr>
          <w:rFonts w:ascii="Times New Roman" w:hAnsi="Times New Roman" w:eastAsia="宋体" w:cs="Times New Roman"/>
          <w:color w:val="FF0000"/>
          <w:sz w:val="24"/>
        </w:rPr>
      </w:pPr>
      <w:bookmarkStart w:id="7" w:name="_Hlk143365669"/>
      <w:bookmarkStart w:id="8" w:name="_Hlk143468180"/>
      <w:r>
        <w:rPr>
          <w:rFonts w:ascii="Times New Roman" w:hAnsi="Times New Roman" w:eastAsia="宋体" w:cs="Times New Roman"/>
          <w:color w:val="FF0000"/>
          <w:sz w:val="24"/>
        </w:rPr>
        <w:t>Therefore, a novel LASSO-BiLSTM-based ensemble learning approach for exchange rate forecasting is proposed. First, this study collect the exchange rate historical data with related variables, whose external variables contain 29 variables in 4 areas; second, this study adopt the LASSO method (least absolute shrinkage and selection operator) to screen many variables in order to reduce the amount of subsequent calculations and to improve the accuracy; third, this study adopt the neural network model of Bi-LSTM to forecast the exchange rate series; finally, this study adopt a variety of prediction evaluation indexes to assess the prediction results in order to illustrate the superiority of the model proposed in this study.</w:t>
      </w:r>
    </w:p>
    <w:bookmarkEnd w:id="7"/>
    <w:p>
      <w:pPr>
        <w:spacing w:line="360" w:lineRule="auto"/>
        <w:ind w:firstLine="420"/>
        <w:rPr>
          <w:rFonts w:ascii="Times New Roman" w:hAnsi="Times New Roman" w:eastAsia="宋体" w:cs="Times New Roman"/>
          <w:color w:val="FF0000"/>
          <w:sz w:val="24"/>
        </w:rPr>
      </w:pPr>
      <w:r>
        <w:rPr>
          <w:rFonts w:ascii="Times New Roman" w:hAnsi="Times New Roman" w:eastAsia="宋体" w:cs="Times New Roman"/>
          <w:color w:val="FF0000"/>
          <w:sz w:val="24"/>
        </w:rPr>
        <w:t xml:space="preserve">The major contributions in this paper are as follows. </w:t>
      </w:r>
      <w:bookmarkStart w:id="9" w:name="_Hlk143365282"/>
      <w:r>
        <w:rPr>
          <w:rFonts w:ascii="Times New Roman" w:hAnsi="Times New Roman" w:eastAsia="宋体" w:cs="Times New Roman"/>
          <w:color w:val="FF0000"/>
          <w:sz w:val="24"/>
        </w:rPr>
        <w:t>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the collected features are filtered using LASSO, an efficient tool, to improve the prediction efficiency and accuracy. Third, the prediction is performed using an efficient Bi-LSTM model, which, to the best of our knowledge, is the first time it has been applied to exchange rate prediction.</w:t>
      </w:r>
      <w:bookmarkEnd w:id="8"/>
    </w:p>
    <w:bookmarkEnd w:id="9"/>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The rest of this study is organized as follows. </w:t>
      </w:r>
      <w:r>
        <w:rPr>
          <w:rFonts w:ascii="Times New Roman" w:hAnsi="Times New Roman" w:eastAsia="宋体" w:cs="Times New Roman"/>
          <w:color w:val="FF0000"/>
          <w:sz w:val="24"/>
        </w:rPr>
        <w:t>Section 2 shows the literature review related to this study.</w:t>
      </w:r>
      <w:r>
        <w:rPr>
          <w:rFonts w:ascii="Times New Roman" w:hAnsi="Times New Roman" w:eastAsia="宋体" w:cs="Times New Roman"/>
          <w:color w:val="0E101A"/>
          <w:sz w:val="24"/>
        </w:rPr>
        <w:t xml:space="preserve"> Section 3 introduces the related models, including LASSO, SVR, ELM, LSTM, BiLSTM, and KELM. Section 4 proposes 29 initially chosen variables in four different categories, six selected variables with the most significant relevance, and the adopted evaluation criteria. Finally, the performances of five neural network models and the other five LASSO-combining models are compared horizontally in Section 5. </w:t>
      </w:r>
      <w:r>
        <w:rPr>
          <w:rFonts w:ascii="Times New Roman" w:hAnsi="Times New Roman" w:eastAsia="宋体" w:cs="Times New Roman"/>
          <w:color w:val="FF0000"/>
          <w:sz w:val="24"/>
        </w:rPr>
        <w:t xml:space="preserve">In Section 6, we discuss the results of the study, including a description of the contributions of this study, shortcomings and perspectives for the future. </w:t>
      </w:r>
      <w:r>
        <w:rPr>
          <w:rFonts w:hint="eastAsia" w:ascii="Times New Roman" w:hAnsi="Times New Roman" w:eastAsia="宋体" w:cs="Times New Roman"/>
          <w:color w:val="FF0000"/>
          <w:sz w:val="24"/>
        </w:rPr>
        <w:t>Figure</w:t>
      </w:r>
      <w:r>
        <w:rPr>
          <w:rFonts w:ascii="Times New Roman" w:hAnsi="Times New Roman" w:eastAsia="宋体" w:cs="Times New Roman"/>
          <w:color w:val="FF0000"/>
          <w:sz w:val="24"/>
        </w:rPr>
        <w:t xml:space="preserve"> 1 below demonstrates the overall process of this study.</w:t>
      </w:r>
    </w:p>
    <w:p>
      <w:pPr>
        <w:keepNext/>
        <w:spacing w:line="360" w:lineRule="auto"/>
        <w:rPr>
          <w:rFonts w:ascii="Times New Roman" w:hAnsi="Times New Roman" w:cs="Times New Roman"/>
        </w:rPr>
      </w:pPr>
      <w:r>
        <w:rPr>
          <w:rFonts w:ascii="Times New Roman" w:hAnsi="Times New Roman" w:cs="Times New Roman"/>
        </w:rPr>
        <w:drawing>
          <wp:inline distT="0" distB="0" distL="114300" distR="114300">
            <wp:extent cx="5270500" cy="2971165"/>
            <wp:effectExtent l="0" t="0" r="635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6"/>
                    <a:stretch>
                      <a:fillRect/>
                    </a:stretch>
                  </pic:blipFill>
                  <pic:spPr>
                    <a:xfrm>
                      <a:off x="0" y="0"/>
                      <a:ext cx="5270500" cy="2971165"/>
                    </a:xfrm>
                    <a:prstGeom prst="rect">
                      <a:avLst/>
                    </a:prstGeom>
                  </pic:spPr>
                </pic:pic>
              </a:graphicData>
            </a:graphic>
          </wp:inline>
        </w:drawing>
      </w: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A LASSO-BiLSTM-based ensemble learning approach</w:t>
      </w:r>
    </w:p>
    <w:p>
      <w:pPr>
        <w:pStyle w:val="12"/>
        <w:numPr>
          <w:ilvl w:val="0"/>
          <w:numId w:val="1"/>
        </w:numPr>
        <w:spacing w:before="312" w:beforeLines="100" w:beforeAutospacing="0" w:afterAutospacing="0" w:line="360" w:lineRule="auto"/>
        <w:outlineLvl w:val="0"/>
        <w:rPr>
          <w:rFonts w:ascii="Times New Roman" w:hAnsi="Times New Roman" w:eastAsia="宋体"/>
          <w:b/>
          <w:bCs/>
          <w:color w:val="FF0000"/>
          <w:sz w:val="28"/>
          <w:szCs w:val="28"/>
        </w:rPr>
      </w:pPr>
      <w:bookmarkStart w:id="10" w:name="_Toc114151810"/>
      <w:r>
        <w:rPr>
          <w:rFonts w:ascii="Times New Roman" w:hAnsi="Times New Roman" w:eastAsia="宋体"/>
          <w:b/>
          <w:bCs/>
          <w:color w:val="FF0000"/>
          <w:sz w:val="28"/>
          <w:szCs w:val="28"/>
        </w:rPr>
        <w:t>Literature Review</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This section reviews relevant literature about exchange rate forecasting with forecasting model and variable selection. </w:t>
      </w:r>
    </w:p>
    <w:p>
      <w:pPr>
        <w:pStyle w:val="21"/>
        <w:spacing w:before="156" w:beforeLines="50" w:line="360" w:lineRule="auto"/>
        <w:ind w:left="0" w:leftChars="0"/>
        <w:outlineLvl w:val="1"/>
        <w:rPr>
          <w:rFonts w:ascii="Times New Roman" w:hAnsi="Times New Roman" w:cs="Times New Roman"/>
          <w:b/>
          <w:bCs/>
          <w:i/>
          <w:iCs/>
          <w:color w:val="FF0000"/>
          <w:sz w:val="24"/>
        </w:rPr>
      </w:pPr>
      <w:r>
        <w:rPr>
          <w:rFonts w:ascii="Times New Roman" w:hAnsi="Times New Roman" w:cs="Times New Roman"/>
          <w:b/>
          <w:bCs/>
          <w:i/>
          <w:iCs/>
          <w:color w:val="FF0000"/>
          <w:sz w:val="24"/>
        </w:rPr>
        <w:t xml:space="preserve">2.1 Forecasting model </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Traditionally, econometrics and statistic methods are univariate or multivariate analyses of time series. For example, by adopting ARIMA, Reddy SK (2015) investigates the behavior of daily exchange rates of the Indian Rupee (INR) against four other currencies. To improve, ensemble approaches based on econometrics and statistic models are used, such as ARIMA-based time series methods, GARCH-based and VAR-based learning (Pilbeam &amp; Langeland, 2014; Khashei et al., 2015; Brownlees &amp; Gallo, 2009; Epaphra, 2017; Parot et al., 2019). </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However, univariate or multivariate analysis has limited capacity to analyze nonlinear data and requires linearity assumption. Machine learning can overcome these barriers effectively. For instance, Panda and Narasimhan (2007) found that neural network ANN outperforms linear autoregressive (LAR) and random walk (RW) models. Evolutionary support vector machine (SVR) and other ensemble learning approaches all demonstrate adaptive properties such as non-parametric, noise-tolerant, allowing machine learning models to map non-linear functions effectively (Fu et al., 2019; Sun &amp; Yu, 2019; Amelot et al., 2020; Kaushik &amp; Giri, 2020).</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The remaining shortages of machine learning, such as overfitting, and backpropagated error decay, are then improved by deep learning method. Kaushik and Giri (2020) proposed the LSTM-RNN model that achieves higher prediction accuracy. Sun et al. (2020) proposed a new ensemble deep learning approach LSTM-B to improve forecasting accuracy and potential trading profitability. Dautel et al. (2020) examines the effectiveness of GRU and indicate its suitability in exchange rate forecasting. Other deep learning models, such as MLP, CNN, NGCU and MFRFNN, are also implemented in time series prediction (Wang et al., 2021; Wang et al., 2022; Nasiri &amp; Ebadzadeh, 2022; Singh et al., 2022; Liu et al., 2023). However, to best of our knowledge, the deep learning model BiLSTM hasn’t been adopted in Forex Prediction. According to existing literature, it is mainly adopted to analyze sentimental texts, financial market, and tourism demand (Chen et al., 2017; Zhang et al., 2018; Rhanoui et al., 2019; Xu et al., 2019; Mustaqeem et al., 2020; Kulshrestha et al., 2020; Lu et al., 2020; Yang &amp; Wang, 2022). Since BiLSTM has a strong capacity to capture future information and analyze sentiments effectively, adopting BiLSTM in the Forex market can better adapt to the instability of exchange rates and economic uncertainty. </w:t>
      </w:r>
    </w:p>
    <w:p>
      <w:pPr>
        <w:pStyle w:val="21"/>
        <w:spacing w:before="156" w:beforeLines="50" w:line="360" w:lineRule="auto"/>
        <w:ind w:left="0" w:leftChars="0"/>
        <w:outlineLvl w:val="1"/>
        <w:rPr>
          <w:rFonts w:ascii="Times New Roman" w:hAnsi="Times New Roman" w:eastAsia="宋体"/>
          <w:color w:val="FF0000"/>
          <w:sz w:val="24"/>
        </w:rPr>
      </w:pPr>
      <w:r>
        <w:rPr>
          <w:rFonts w:ascii="Times New Roman" w:hAnsi="Times New Roman" w:cs="Times New Roman"/>
          <w:b/>
          <w:bCs/>
          <w:i/>
          <w:iCs/>
          <w:color w:val="FF0000"/>
          <w:sz w:val="24"/>
        </w:rPr>
        <w:t>2.2 Variable selection</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Multiple domains of variables are adopted to forecast exchange rates. The most commonly used are macroeconomics variables and research shows that the movement of the exchange rate is tightly related to the performance of macroeconomic fundamentals (Huang et al., 2004; Rime et al., 2010; Molodtsova &amp; Papell, 2012; Chaudhuri &amp; Ghosh, 2016; Beckmann &amp; Schüssler, 2016; Ca’ Zorzi et al., 2017; Beckmann &amp; Czudaj, 2017). Financial variables, such as Dow Jones and stock market indices, are also frequently adopted to capture the volatility of exchange rates (Huang et al., 2007; Yuan, 2013; Xiao, 2013; Raheem, 2020). Other variables that reflect market sentiment also show predictive power (Heiden et al., 2013; Bulut, 2017; Lin et al., 2022). However, only a few research adopt variables from different domains at the same time (Morales-Arias &amp; Moura, 2013). To improve, this study selects macroeconomic variables, indicators in the financial market, sentimental index, and composite indicators to reflect economic activities comprehensively. Table 1 below provides a summary of current exchange rate forecasting literatures.</w:t>
      </w:r>
    </w:p>
    <w:p>
      <w:pPr>
        <w:spacing w:line="360" w:lineRule="auto"/>
        <w:jc w:val="left"/>
        <w:rPr>
          <w:rFonts w:ascii="Times New Roman" w:hAnsi="Times New Roman" w:eastAsia="宋体" w:cs="Times New Roman"/>
          <w:color w:val="FF0000"/>
          <w:sz w:val="24"/>
        </w:rPr>
      </w:pPr>
      <w:r>
        <w:rPr>
          <w:rFonts w:ascii="Times New Roman" w:hAnsi="Times New Roman" w:eastAsia="宋体" w:cs="Times New Roman"/>
          <w:color w:val="FF0000"/>
          <w:sz w:val="24"/>
        </w:rPr>
        <w:t>Table 1: Summary of current exchange rate forecasting references</w:t>
      </w:r>
    </w:p>
    <w:tbl>
      <w:tblPr>
        <w:tblStyle w:val="1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8"/>
        <w:gridCol w:w="2124"/>
        <w:gridCol w:w="1647"/>
        <w:gridCol w:w="847"/>
        <w:gridCol w:w="1016"/>
        <w:gridCol w:w="112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References</w:t>
            </w:r>
          </w:p>
        </w:tc>
        <w:tc>
          <w:tcPr>
            <w:tcW w:w="1246"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rPr>
              <w:t>Data set</w:t>
            </w:r>
          </w:p>
        </w:tc>
        <w:tc>
          <w:tcPr>
            <w:tcW w:w="966"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Methods</w:t>
            </w:r>
          </w:p>
        </w:tc>
        <w:tc>
          <w:tcPr>
            <w:tcW w:w="497"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Wide range of data</w:t>
            </w:r>
          </w:p>
        </w:tc>
        <w:tc>
          <w:tcPr>
            <w:tcW w:w="596"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deep learning model</w:t>
            </w:r>
          </w:p>
        </w:tc>
        <w:tc>
          <w:tcPr>
            <w:tcW w:w="662"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Feature selection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Reddy SK (2015)</w:t>
            </w:r>
          </w:p>
        </w:tc>
        <w:tc>
          <w:tcPr>
            <w:tcW w:w="1246"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w:t>
            </w:r>
          </w:p>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(INR/USD, INR/GBP, INR/EUR &amp; INR/JPY)</w:t>
            </w:r>
          </w:p>
        </w:tc>
        <w:tc>
          <w:tcPr>
            <w:tcW w:w="966"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ARIMA, Neural Network &amp; Fuzzy models</w:t>
            </w:r>
          </w:p>
        </w:tc>
        <w:tc>
          <w:tcPr>
            <w:tcW w:w="497"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Epaphra, M. (2017)</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(TZS/USD)</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GARCH&amp;EGARCH</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Kaushik &amp; Giri (2020)</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Macroeconomic variables</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VAR, SVM,LSTM</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Dautel et al. (2020)</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(EUR/USD, GBP/USD, JPY/USD, CHF/USE)</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LSTM, GRU</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Wang et al. (2021)</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rate(USD/CNY)</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CNN-TLSTM</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√(only target to exchange rate)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Lin et al., (2022)</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Baidu index, exchange rate (USD/CNY)</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 xml:space="preserve">WOA-STL-BI-LSTM </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Bulut (2017)</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 xml:space="preserve">Google Trends, exchange rate of 11 OCED countries </w:t>
            </w:r>
          </w:p>
        </w:tc>
        <w:tc>
          <w:tcPr>
            <w:tcW w:w="966" w:type="pct"/>
            <w:shd w:val="clear" w:color="auto" w:fill="auto"/>
          </w:tcPr>
          <w:p>
            <w:pPr>
              <w:widowControl/>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PPP model, interest parity model, monetary model</w:t>
            </w:r>
          </w:p>
          <w:p>
            <w:pPr>
              <w:jc w:val="left"/>
              <w:rPr>
                <w:rFonts w:ascii="Times New Roman" w:hAnsi="Times New Roman" w:eastAsia="宋体" w:cs="Times New Roman"/>
                <w:color w:val="FF0000"/>
                <w:szCs w:val="21"/>
              </w:rPr>
            </w:pP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Morales-Arias &amp; Moura (2013)</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macroeconomic variables, returns/volatility of asset markets &amp; cyclical and confidence indices</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long-horizon regression approach</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Parot et al., (2019)</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(EUR/USD, GBP/USD, JPY/USD)</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ANN, VAR, VECM</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Pilbeam &amp; Langeland (2014)</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(USD/JPY, USD/CHF, USD/GBP, USD/EUR)</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GARCH models</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p>
            <w:pPr>
              <w:jc w:val="left"/>
              <w:rPr>
                <w:rFonts w:ascii="Times New Roman" w:hAnsi="Times New Roman" w:eastAsia="宋体" w:cs="Times New Roman"/>
                <w:color w:val="FF0000"/>
                <w:szCs w:val="21"/>
                <w:lang w:bidi="ar"/>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Salisu et al., (2019)</w:t>
            </w:r>
          </w:p>
        </w:tc>
        <w:tc>
          <w:tcPr>
            <w:tcW w:w="124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Commodity price indices, exchange rate(AUD/USD, CAD/USD, GBP/USD, EUR/USD)</w:t>
            </w:r>
          </w:p>
        </w:tc>
        <w:tc>
          <w:tcPr>
            <w:tcW w:w="96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a bivariate single predictive model</w:t>
            </w:r>
          </w:p>
        </w:tc>
        <w:tc>
          <w:tcPr>
            <w:tcW w:w="497"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Altan &amp; Karasu (2019)</w:t>
            </w:r>
          </w:p>
        </w:tc>
        <w:tc>
          <w:tcPr>
            <w:tcW w:w="124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CCI, exchange rate (USD/TRY,  EUR/TRY)</w:t>
            </w:r>
          </w:p>
        </w:tc>
        <w:tc>
          <w:tcPr>
            <w:tcW w:w="96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SVM</w:t>
            </w:r>
          </w:p>
        </w:tc>
        <w:tc>
          <w:tcPr>
            <w:tcW w:w="497"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Yasir et al., (2019)</w:t>
            </w:r>
          </w:p>
        </w:tc>
        <w:tc>
          <w:tcPr>
            <w:tcW w:w="124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Sentimental texts (5.9 million tweets), Exchange rate(PKR/USD, GBP/USD, HKD/USD)</w:t>
            </w:r>
          </w:p>
        </w:tc>
        <w:tc>
          <w:tcPr>
            <w:tcW w:w="96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CNN-based, linear regression, SVR</w:t>
            </w:r>
          </w:p>
        </w:tc>
        <w:tc>
          <w:tcPr>
            <w:tcW w:w="497"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r>
    </w:tbl>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r>
        <w:rPr>
          <w:rFonts w:ascii="Times New Roman" w:hAnsi="Times New Roman" w:eastAsia="宋体"/>
          <w:b/>
          <w:bCs/>
          <w:color w:val="0E101A"/>
          <w:sz w:val="28"/>
          <w:szCs w:val="28"/>
        </w:rPr>
        <w:t>Methodology</w:t>
      </w:r>
      <w:bookmarkEnd w:id="10"/>
    </w:p>
    <w:p>
      <w:pPr>
        <w:spacing w:line="360" w:lineRule="auto"/>
        <w:ind w:firstLine="360"/>
        <w:rPr>
          <w:rFonts w:ascii="Times New Roman" w:hAnsi="Times New Roman" w:cs="Times New Roman"/>
          <w:sz w:val="24"/>
        </w:rPr>
      </w:pPr>
      <w:r>
        <w:rPr>
          <w:rFonts w:ascii="Times New Roman" w:hAnsi="Times New Roman" w:cs="Times New Roman"/>
          <w:sz w:val="24"/>
        </w:rPr>
        <w:t>Several machine learning approaches were used in the method. The least absolute shrinkage and selection operator (LASSO) method is used to select several optimal variables out of 2</w:t>
      </w:r>
      <w:r>
        <w:rPr>
          <w:rFonts w:hint="eastAsia" w:ascii="Times New Roman" w:hAnsi="Times New Roman" w:cs="Times New Roman"/>
          <w:sz w:val="24"/>
        </w:rPr>
        <w:t>9</w:t>
      </w:r>
      <w:r>
        <w:rPr>
          <w:rFonts w:ascii="Times New Roman" w:hAnsi="Times New Roman" w:cs="Times New Roman"/>
          <w:sz w:val="24"/>
        </w:rPr>
        <w:t>. Bidirectional long short-term memory (BiLSTM) model, extreme learning machine (ELM), kernel extreme learning machine (KELM), long short-term memory (LSTM), and support vector regression (SVR) models will be used in forecasting USD/CNY, and its accuracy will be compared amongst these models.</w:t>
      </w:r>
    </w:p>
    <w:p>
      <w:pPr>
        <w:pStyle w:val="21"/>
        <w:spacing w:before="156" w:beforeLines="50" w:line="360" w:lineRule="auto"/>
        <w:ind w:left="0" w:leftChars="0"/>
        <w:outlineLvl w:val="1"/>
        <w:rPr>
          <w:rFonts w:ascii="Times New Roman" w:hAnsi="Times New Roman" w:cs="Times New Roman"/>
          <w:b/>
          <w:bCs/>
          <w:i/>
          <w:iCs/>
          <w:sz w:val="24"/>
        </w:rPr>
      </w:pPr>
      <w:bookmarkStart w:id="11" w:name="_Toc114151811"/>
      <w:r>
        <w:rPr>
          <w:rFonts w:ascii="Times New Roman" w:hAnsi="Times New Roman" w:cs="Times New Roman"/>
          <w:b/>
          <w:bCs/>
          <w:i/>
          <w:iCs/>
          <w:sz w:val="24"/>
        </w:rPr>
        <w:t>3.1 Least absolute shrinkage and selection operator</w:t>
      </w:r>
      <w:bookmarkEnd w:id="11"/>
    </w:p>
    <w:p>
      <w:pPr>
        <w:spacing w:line="360" w:lineRule="auto"/>
        <w:ind w:firstLine="360"/>
        <w:rPr>
          <w:rFonts w:ascii="Times New Roman" w:hAnsi="Times New Roman" w:cs="Times New Roman"/>
          <w:sz w:val="24"/>
        </w:rPr>
      </w:pPr>
      <w:r>
        <w:rPr>
          <w:rFonts w:ascii="Times New Roman" w:hAnsi="Times New Roman" w:cs="Times New Roman"/>
          <w:sz w:val="24"/>
        </w:rPr>
        <w:t xml:space="preserve">The LASSO is a powerful method for variable selection and constructing regression. </w:t>
      </w:r>
      <w:r>
        <w:rPr>
          <w:rFonts w:ascii="Times New Roman" w:hAnsi="Times New Roman" w:cs="Times New Roman"/>
          <w:color w:val="FF0000"/>
          <w:sz w:val="24"/>
        </w:rPr>
        <w:t>This method was proposed by Tibshirani (1996), which is used to enhance the testing accuracy of machine learning models. LASSO adds a penalty to the model’s residual sum of squares (RSS) (Tibshirani, 1996)</w:t>
      </w:r>
      <w:r>
        <w:rPr>
          <w:rFonts w:ascii="Times New Roman" w:hAnsi="Times New Roman" w:cs="Times New Roman"/>
          <w:sz w:val="24"/>
        </w:rPr>
        <w:t xml:space="preserve">. </w:t>
      </w:r>
      <w:r>
        <w:rPr>
          <w:rFonts w:ascii="Times New Roman" w:hAnsi="Times New Roman" w:cs="Times New Roman"/>
          <w:color w:val="FF0000"/>
          <w:sz w:val="24"/>
        </w:rPr>
        <w:t xml:space="preserve">The variable will be penalized more </w:t>
      </w:r>
      <w:r>
        <w:rPr>
          <w:rFonts w:ascii="Times New Roman" w:hAnsi="Times New Roman" w:cs="Times New Roman"/>
          <w:sz w:val="24"/>
        </w:rPr>
        <w:t xml:space="preserve">if the RSS exceeds the penalty term; therefore, a regularization process will be applied to shrink some of its coefficients to zero so the penalty will not be too high (Tibshirani, 1997). </w:t>
      </w:r>
      <w:r>
        <w:rPr>
          <w:rFonts w:ascii="Times New Roman" w:hAnsi="Times New Roman" w:cs="Times New Roman"/>
          <w:color w:val="FF0000"/>
          <w:sz w:val="24"/>
        </w:rPr>
        <w:t xml:space="preserve">Thus, only features with non-zero coefficient are left, feature selection is achieved. </w:t>
      </w:r>
    </w:p>
    <w:p>
      <w:pPr>
        <w:spacing w:line="360" w:lineRule="auto"/>
        <w:ind w:firstLine="360"/>
        <w:rPr>
          <w:rFonts w:ascii="Times New Roman" w:hAnsi="Times New Roman" w:cs="Times New Roman"/>
          <w:sz w:val="24"/>
        </w:rPr>
      </w:pPr>
      <w:r>
        <w:rPr>
          <w:rFonts w:ascii="Times New Roman" w:hAnsi="Times New Roman" w:cs="Times New Roman"/>
          <w:sz w:val="24"/>
        </w:rPr>
        <w:t>The LASSO method can bring several advantages. First, the LASSO can increase the interpretability of the regression model due to the shrinkage of several redundant or least correlated variables.</w:t>
      </w:r>
      <w:r>
        <w:rPr>
          <w:rFonts w:ascii="Times New Roman" w:hAnsi="Times New Roman" w:cs="Times New Roman"/>
          <w:color w:val="FF0000"/>
          <w:sz w:val="24"/>
        </w:rPr>
        <w:t xml:space="preserve"> Researchers can then interpret the most significant explanatory variable, eliminating irrelevant variables that are not correlated. Second, this process reduces overfitting. </w:t>
      </w:r>
      <w:r>
        <w:rPr>
          <w:rFonts w:ascii="Times New Roman" w:hAnsi="Times New Roman" w:cs="Times New Roman"/>
          <w:sz w:val="24"/>
        </w:rPr>
        <w:t>Overfitting usually occurs when the training model has too many explanatory variables. Although the model will fit well in training, it does not accurately predict t</w:t>
      </w:r>
      <w:r>
        <w:rPr>
          <w:rFonts w:ascii="Times New Roman" w:hAnsi="Times New Roman" w:cs="Times New Roman"/>
          <w:color w:val="000000"/>
          <w:sz w:val="24"/>
        </w:rPr>
        <w:t>he testing data</w:t>
      </w:r>
      <w:r>
        <w:rPr>
          <w:rFonts w:ascii="Times New Roman" w:hAnsi="Times New Roman" w:cs="Times New Roman"/>
          <w:sz w:val="24"/>
        </w:rPr>
        <w:t>. Last, a trade-off between bias and variance will be found. This is because when the penalty term increases, bias increases and variance decreases, thus making the model less complex and reaching a balance between bias and variance.</w:t>
      </w:r>
    </w:p>
    <w:p>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In a linear model, the formula is assumed to be</w:t>
      </w:r>
    </w:p>
    <w:p>
      <w:pPr>
        <w:spacing w:line="360" w:lineRule="auto"/>
        <w:jc w:val="center"/>
        <w:rPr>
          <w:rFonts w:ascii="Times New Roman" w:hAnsi="Times New Roman" w:cs="Times New Roman"/>
          <w:sz w:val="24"/>
        </w:rPr>
      </w:pPr>
      <m:oMath>
        <m:r>
          <m:rPr/>
          <w:rPr>
            <w:rFonts w:ascii="Cambria Math" w:hAnsi="Cambria Math" w:cs="Times New Roman"/>
            <w:sz w:val="24"/>
          </w:rPr>
          <m:t>Y=X</m:t>
        </m:r>
        <m:r>
          <m:rPr/>
          <w:rPr>
            <w:rFonts w:ascii="Cambria Math" w:hAnsi="Cambria Math" w:cs="Times New Roman"/>
            <w:sz w:val="24"/>
            <w:lang w:val="el-GR"/>
          </w:rPr>
          <m:t>β</m:t>
        </m:r>
        <m:r>
          <m:rPr/>
          <w:rPr>
            <w:rFonts w:ascii="Cambria Math" w:hAnsi="Cambria Math" w:cs="Times New Roman"/>
            <w:sz w:val="24"/>
          </w:rPr>
          <m:t>+</m:t>
        </m:r>
        <m:r>
          <m:rPr/>
          <w:rPr>
            <w:rFonts w:ascii="Cambria Math" w:hAnsi="Cambria Math" w:cs="Times New Roman"/>
            <w:sz w:val="24"/>
            <w:lang w:val="el-GR"/>
          </w:rPr>
          <m:t>ε</m:t>
        </m:r>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(1)</w:t>
      </w:r>
    </w:p>
    <w:p>
      <w:pPr>
        <w:spacing w:line="360" w:lineRule="auto"/>
        <w:rPr>
          <w:rFonts w:ascii="Times New Roman" w:hAnsi="Times New Roman" w:cs="Times New Roman"/>
          <w:iCs/>
          <w:sz w:val="24"/>
        </w:rPr>
      </w:pPr>
      <w:r>
        <w:rPr>
          <w:rFonts w:ascii="Times New Roman" w:hAnsi="Times New Roman" w:cs="Times New Roman"/>
          <w:iCs/>
          <w:sz w:val="24"/>
        </w:rPr>
        <w:t>with response variable Y and explanatory variable X. X can also be defined as an X</w:t>
      </w:r>
      <w:r>
        <w:rPr>
          <w:rFonts w:ascii="Times New Roman" w:hAnsi="Times New Roman" w:cs="Times New Roman"/>
          <w:iCs/>
          <w:sz w:val="24"/>
          <w:vertAlign w:val="subscript"/>
        </w:rPr>
        <w:t xml:space="preserve">n×k </w:t>
      </w:r>
      <w:r>
        <w:rPr>
          <w:rFonts w:ascii="Times New Roman" w:hAnsi="Times New Roman" w:cs="Times New Roman"/>
          <w:iCs/>
          <w:sz w:val="24"/>
        </w:rPr>
        <w:t>matrix and Y can be defined as a Y</w:t>
      </w:r>
      <w:r>
        <w:rPr>
          <w:rFonts w:ascii="Times New Roman" w:hAnsi="Times New Roman" w:cs="Times New Roman"/>
          <w:iCs/>
          <w:sz w:val="24"/>
          <w:vertAlign w:val="subscript"/>
        </w:rPr>
        <w:t>n×1</w:t>
      </w:r>
      <w:r>
        <w:rPr>
          <w:rFonts w:ascii="Times New Roman" w:hAnsi="Times New Roman" w:cs="Times New Roman"/>
          <w:iCs/>
          <w:sz w:val="24"/>
        </w:rPr>
        <w:t xml:space="preserve"> matrix in vector form.</w:t>
      </w:r>
    </w:p>
    <w:p>
      <w:pPr>
        <w:spacing w:line="360" w:lineRule="auto"/>
        <w:rPr>
          <w:rFonts w:ascii="Times New Roman" w:hAnsi="Times New Roman" w:cs="Times New Roman"/>
          <w:iCs/>
          <w:color w:val="FF0000"/>
          <w:sz w:val="24"/>
        </w:rPr>
      </w:pPr>
      <w:r>
        <w:rPr>
          <w:rFonts w:ascii="Times New Roman" w:hAnsi="Times New Roman" w:cs="Times New Roman"/>
          <w:iCs/>
          <w:sz w:val="24"/>
        </w:rPr>
        <w:tab/>
      </w:r>
      <w:r>
        <w:rPr>
          <w:rFonts w:ascii="Times New Roman" w:hAnsi="Times New Roman" w:cs="Times New Roman"/>
          <w:iCs/>
          <w:sz w:val="24"/>
        </w:rPr>
        <w:t xml:space="preserve">The LASSO minimizes the RSS with an upper bound to the sum of the absolute values of the model parameters. The upper bound is denoted as t. </w:t>
      </w:r>
      <w:r>
        <w:rPr>
          <w:rFonts w:ascii="Times New Roman" w:hAnsi="Times New Roman" w:cs="Times New Roman"/>
          <w:iCs/>
          <w:color w:val="FF0000"/>
          <w:sz w:val="24"/>
        </w:rPr>
        <w:t>The LASSO formula is now shown in equation 2.</w:t>
      </w:r>
    </w:p>
    <w:p>
      <w:pPr>
        <w:spacing w:line="360" w:lineRule="auto"/>
        <w:ind w:firstLine="360"/>
        <w:jc w:val="center"/>
        <w:rPr>
          <w:rFonts w:ascii="Times New Roman" w:hAnsi="Times New Roman" w:cs="Times New Roman"/>
          <w:sz w:val="24"/>
        </w:rPr>
      </w:pPr>
      <m:oMath>
        <m:r>
          <m:rPr/>
          <w:rPr>
            <w:rFonts w:ascii="Cambria Math" w:hAnsi="Cambria Math" w:cs="Times New Roman"/>
            <w:sz w:val="24"/>
          </w:rPr>
          <m:t>minimize</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j</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ctrlPr>
              <w:rPr>
                <w:rFonts w:ascii="Cambria Math" w:hAnsi="Cambria Math" w:cs="Times New Roman"/>
                <w:i/>
                <w:sz w:val="24"/>
              </w:rPr>
            </m:ctrlPr>
          </m:e>
        </m:nary>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(2)</w:t>
      </w:r>
    </w:p>
    <w:p>
      <w:pPr>
        <w:spacing w:line="360" w:lineRule="auto"/>
        <w:ind w:firstLine="360"/>
        <w:rPr>
          <w:rFonts w:ascii="Times New Roman" w:hAnsi="Times New Roman" w:cs="Times New Roman"/>
          <w:sz w:val="24"/>
        </w:rPr>
      </w:pPr>
      <w:r>
        <w:rPr>
          <w:rFonts w:ascii="Times New Roman" w:hAnsi="Times New Roman" w:cs="Times New Roman"/>
          <w:sz w:val="24"/>
        </w:rPr>
        <w:t>Which also means in vector form, the optimization will be</w:t>
      </w:r>
    </w:p>
    <w:p>
      <w:pPr>
        <w:spacing w:line="360" w:lineRule="auto"/>
        <w:ind w:firstLine="360"/>
        <w:jc w:val="center"/>
        <w:rPr>
          <w:rFonts w:ascii="Times New Roman" w:hAnsi="Times New Roman" w:cs="Times New Roman"/>
          <w:sz w:val="24"/>
        </w:rPr>
      </w:pPr>
      <m:oMath>
        <m:r>
          <m:rPr/>
          <w:rPr>
            <w:rFonts w:ascii="Cambria Math" w:hAnsi="Cambria Math" w:cs="Times New Roman"/>
            <w:sz w:val="24"/>
          </w:rPr>
          <m:t xml:space="preserve">minimize </m:t>
        </m:r>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ctrlPr>
              <w:rPr>
                <w:rFonts w:ascii="Cambria Math" w:hAnsi="Cambria Math" w:cs="Times New Roman"/>
                <w:i/>
                <w:sz w:val="24"/>
              </w:rPr>
            </m:ctrlPr>
          </m:e>
        </m:d>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(3)</w:t>
      </w:r>
    </w:p>
    <w:p>
      <w:pPr>
        <w:spacing w:line="360" w:lineRule="auto"/>
        <w:ind w:firstLine="360"/>
        <w:rPr>
          <w:rFonts w:ascii="Times New Roman" w:hAnsi="Times New Roman" w:cs="Times New Roman"/>
          <w:sz w:val="24"/>
        </w:rPr>
      </w:pPr>
      <w:r>
        <w:rPr>
          <w:rFonts w:ascii="Times New Roman" w:hAnsi="Times New Roman" w:cs="Times New Roman"/>
          <w:sz w:val="24"/>
        </w:rPr>
        <w:t xml:space="preserve">A penalty term </w:t>
      </w:r>
      <w:r>
        <w:rPr>
          <w:rFonts w:ascii="Times New Roman" w:hAnsi="Times New Roman" w:cs="Times New Roman"/>
          <w:sz w:val="24"/>
          <w:lang w:val="el-GR"/>
        </w:rPr>
        <w:t>λ</w:t>
      </w:r>
      <w:r>
        <w:rPr>
          <w:rFonts w:ascii="Times New Roman" w:hAnsi="Times New Roman" w:cs="Times New Roman"/>
          <w:sz w:val="24"/>
        </w:rPr>
        <w:t xml:space="preserve"> is added before the sum of model parameter’s absolute value. The larger the penalty term, the more shrinkage the model will be. Therefore, the parameter estimation will be</w:t>
      </w:r>
    </w:p>
    <w:p>
      <w:pPr>
        <w:spacing w:line="360" w:lineRule="auto"/>
        <w:jc w:val="center"/>
        <w:rPr>
          <w:rFonts w:ascii="Times New Roman" w:hAnsi="Times New Roman" w:cs="Times New Roman"/>
          <w:i/>
          <w:sz w:val="24"/>
        </w:rPr>
      </w:pPr>
      <m:oMath>
        <m:acc>
          <m:accPr>
            <m:ctrlPr>
              <w:rPr>
                <w:rFonts w:ascii="Cambria Math" w:hAnsi="Cambria Math" w:cs="Times New Roman"/>
                <w:i/>
                <w:sz w:val="24"/>
              </w:rPr>
            </m:ctrlPr>
          </m:accPr>
          <m:e>
            <m:r>
              <m:rPr/>
              <w:rPr>
                <w:rFonts w:ascii="Cambria Math" w:hAnsi="Cambria Math" w:cs="Times New Roman"/>
                <w:sz w:val="24"/>
              </w:rPr>
              <m:t>β</m:t>
            </m:r>
            <m:ctrlPr>
              <w:rPr>
                <w:rFonts w:ascii="Cambria Math" w:hAnsi="Cambria Math" w:cs="Times New Roman"/>
                <w:i/>
                <w:sz w:val="24"/>
              </w:rPr>
            </m:ctrlPr>
          </m:e>
        </m:acc>
        <m:d>
          <m:dPr>
            <m:ctrlPr>
              <w:rPr>
                <w:rFonts w:ascii="Cambria Math" w:hAnsi="Cambria Math" w:cs="Times New Roman"/>
                <w:i/>
                <w:sz w:val="24"/>
              </w:rPr>
            </m:ctrlPr>
          </m:dPr>
          <m:e>
            <m:r>
              <m:rPr/>
              <w:rPr>
                <w:rFonts w:ascii="Cambria Math" w:hAnsi="Cambria Math" w:cs="Times New Roman"/>
                <w:sz w:val="24"/>
              </w:rPr>
              <m:t>λ</m:t>
            </m:r>
            <m:ctrlPr>
              <w:rPr>
                <w:rFonts w:ascii="Cambria Math" w:hAnsi="Cambria Math" w:cs="Times New Roman"/>
                <w:i/>
                <w:sz w:val="24"/>
              </w:rPr>
            </m:ctrlPr>
          </m:e>
        </m:d>
        <m:r>
          <m:rPr/>
          <w:rPr>
            <w:rFonts w:ascii="Cambria Math" w:hAnsi="Cambria Math" w:cs="Times New Roman"/>
            <w:sz w:val="24"/>
          </w:rPr>
          <m:t>=</m:t>
        </m:r>
        <m:func>
          <m:funcPr>
            <m:ctrlPr>
              <w:rPr>
                <w:rFonts w:ascii="Cambria Math" w:hAnsi="Cambria Math" w:cs="Times New Roman"/>
                <w:i/>
                <w:sz w:val="24"/>
              </w:rPr>
            </m:ctrlPr>
          </m:funcPr>
          <m:fName>
            <m:limLow>
              <m:limLowPr>
                <m:ctrlPr>
                  <w:rPr>
                    <w:rFonts w:ascii="Cambria Math" w:hAnsi="Cambria Math" w:cs="Times New Roman"/>
                    <w:i/>
                    <w:sz w:val="24"/>
                  </w:rPr>
                </m:ctrlPr>
              </m:limLowPr>
              <m:e>
                <m:r>
                  <m:rPr>
                    <m:sty m:val="p"/>
                  </m:rPr>
                  <w:rPr>
                    <w:rFonts w:ascii="Cambria Math" w:hAnsi="Cambria Math" w:cs="Times New Roman"/>
                    <w:sz w:val="24"/>
                  </w:rPr>
                  <m:t xml:space="preserve">argmin  </m:t>
                </m:r>
                <m:ctrlPr>
                  <w:rPr>
                    <w:rFonts w:ascii="Cambria Math" w:hAnsi="Cambria Math" w:cs="Times New Roman"/>
                    <w:i/>
                    <w:sz w:val="24"/>
                  </w:rPr>
                </m:ctrlPr>
              </m:e>
              <m:lim>
                <m:r>
                  <m:rPr/>
                  <w:rPr>
                    <w:rFonts w:ascii="Cambria Math" w:hAnsi="Cambria Math" w:cs="Times New Roman"/>
                    <w:sz w:val="24"/>
                    <w:lang w:val="el-GR"/>
                  </w:rPr>
                  <m:t>β</m:t>
                </m:r>
                <m:ctrlPr>
                  <w:rPr>
                    <w:rFonts w:ascii="Cambria Math" w:hAnsi="Cambria Math" w:cs="Times New Roman"/>
                    <w:i/>
                    <w:sz w:val="24"/>
                  </w:rPr>
                </m:ctrlPr>
              </m:lim>
            </m:limLow>
            <m:ctrlPr>
              <w:rPr>
                <w:rFonts w:ascii="Cambria Math" w:hAnsi="Cambria Math" w:cs="Times New Roman"/>
                <w:i/>
                <w:sz w:val="24"/>
              </w:rPr>
            </m:ctrlPr>
          </m:fName>
          <m:e>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r>
                  <m:rPr/>
                  <w:rPr>
                    <w:rFonts w:ascii="Cambria Math" w:hAnsi="Cambria Math" w:cs="Times New Roman"/>
                    <w:sz w:val="24"/>
                  </w:rPr>
                  <m:t>+</m:t>
                </m:r>
                <m:r>
                  <m:rPr/>
                  <w:rPr>
                    <w:rFonts w:ascii="Cambria Math" w:hAnsi="Cambria Math" w:cs="Times New Roman"/>
                    <w:sz w:val="24"/>
                    <w:lang w:val="el-GR"/>
                  </w:rPr>
                  <m:t>λ</m:t>
                </m:r>
                <m:r>
                  <m:rPr/>
                  <w:rPr>
                    <w:rFonts w:ascii="Cambria Math" w:hAnsi="Cambria Math" w:cs="Times New Roman"/>
                    <w:sz w:val="24"/>
                  </w:rPr>
                  <m:t xml:space="preserve">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func>
      </m:oMath>
      <w:r>
        <w:rPr>
          <w:rFonts w:ascii="Times New Roman" w:hAnsi="Times New Roman" w:cs="Times New Roman"/>
          <w:i/>
          <w:sz w:val="24"/>
        </w:rPr>
        <w:t xml:space="preserve"> </w:t>
      </w:r>
      <w:r>
        <w:rPr>
          <w:rFonts w:ascii="Times New Roman" w:hAnsi="Times New Roman" w:cs="Times New Roman"/>
          <w:i/>
          <w:sz w:val="24"/>
        </w:rPr>
        <w:tab/>
      </w:r>
      <w:r>
        <w:rPr>
          <w:rFonts w:ascii="Times New Roman" w:hAnsi="Times New Roman" w:cs="Times New Roman"/>
          <w:sz w:val="24"/>
        </w:rPr>
        <w:t>(4)</w:t>
      </w:r>
    </w:p>
    <w:p>
      <w:pPr>
        <w:spacing w:line="360" w:lineRule="auto"/>
        <w:ind w:firstLine="480" w:firstLineChars="200"/>
        <w:rPr>
          <w:rFonts w:ascii="Times New Roman" w:hAnsi="Times New Roman" w:cs="Times New Roman"/>
          <w:sz w:val="24"/>
        </w:rPr>
      </w:pPr>
      <w:r>
        <w:rPr>
          <w:rFonts w:ascii="Times New Roman" w:hAnsi="Times New Roman" w:cs="Times New Roman"/>
          <w:color w:val="FF0000"/>
          <w:sz w:val="24"/>
        </w:rPr>
        <w:t xml:space="preserve">After the shrinkage, </w:t>
      </w:r>
      <w:r>
        <w:rPr>
          <w:rFonts w:ascii="Times New Roman" w:hAnsi="Times New Roman" w:eastAsia="宋体" w:cs="Times New Roman"/>
          <w:color w:val="FF0000"/>
          <w:sz w:val="24"/>
        </w:rPr>
        <w:t>this study</w:t>
      </w:r>
      <w:r>
        <w:rPr>
          <w:rFonts w:ascii="Times New Roman" w:hAnsi="Times New Roman" w:cs="Times New Roman"/>
          <w:color w:val="FF0000"/>
          <w:sz w:val="24"/>
        </w:rPr>
        <w:t xml:space="preserve"> assumes the jth coefficient </w:t>
      </w:r>
      <w:r>
        <w:rPr>
          <w:rFonts w:ascii="Times New Roman" w:hAnsi="Times New Roman" w:cs="Times New Roman"/>
          <w:color w:val="FF0000"/>
          <w:sz w:val="24"/>
          <w:lang w:val="el-GR"/>
        </w:rPr>
        <w:t>β</w:t>
      </w:r>
      <w:r>
        <w:rPr>
          <w:rFonts w:ascii="Times New Roman" w:hAnsi="Times New Roman" w:cs="Times New Roman"/>
          <w:color w:val="FF0000"/>
          <w:sz w:val="24"/>
          <w:vertAlign w:val="subscript"/>
        </w:rPr>
        <w:t>j</w:t>
      </w:r>
      <w:r>
        <w:rPr>
          <w:rFonts w:ascii="Times New Roman" w:hAnsi="Times New Roman" w:cs="Times New Roman"/>
          <w:color w:val="FF0000"/>
          <w:sz w:val="24"/>
        </w:rPr>
        <w:t>(</w:t>
      </w:r>
      <w:r>
        <w:rPr>
          <w:rFonts w:ascii="Times New Roman" w:hAnsi="Times New Roman" w:cs="Times New Roman"/>
          <w:color w:val="FF0000"/>
          <w:sz w:val="24"/>
          <w:lang w:val="el-GR"/>
        </w:rPr>
        <w:t>λ</w:t>
      </w:r>
      <w:r>
        <w:rPr>
          <w:rFonts w:ascii="Times New Roman" w:hAnsi="Times New Roman" w:cs="Times New Roman"/>
          <w:color w:val="FF0000"/>
          <w:sz w:val="24"/>
        </w:rPr>
        <w:t xml:space="preserve">) = 0. </w:t>
      </w:r>
      <w:r>
        <w:rPr>
          <w:rFonts w:ascii="Times New Roman" w:hAnsi="Times New Roman" w:cs="Times New Roman"/>
          <w:sz w:val="24"/>
        </w:rPr>
        <w:t xml:space="preserve">In this circumstance, these features with coefficient = 0 will be excluded from the model. </w:t>
      </w:r>
      <w:r>
        <w:rPr>
          <w:rFonts w:ascii="Times New Roman" w:hAnsi="Times New Roman" w:cs="Times New Roman"/>
          <w:color w:val="FF0000"/>
          <w:sz w:val="24"/>
        </w:rPr>
        <w:t>Researchers can alter the penalty values to change the number of features selected.</w:t>
      </w:r>
      <w:r>
        <w:rPr>
          <w:rFonts w:ascii="Times New Roman" w:hAnsi="Times New Roman" w:cs="Times New Roman"/>
          <w:sz w:val="24"/>
        </w:rPr>
        <w:t xml:space="preserve"> Therefore, the LASSO method of feature selection is a useful method for feature selection in machine learning.</w:t>
      </w:r>
    </w:p>
    <w:p>
      <w:pPr>
        <w:pStyle w:val="21"/>
        <w:spacing w:before="156" w:beforeLines="50" w:line="360" w:lineRule="auto"/>
        <w:ind w:left="0" w:leftChars="0"/>
        <w:outlineLvl w:val="1"/>
        <w:rPr>
          <w:rFonts w:ascii="Times New Roman" w:hAnsi="Times New Roman" w:cs="Times New Roman"/>
          <w:b/>
          <w:bCs/>
          <w:i/>
          <w:iCs/>
          <w:sz w:val="24"/>
        </w:rPr>
      </w:pPr>
      <w:bookmarkStart w:id="12" w:name="_Toc114151812"/>
      <w:r>
        <w:rPr>
          <w:rFonts w:ascii="Times New Roman" w:hAnsi="Times New Roman" w:cs="Times New Roman"/>
          <w:b/>
          <w:bCs/>
          <w:i/>
          <w:iCs/>
          <w:sz w:val="24"/>
        </w:rPr>
        <w:t>3.2 Long short-term memory and bidirectional long short-term memory</w:t>
      </w:r>
      <w:bookmarkEnd w:id="12"/>
    </w:p>
    <w:p>
      <w:pPr>
        <w:spacing w:line="360" w:lineRule="auto"/>
        <w:ind w:firstLine="360"/>
        <w:rPr>
          <w:rFonts w:ascii="Times New Roman" w:hAnsi="Times New Roman" w:cs="Times New Roman"/>
          <w:sz w:val="24"/>
        </w:rPr>
      </w:pPr>
      <w:r>
        <w:rPr>
          <w:rFonts w:ascii="Times New Roman" w:hAnsi="Times New Roman" w:cs="Times New Roman"/>
          <w:color w:val="FF0000"/>
          <w:sz w:val="24"/>
        </w:rPr>
        <w:t>The long short-term memory (LSTM) and bidirectional long short-term memory (BiLSTM) are deep learning models to predict the response variable based on existing variables.</w:t>
      </w:r>
      <w:r>
        <w:rPr>
          <w:rFonts w:ascii="Times New Roman" w:hAnsi="Times New Roman" w:cs="Times New Roman"/>
          <w:sz w:val="24"/>
        </w:rPr>
        <w:t xml:space="preserve"> BiLSTM is a bidirectional LSTM approach that can detect both positive and negative cues. Both methods are instrumental, where many explanatory variables need to be explained.</w:t>
      </w:r>
    </w:p>
    <w:p>
      <w:pPr>
        <w:spacing w:line="360" w:lineRule="auto"/>
        <w:ind w:firstLine="360"/>
        <w:rPr>
          <w:rFonts w:ascii="Times New Roman" w:hAnsi="Times New Roman" w:cs="Times New Roman"/>
          <w:sz w:val="24"/>
        </w:rPr>
      </w:pPr>
      <w:r>
        <w:rPr>
          <w:rFonts w:ascii="Times New Roman" w:hAnsi="Times New Roman" w:cs="Times New Roman"/>
          <w:sz w:val="24"/>
        </w:rPr>
        <w:t>Hochreiter and Schmidhuber (1997) invented the LSTM approach. The key idea behind the LSTM approach is to regulate the cell states by using three gates, the input, forget, and output gates. The forget gate determines whether the information should be kept or forgotten. The input gate determines how much information appears in the input values. The output gate controls information output from the cell state to the hidden state (</w:t>
      </w:r>
      <w:r>
        <w:rPr>
          <w:rFonts w:ascii="Times New Roman" w:hAnsi="Times New Roman" w:cs="Times New Roman"/>
          <w:color w:val="222222"/>
          <w:sz w:val="24"/>
          <w:shd w:val="clear" w:color="auto" w:fill="FFFFFF"/>
        </w:rPr>
        <w:t>Hochreiter &amp; Schmidhuber, 1997</w:t>
      </w:r>
      <w:r>
        <w:rPr>
          <w:rFonts w:ascii="Times New Roman" w:hAnsi="Times New Roman" w:cs="Times New Roman"/>
          <w:sz w:val="24"/>
        </w:rPr>
        <w:t>). Figure 2 demonstrates the architecture of LSTM.</w:t>
      </w:r>
    </w:p>
    <w:p>
      <w:pPr>
        <w:spacing w:line="360" w:lineRule="auto"/>
        <w:ind w:firstLine="360"/>
        <w:rPr>
          <w:rFonts w:ascii="Times New Roman" w:hAnsi="Times New Roman" w:cs="Times New Roman"/>
          <w:sz w:val="24"/>
        </w:rPr>
      </w:pPr>
    </w:p>
    <w:p>
      <w:pPr>
        <w:keepNext/>
        <w:spacing w:line="360" w:lineRule="auto"/>
        <w:rPr>
          <w:rFonts w:ascii="Times New Roman" w:hAnsi="Times New Roman" w:cs="Times New Roman"/>
        </w:rPr>
      </w:pPr>
      <w:r>
        <w:rPr>
          <w:rFonts w:hint="eastAsia" w:ascii="Times New Roman" w:hAnsi="Times New Roman" w:cs="Times New Roman"/>
        </w:rPr>
        <w:drawing>
          <wp:inline distT="0" distB="0" distL="0" distR="0">
            <wp:extent cx="5267325" cy="1400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67325" cy="1400175"/>
                    </a:xfrm>
                    <a:prstGeom prst="rect">
                      <a:avLst/>
                    </a:prstGeom>
                    <a:noFill/>
                    <a:ln>
                      <a:noFill/>
                    </a:ln>
                  </pic:spPr>
                </pic:pic>
              </a:graphicData>
            </a:graphic>
          </wp:inline>
        </w:drawing>
      </w: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Graphical representation of LSTM</w:t>
      </w:r>
    </w:p>
    <w:p/>
    <w:p>
      <w:pPr>
        <w:spacing w:line="360" w:lineRule="auto"/>
        <w:ind w:firstLine="360"/>
        <w:rPr>
          <w:rFonts w:ascii="Times New Roman" w:hAnsi="Times New Roman" w:cs="Times New Roman"/>
          <w:sz w:val="24"/>
        </w:rPr>
      </w:pPr>
      <w:r>
        <w:rPr>
          <w:rFonts w:ascii="Times New Roman" w:hAnsi="Times New Roman" w:cs="Times New Roman"/>
          <w:sz w:val="24"/>
        </w:rPr>
        <w:t xml:space="preserve">LSTM replaces the nodes of the recurring neural network (RNN) model with special cells, which solves RNN’s vanishing gradient problem (Aslan et al., 2021). The LSTM calculated the hidden state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sz w:val="24"/>
        </w:rPr>
        <w:t>, for gates, transformation, and state update, at time</w:t>
      </w:r>
      <w:r>
        <w:rPr>
          <w:rFonts w:ascii="Times New Roman" w:hAnsi="Times New Roman" w:cs="Times New Roman"/>
          <w:i/>
          <w:iCs/>
          <w:sz w:val="24"/>
        </w:rPr>
        <w:t xml:space="preserve"> t </w:t>
      </w:r>
      <w:r>
        <w:rPr>
          <w:rFonts w:ascii="Times New Roman" w:hAnsi="Times New Roman" w:cs="Times New Roman"/>
          <w:sz w:val="24"/>
        </w:rPr>
        <w:t>(</w:t>
      </w:r>
      <w:r>
        <w:rPr>
          <w:rFonts w:ascii="Times New Roman" w:hAnsi="Times New Roman" w:cs="Times New Roman"/>
          <w:color w:val="222222"/>
          <w:sz w:val="24"/>
          <w:shd w:val="clear" w:color="auto" w:fill="FFFFFF"/>
        </w:rPr>
        <w:t>Sherstinsky, 2020</w:t>
      </w:r>
      <w:r>
        <w:rPr>
          <w:rFonts w:ascii="Times New Roman" w:hAnsi="Times New Roman" w:cs="Times New Roman"/>
          <w:sz w:val="24"/>
        </w:rPr>
        <w:t xml:space="preserve">). The initial data sequence inputted into the LSTM is represented as </w:t>
      </w:r>
      <w:r>
        <w:rPr>
          <w:rFonts w:ascii="Times New Roman" w:hAnsi="Times New Roman" w:cs="Times New Roman"/>
          <w:i/>
          <w:iCs/>
          <w:sz w:val="24"/>
        </w:rPr>
        <w:t>x</w:t>
      </w:r>
      <w:r>
        <w:rPr>
          <w:rFonts w:ascii="Times New Roman" w:hAnsi="Times New Roman" w:cs="Times New Roman"/>
          <w:i/>
          <w:iCs/>
          <w:sz w:val="24"/>
          <w:vertAlign w:val="subscript"/>
        </w:rPr>
        <w:t>1</w:t>
      </w:r>
      <w:r>
        <w:rPr>
          <w:rFonts w:ascii="Times New Roman" w:hAnsi="Times New Roman" w:cs="Times New Roman"/>
          <w:i/>
          <w:iCs/>
          <w:sz w:val="24"/>
        </w:rPr>
        <w:t>, x</w:t>
      </w:r>
      <w:r>
        <w:rPr>
          <w:rFonts w:ascii="Times New Roman" w:hAnsi="Times New Roman" w:cs="Times New Roman"/>
          <w:i/>
          <w:iCs/>
          <w:sz w:val="24"/>
          <w:vertAlign w:val="subscript"/>
        </w:rPr>
        <w:t>2</w:t>
      </w:r>
      <w:r>
        <w:rPr>
          <w:rFonts w:ascii="Times New Roman" w:hAnsi="Times New Roman" w:cs="Times New Roman"/>
          <w:i/>
          <w:iCs/>
          <w:sz w:val="24"/>
        </w:rPr>
        <w:t>, …, x</w:t>
      </w:r>
      <w:r>
        <w:rPr>
          <w:rFonts w:ascii="Times New Roman" w:hAnsi="Times New Roman" w:cs="Times New Roman"/>
          <w:i/>
          <w:iCs/>
          <w:sz w:val="24"/>
          <w:vertAlign w:val="subscript"/>
        </w:rPr>
        <w:t>n</w:t>
      </w:r>
      <w:r>
        <w:rPr>
          <w:rFonts w:ascii="Times New Roman" w:hAnsi="Times New Roman" w:cs="Times New Roman"/>
          <w:sz w:val="24"/>
        </w:rPr>
        <w:t xml:space="preserve">. The LSTM model can be described as follows: </w:t>
      </w:r>
    </w:p>
    <w:p>
      <w:pPr>
        <w:spacing w:line="360" w:lineRule="auto"/>
        <w:ind w:firstLine="360"/>
        <w:rPr>
          <w:rFonts w:ascii="Times New Roman" w:hAnsi="Times New Roman" w:cs="Times New Roman"/>
          <w:sz w:val="24"/>
        </w:rPr>
      </w:pPr>
      <w:r>
        <w:rPr>
          <w:rFonts w:ascii="Times New Roman" w:hAnsi="Times New Roman" w:cs="Times New Roman"/>
          <w:sz w:val="24"/>
        </w:rPr>
        <w:t>Gates:</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ctrlPr>
              <w:rPr>
                <w:rFonts w:ascii="Cambria Math" w:hAnsi="Cambria Math" w:cs="Times New Roman"/>
                <w:i/>
                <w:sz w:val="24"/>
              </w:rPr>
            </m:ctrlPr>
          </m:e>
        </m:d>
      </m:oMath>
      <w:r>
        <w:rPr>
          <w:rFonts w:ascii="Times New Roman" w:hAnsi="Cambria Math" w:cs="Times New Roman"/>
          <w:sz w:val="24"/>
        </w:rPr>
        <w:tab/>
      </w:r>
      <w:r>
        <w:rPr>
          <w:rFonts w:ascii="Times New Roman" w:hAnsi="Cambria Math" w:cs="Times New Roman"/>
          <w:sz w:val="24"/>
        </w:rPr>
        <w:t>(5)</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(6)</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ctrlPr>
              <w:rPr>
                <w:rFonts w:ascii="Cambria Math" w:hAnsi="Cambria Math" w:cs="Times New Roman"/>
                <w:i/>
                <w:sz w:val="24"/>
              </w:rPr>
            </m:ctrlPr>
          </m:e>
        </m:d>
      </m:oMath>
      <w:r>
        <w:rPr>
          <w:rFonts w:ascii="Times New Roman" w:hAnsi="Cambria Math" w:cs="Times New Roman"/>
          <w:sz w:val="24"/>
        </w:rPr>
        <w:tab/>
      </w:r>
      <w:r>
        <w:rPr>
          <w:rFonts w:ascii="Times New Roman" w:hAnsi="Cambria Math" w:cs="Times New Roman"/>
          <w:sz w:val="24"/>
        </w:rPr>
        <w:t>(7)</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Transformation: </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oMath>
      <w:r>
        <w:rPr>
          <w:rFonts w:ascii="Times New Roman" w:hAnsi="Cambria Math" w:cs="Times New Roman"/>
          <w:sz w:val="24"/>
        </w:rPr>
        <w:tab/>
      </w:r>
      <w:r>
        <w:rPr>
          <w:rFonts w:ascii="Times New Roman" w:hAnsi="Cambria Math" w:cs="Times New Roman"/>
          <w:sz w:val="24"/>
        </w:rPr>
        <w:t>(8)</w:t>
      </w:r>
    </w:p>
    <w:p>
      <w:pPr>
        <w:spacing w:line="360" w:lineRule="auto"/>
        <w:ind w:firstLine="360"/>
        <w:rPr>
          <w:rFonts w:ascii="Times New Roman" w:hAnsi="Times New Roman" w:cs="Times New Roman"/>
          <w:sz w:val="24"/>
        </w:rPr>
      </w:pPr>
      <w:r>
        <w:rPr>
          <w:rFonts w:ascii="Times New Roman" w:hAnsi="Times New Roman" w:cs="Times New Roman"/>
          <w:sz w:val="24"/>
        </w:rPr>
        <w:t xml:space="preserve">State update: </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oMath>
      <w:r>
        <w:rPr>
          <w:rFonts w:ascii="Times New Roman" w:hAnsi="Cambria Math" w:cs="Times New Roman"/>
          <w:sz w:val="24"/>
        </w:rPr>
        <w:tab/>
      </w:r>
      <w:r>
        <w:rPr>
          <w:rFonts w:ascii="Times New Roman" w:hAnsi="Cambria Math" w:cs="Times New Roman"/>
          <w:sz w:val="24"/>
        </w:rPr>
        <w:t>(9)</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Cambria Math" w:cs="Times New Roman"/>
          <w:sz w:val="24"/>
        </w:rPr>
        <w:tab/>
      </w:r>
      <w:r>
        <w:rPr>
          <w:rFonts w:ascii="Times New Roman" w:hAnsi="Cambria Math" w:cs="Times New Roman"/>
          <w:sz w:val="24"/>
        </w:rPr>
        <w:t>(10)</w:t>
      </w:r>
    </w:p>
    <w:p>
      <w:pPr>
        <w:spacing w:line="360" w:lineRule="auto"/>
        <w:rPr>
          <w:rFonts w:ascii="Times New Roman" w:hAnsi="Times New Roman" w:cs="Times New Roman"/>
          <w:color w:val="FF0000"/>
          <w:sz w:val="24"/>
        </w:rPr>
      </w:pPr>
      <w:r>
        <w:rPr>
          <w:rFonts w:ascii="Times New Roman" w:hAnsi="Times New Roman" w:cs="Times New Roman"/>
          <w:sz w:val="24"/>
        </w:rPr>
        <w:t xml:space="preserve">where </w:t>
      </w:r>
      <w:r>
        <w:rPr>
          <w:rFonts w:ascii="Times New Roman" w:hAnsi="Times New Roman" w:cs="Times New Roman"/>
          <w:i/>
          <w:iCs/>
          <w:sz w:val="24"/>
        </w:rPr>
        <w:t>f</w:t>
      </w:r>
      <w:r>
        <w:rPr>
          <w:rFonts w:ascii="Times New Roman" w:hAnsi="Times New Roman" w:cs="Times New Roman"/>
          <w:i/>
          <w:iCs/>
          <w:sz w:val="24"/>
          <w:vertAlign w:val="subscript"/>
        </w:rPr>
        <w:t>t</w:t>
      </w:r>
      <w:r>
        <w:rPr>
          <w:rFonts w:ascii="Times New Roman" w:hAnsi="Times New Roman" w:cs="Times New Roman"/>
          <w:i/>
          <w:iCs/>
          <w:sz w:val="24"/>
        </w:rPr>
        <w:t>, i</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 xml:space="preserve">and </w:t>
      </w:r>
      <w:r>
        <w:rPr>
          <w:rFonts w:ascii="Times New Roman" w:hAnsi="Times New Roman" w:cs="Times New Roman"/>
          <w:i/>
          <w:iCs/>
          <w:sz w:val="24"/>
        </w:rPr>
        <w:t>o</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are three gates,</w:t>
      </w:r>
      <w:r>
        <w:rPr>
          <w:rFonts w:ascii="Times New Roman" w:hAnsi="Times New Roman" w:cs="Times New Roman"/>
          <w:i/>
          <w:iCs/>
          <w:sz w:val="24"/>
        </w:rPr>
        <w:t xml:space="preserve"> C</w:t>
      </w:r>
      <w:r>
        <w:rPr>
          <w:rFonts w:ascii="Times New Roman" w:hAnsi="Times New Roman" w:cs="Times New Roman"/>
          <w:i/>
          <w:iCs/>
          <w:sz w:val="24"/>
          <w:vertAlign w:val="subscript"/>
        </w:rPr>
        <w:t>t</w:t>
      </w:r>
      <w:r>
        <w:rPr>
          <w:rFonts w:ascii="Times New Roman" w:hAnsi="Times New Roman" w:cs="Times New Roman"/>
          <w:sz w:val="24"/>
        </w:rPr>
        <w:t xml:space="preserve"> represents the cell state, and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represents the hidden state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xml:space="preserve">). </w:t>
      </w:r>
      <w:r>
        <w:rPr>
          <w:rFonts w:ascii="Times New Roman" w:hAnsi="Times New Roman" w:cs="Times New Roman"/>
          <w:i/>
          <w:iCs/>
          <w:sz w:val="24"/>
        </w:rPr>
        <w:t>W</w:t>
      </w:r>
      <w:r>
        <w:rPr>
          <w:rFonts w:ascii="Times New Roman" w:hAnsi="Times New Roman" w:cs="Times New Roman"/>
          <w:sz w:val="24"/>
        </w:rPr>
        <w:t xml:space="preserve"> and </w:t>
      </w:r>
      <w:r>
        <w:rPr>
          <w:rFonts w:ascii="Times New Roman" w:hAnsi="Times New Roman" w:cs="Times New Roman"/>
          <w:i/>
          <w:iCs/>
          <w:sz w:val="24"/>
        </w:rPr>
        <w:t>b</w:t>
      </w:r>
      <w:r>
        <w:rPr>
          <w:rFonts w:ascii="Times New Roman" w:hAnsi="Times New Roman" w:cs="Times New Roman"/>
          <w:sz w:val="24"/>
        </w:rPr>
        <w:t xml:space="preserve"> are cell parameters. These structures work together to form a network. </w:t>
      </w:r>
      <w:r>
        <w:rPr>
          <w:rFonts w:ascii="Times New Roman" w:hAnsi="Times New Roman" w:cs="Times New Roman"/>
          <w:color w:val="FF0000"/>
          <w:sz w:val="24"/>
        </w:rPr>
        <w:t xml:space="preserve">Inputs pass through these functions and output from the hidden state.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On the other hand, BiLSTM is a bidirectional LSTM approach. BiLSTM contains </w:t>
      </w:r>
      <w:r>
        <w:rPr>
          <w:rFonts w:hint="eastAsia" w:ascii="Times New Roman" w:hAnsi="Times New Roman" w:cs="Times New Roman"/>
          <w:sz w:val="24"/>
        </w:rPr>
        <w:t>five</w:t>
      </w:r>
      <w:r>
        <w:rPr>
          <w:rFonts w:ascii="Times New Roman" w:hAnsi="Times New Roman" w:cs="Times New Roman"/>
          <w:sz w:val="24"/>
        </w:rPr>
        <w:t xml:space="preserve"> layers, input layer, embedding layer, BiLSTM layer, concatenation layer, and output layer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Figure 3 demonstrates the architecture of the BiLSTM model.</w:t>
      </w:r>
    </w:p>
    <w:p>
      <w:pPr>
        <w:spacing w:line="360" w:lineRule="auto"/>
        <w:ind w:firstLine="360"/>
        <w:rPr>
          <w:rFonts w:ascii="Times New Roman" w:hAnsi="Times New Roman" w:cs="Times New Roman"/>
          <w:sz w:val="24"/>
        </w:rPr>
      </w:pPr>
      <w:r>
        <w:rPr>
          <w:rFonts w:ascii="Times New Roman" w:hAnsi="Times New Roman" w:cs="Times New Roman"/>
          <w:sz w:val="24"/>
        </w:rPr>
        <w:drawing>
          <wp:inline distT="0" distB="0" distL="0" distR="0">
            <wp:extent cx="5267325" cy="3238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67325" cy="3238500"/>
                    </a:xfrm>
                    <a:prstGeom prst="rect">
                      <a:avLst/>
                    </a:prstGeom>
                    <a:noFill/>
                    <a:ln>
                      <a:noFill/>
                    </a:ln>
                  </pic:spPr>
                </pic:pic>
              </a:graphicData>
            </a:graphic>
          </wp:inline>
        </w:drawing>
      </w: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Graphical representation of BiLSTM</w:t>
      </w:r>
    </w:p>
    <w:p>
      <w:pPr>
        <w:spacing w:line="360" w:lineRule="auto"/>
        <w:ind w:firstLine="360"/>
        <w:rPr>
          <w:rFonts w:ascii="Times New Roman" w:hAnsi="Times New Roman" w:cs="Times New Roman"/>
          <w:sz w:val="24"/>
        </w:rPr>
      </w:pPr>
      <w:r>
        <w:rPr>
          <w:rFonts w:ascii="Times New Roman" w:hAnsi="Times New Roman" w:cs="Times New Roman"/>
          <w:sz w:val="24"/>
        </w:rPr>
        <w:t xml:space="preserve">In the first layer, the input layer, let </w:t>
      </w:r>
      <w:r>
        <w:rPr>
          <w:rFonts w:ascii="Times New Roman" w:hAnsi="Times New Roman" w:cs="Times New Roman"/>
          <w:i/>
          <w:iCs/>
          <w:sz w:val="24"/>
        </w:rPr>
        <w:t>D = d</w:t>
      </w:r>
      <w:r>
        <w:rPr>
          <w:rFonts w:ascii="Times New Roman" w:hAnsi="Times New Roman" w:cs="Times New Roman"/>
          <w:i/>
          <w:iCs/>
          <w:sz w:val="24"/>
          <w:vertAlign w:val="subscript"/>
        </w:rPr>
        <w:t>1</w:t>
      </w:r>
      <w:r>
        <w:rPr>
          <w:rFonts w:ascii="Times New Roman" w:hAnsi="Times New Roman" w:cs="Times New Roman"/>
          <w:i/>
          <w:iCs/>
          <w:sz w:val="24"/>
        </w:rPr>
        <w:t>, d</w:t>
      </w:r>
      <w:r>
        <w:rPr>
          <w:rFonts w:ascii="Times New Roman" w:hAnsi="Times New Roman" w:cs="Times New Roman"/>
          <w:i/>
          <w:iCs/>
          <w:sz w:val="24"/>
          <w:vertAlign w:val="subscript"/>
        </w:rPr>
        <w:t>2</w:t>
      </w:r>
      <w:r>
        <w:rPr>
          <w:rFonts w:ascii="Times New Roman" w:hAnsi="Times New Roman" w:cs="Times New Roman"/>
          <w:i/>
          <w:iCs/>
          <w:sz w:val="24"/>
        </w:rPr>
        <w:t>, d</w:t>
      </w:r>
      <w:r>
        <w:rPr>
          <w:rFonts w:ascii="Times New Roman" w:hAnsi="Times New Roman" w:cs="Times New Roman"/>
          <w:i/>
          <w:iCs/>
          <w:sz w:val="24"/>
          <w:vertAlign w:val="subscript"/>
        </w:rPr>
        <w:t>3</w:t>
      </w:r>
      <w:r>
        <w:rPr>
          <w:rFonts w:ascii="Times New Roman" w:hAnsi="Times New Roman" w:cs="Times New Roman"/>
          <w:i/>
          <w:iCs/>
          <w:sz w:val="24"/>
        </w:rPr>
        <w:t>, …, d</w:t>
      </w:r>
      <w:r>
        <w:rPr>
          <w:rFonts w:ascii="Times New Roman" w:hAnsi="Times New Roman" w:cs="Times New Roman"/>
          <w:i/>
          <w:iCs/>
          <w:sz w:val="24"/>
          <w:vertAlign w:val="subscript"/>
        </w:rPr>
        <w:t>v</w:t>
      </w:r>
      <w:r>
        <w:rPr>
          <w:rFonts w:ascii="Times New Roman" w:hAnsi="Times New Roman" w:cs="Times New Roman"/>
          <w:sz w:val="24"/>
          <w:vertAlign w:val="subscript"/>
        </w:rPr>
        <w:t xml:space="preserve"> </w:t>
      </w:r>
      <w:r>
        <w:rPr>
          <w:rFonts w:ascii="Times New Roman" w:hAnsi="Times New Roman" w:cs="Times New Roman"/>
          <w:sz w:val="24"/>
        </w:rPr>
        <w:t xml:space="preserve">be the total number of dimensions the data input. Then, </w:t>
      </w:r>
      <w:r>
        <w:rPr>
          <w:rFonts w:ascii="Times New Roman" w:hAnsi="Times New Roman" w:cs="Times New Roman"/>
          <w:i/>
          <w:iCs/>
          <w:sz w:val="24"/>
        </w:rPr>
        <w:t>i</w:t>
      </w:r>
      <w:r>
        <w:rPr>
          <w:rFonts w:ascii="Times New Roman" w:hAnsi="Times New Roman" w:cs="Times New Roman"/>
          <w:i/>
          <w:iCs/>
          <w:sz w:val="24"/>
          <w:vertAlign w:val="subscript"/>
        </w:rPr>
        <w:t>1</w:t>
      </w:r>
      <w:r>
        <w:rPr>
          <w:rFonts w:ascii="Times New Roman" w:hAnsi="Times New Roman" w:cs="Times New Roman"/>
          <w:i/>
          <w:iCs/>
          <w:sz w:val="24"/>
        </w:rPr>
        <w:t>, i</w:t>
      </w:r>
      <w:r>
        <w:rPr>
          <w:rFonts w:ascii="Times New Roman" w:hAnsi="Times New Roman" w:cs="Times New Roman"/>
          <w:i/>
          <w:iCs/>
          <w:sz w:val="24"/>
          <w:vertAlign w:val="subscript"/>
        </w:rPr>
        <w:t>2</w:t>
      </w:r>
      <w:r>
        <w:rPr>
          <w:rFonts w:ascii="Times New Roman" w:hAnsi="Times New Roman" w:cs="Times New Roman"/>
          <w:i/>
          <w:iCs/>
          <w:sz w:val="24"/>
        </w:rPr>
        <w:t>, i</w:t>
      </w:r>
      <w:r>
        <w:rPr>
          <w:rFonts w:ascii="Times New Roman" w:hAnsi="Times New Roman" w:cs="Times New Roman"/>
          <w:i/>
          <w:iCs/>
          <w:sz w:val="24"/>
          <w:vertAlign w:val="subscript"/>
        </w:rPr>
        <w:t>3</w:t>
      </w:r>
      <w:r>
        <w:rPr>
          <w:rFonts w:ascii="Times New Roman" w:hAnsi="Times New Roman" w:cs="Times New Roman"/>
          <w:i/>
          <w:iCs/>
          <w:sz w:val="24"/>
        </w:rPr>
        <w:t>, …, i</w:t>
      </w:r>
      <w:r>
        <w:rPr>
          <w:rFonts w:ascii="Times New Roman" w:hAnsi="Times New Roman" w:cs="Times New Roman"/>
          <w:i/>
          <w:iCs/>
          <w:sz w:val="24"/>
          <w:vertAlign w:val="subscript"/>
        </w:rPr>
        <w:t>n</w:t>
      </w:r>
      <w:r>
        <w:rPr>
          <w:rFonts w:ascii="Times New Roman" w:hAnsi="Times New Roman" w:cs="Times New Roman"/>
          <w:sz w:val="24"/>
        </w:rPr>
        <w:t xml:space="preserve"> be the total unique indices in each dimension. The data is now carried as a sequence of unique indices that allows the embedding layer and BiLSTM layer to compute (</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input layer processes data into the machine and organizes it, preparing for later data processing and model running.</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The embedding layer transformed the input into an embedding matrix with dimension </w:t>
      </w:r>
      <w:r>
        <w:rPr>
          <w:rFonts w:ascii="Times New Roman" w:hAnsi="Times New Roman" w:cs="Times New Roman"/>
          <w:i/>
          <w:iCs/>
          <w:sz w:val="24"/>
        </w:rPr>
        <w:t>n*d</w:t>
      </w:r>
      <w:r>
        <w:rPr>
          <w:rFonts w:ascii="Times New Roman" w:hAnsi="Times New Roman" w:cs="Times New Roman"/>
          <w:sz w:val="24"/>
        </w:rPr>
        <w:t xml:space="preserve">, where </w:t>
      </w:r>
      <w:r>
        <w:rPr>
          <w:rFonts w:ascii="Times New Roman" w:hAnsi="Times New Roman" w:cs="Times New Roman"/>
          <w:i/>
          <w:iCs/>
          <w:sz w:val="24"/>
        </w:rPr>
        <w:t>n</w:t>
      </w:r>
      <w:r>
        <w:rPr>
          <w:rFonts w:ascii="Times New Roman" w:hAnsi="Times New Roman" w:cs="Times New Roman"/>
          <w:sz w:val="24"/>
        </w:rPr>
        <w:t xml:space="preserve"> depicts the number of indices in dimension </w:t>
      </w:r>
      <w:r>
        <w:rPr>
          <w:rFonts w:ascii="Times New Roman" w:hAnsi="Times New Roman" w:cs="Times New Roman"/>
          <w:i/>
          <w:iCs/>
          <w:sz w:val="24"/>
        </w:rPr>
        <w:t xml:space="preserve">d </w:t>
      </w:r>
      <w:r>
        <w:rPr>
          <w:rFonts w:ascii="Times New Roman" w:hAnsi="Times New Roman" w:cs="Times New Roman"/>
          <w:sz w:val="24"/>
        </w:rPr>
        <w:t>(</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resulting embedding matrix X looks approximately like the following.</w:t>
      </w:r>
    </w:p>
    <w:p>
      <w:pPr>
        <w:spacing w:line="360" w:lineRule="auto"/>
        <w:jc w:val="center"/>
        <w:rPr>
          <w:rFonts w:ascii="Times New Roman" w:hAnsi="Times New Roman" w:cs="Times New Roman"/>
          <w:sz w:val="24"/>
        </w:rPr>
      </w:pPr>
      <m:oMath>
        <m:r>
          <m:rPr/>
          <w:rPr>
            <w:rFonts w:ascii="Cambria Math" w:hAnsi="Cambria Math" w:cs="Times New Roman"/>
            <w:sz w:val="24"/>
          </w:rPr>
          <m:t xml:space="preserve">X= </m:t>
        </m:r>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 xml:space="preserve">      ⋮</m:t>
                        </m:r>
                        <m:ctrlPr>
                          <w:rPr>
                            <w:rFonts w:ascii="Cambria Math" w:hAnsi="Cambria Math" w:cs="Times New Roman"/>
                            <w:i/>
                            <w:sz w:val="24"/>
                          </w:rPr>
                        </m:ctrlPr>
                      </m:e>
                    </m:mr>
                  </m:m>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 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 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d>
      </m:oMath>
      <w:r>
        <w:rPr>
          <w:rFonts w:ascii="Times New Roman" w:hAnsi="Times New Roman" w:cs="Times New Roman"/>
          <w:sz w:val="24"/>
        </w:rPr>
        <w:t xml:space="preserve"> (11)</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BiLSTM layer processes the pre-embedded data into the BiLSTM model. </w:t>
      </w:r>
      <w:r>
        <w:rPr>
          <w:rFonts w:ascii="Times New Roman" w:hAnsi="Times New Roman" w:cs="Times New Roman"/>
          <w:color w:val="FF0000"/>
          <w:sz w:val="24"/>
        </w:rPr>
        <w:t xml:space="preserve">The BiLSTM layer contains two LSTM models to predict the hidden state </w:t>
      </w:r>
      <m:oMath>
        <m:r>
          <m:rPr/>
          <w:rPr>
            <w:rFonts w:ascii="Cambria Math" w:hAnsi="Cambria Math" w:cs="Times New Roman"/>
            <w:color w:val="FF0000"/>
            <w:sz w:val="24"/>
          </w:rPr>
          <m:t>H = (</m:t>
        </m:r>
        <m:sSub>
          <m:sSubPr>
            <m:ctrlPr>
              <w:rPr>
                <w:rFonts w:ascii="Cambria Math" w:hAnsi="Cambria Math" w:cs="Times New Roman"/>
                <w:i/>
                <w:iCs/>
                <w:color w:val="FF0000"/>
                <w:sz w:val="24"/>
              </w:rPr>
            </m:ctrlPr>
          </m:sSubPr>
          <m:e>
            <m:r>
              <m:rPr/>
              <w:rPr>
                <w:rFonts w:ascii="Cambria Math" w:hAnsi="Cambria Math" w:cs="Times New Roman"/>
                <w:color w:val="FF0000"/>
                <w:sz w:val="24"/>
              </w:rPr>
              <m:t>ℎ</m:t>
            </m:r>
            <m:ctrlPr>
              <w:rPr>
                <w:rFonts w:ascii="Cambria Math" w:hAnsi="Cambria Math" w:cs="Times New Roman"/>
                <w:i/>
                <w:iCs/>
                <w:color w:val="FF0000"/>
                <w:sz w:val="24"/>
              </w:rPr>
            </m:ctrlPr>
          </m:e>
          <m:sub>
            <m:r>
              <m:rPr/>
              <w:rPr>
                <w:rFonts w:ascii="Cambria Math" w:hAnsi="Cambria Math" w:cs="Times New Roman"/>
                <w:color w:val="FF0000"/>
                <w:sz w:val="24"/>
              </w:rPr>
              <m:t>1</m:t>
            </m:r>
            <m:ctrlPr>
              <w:rPr>
                <w:rFonts w:ascii="Cambria Math" w:hAnsi="Cambria Math" w:cs="Times New Roman"/>
                <w:i/>
                <w:iCs/>
                <w:color w:val="FF0000"/>
                <w:sz w:val="24"/>
              </w:rPr>
            </m:ctrlPr>
          </m:sub>
        </m:sSub>
        <m:r>
          <m:rPr/>
          <w:rPr>
            <w:rFonts w:ascii="Cambria Math" w:hAnsi="Cambria Math" w:cs="Times New Roman"/>
            <w:color w:val="FF0000"/>
            <w:sz w:val="24"/>
          </w:rPr>
          <m:t xml:space="preserve">,  </m:t>
        </m:r>
        <m:sSub>
          <m:sSubPr>
            <m:ctrlPr>
              <w:rPr>
                <w:rFonts w:ascii="Cambria Math" w:hAnsi="Cambria Math" w:cs="Times New Roman"/>
                <w:i/>
                <w:iCs/>
                <w:color w:val="FF0000"/>
                <w:sz w:val="24"/>
              </w:rPr>
            </m:ctrlPr>
          </m:sSubPr>
          <m:e>
            <m:r>
              <m:rPr/>
              <w:rPr>
                <w:rFonts w:ascii="Cambria Math" w:hAnsi="Cambria Math" w:cs="Times New Roman"/>
                <w:color w:val="FF0000"/>
                <w:sz w:val="24"/>
              </w:rPr>
              <m:t>ℎ</m:t>
            </m:r>
            <m:ctrlPr>
              <w:rPr>
                <w:rFonts w:ascii="Cambria Math" w:hAnsi="Cambria Math" w:cs="Times New Roman"/>
                <w:i/>
                <w:iCs/>
                <w:color w:val="FF0000"/>
                <w:sz w:val="24"/>
              </w:rPr>
            </m:ctrlPr>
          </m:e>
          <m:sub>
            <m:r>
              <m:rPr/>
              <w:rPr>
                <w:rFonts w:ascii="Cambria Math" w:hAnsi="Cambria Math" w:cs="Times New Roman"/>
                <w:color w:val="FF0000"/>
                <w:sz w:val="24"/>
              </w:rPr>
              <m:t>2</m:t>
            </m:r>
            <m:ctrlPr>
              <w:rPr>
                <w:rFonts w:ascii="Cambria Math" w:hAnsi="Cambria Math" w:cs="Times New Roman"/>
                <w:i/>
                <w:iCs/>
                <w:color w:val="FF0000"/>
                <w:sz w:val="24"/>
              </w:rPr>
            </m:ctrlPr>
          </m:sub>
        </m:sSub>
        <m:r>
          <m:rPr/>
          <w:rPr>
            <w:rFonts w:ascii="Cambria Math" w:hAnsi="Cambria Math" w:cs="Times New Roman"/>
            <w:color w:val="FF0000"/>
            <w:sz w:val="24"/>
          </w:rPr>
          <m:t xml:space="preserve">, …, </m:t>
        </m:r>
        <m:sSub>
          <m:sSubPr>
            <m:ctrlPr>
              <w:rPr>
                <w:rFonts w:ascii="Cambria Math" w:hAnsi="Cambria Math" w:cs="Times New Roman"/>
                <w:i/>
                <w:iCs/>
                <w:color w:val="FF0000"/>
                <w:sz w:val="24"/>
              </w:rPr>
            </m:ctrlPr>
          </m:sSubPr>
          <m:e>
            <m:r>
              <m:rPr/>
              <w:rPr>
                <w:rFonts w:ascii="Cambria Math" w:hAnsi="Cambria Math" w:cs="Times New Roman"/>
                <w:color w:val="FF0000"/>
                <w:sz w:val="24"/>
              </w:rPr>
              <m:t>ℎ</m:t>
            </m:r>
            <m:ctrlPr>
              <w:rPr>
                <w:rFonts w:ascii="Cambria Math" w:hAnsi="Cambria Math" w:cs="Times New Roman"/>
                <w:i/>
                <w:iCs/>
                <w:color w:val="FF0000"/>
                <w:sz w:val="24"/>
              </w:rPr>
            </m:ctrlPr>
          </m:e>
          <m:sub>
            <m:r>
              <m:rPr/>
              <w:rPr>
                <w:rFonts w:ascii="Cambria Math" w:hAnsi="Cambria Math" w:cs="Times New Roman"/>
                <w:color w:val="FF0000"/>
                <w:sz w:val="24"/>
              </w:rPr>
              <m:t>n</m:t>
            </m:r>
            <m:ctrlPr>
              <w:rPr>
                <w:rFonts w:ascii="Cambria Math" w:hAnsi="Cambria Math" w:cs="Times New Roman"/>
                <w:i/>
                <w:iCs/>
                <w:color w:val="FF0000"/>
                <w:sz w:val="24"/>
              </w:rPr>
            </m:ctrlPr>
          </m:sub>
        </m:sSub>
        <m:r>
          <m:rPr/>
          <w:rPr>
            <w:rFonts w:ascii="Cambria Math" w:hAnsi="Cambria Math" w:cs="Times New Roman"/>
            <w:color w:val="FF0000"/>
            <w:sz w:val="24"/>
          </w:rPr>
          <m:t>)</m:t>
        </m:r>
      </m:oMath>
      <w:r>
        <w:rPr>
          <w:rFonts w:ascii="Times New Roman" w:hAnsi="Times New Roman" w:cs="Times New Roman"/>
          <w:color w:val="FF0000"/>
          <w:sz w:val="24"/>
        </w:rPr>
        <w:t xml:space="preserve">. </w:t>
      </w:r>
      <w:r>
        <w:rPr>
          <w:rFonts w:ascii="Times New Roman" w:hAnsi="Times New Roman" w:cs="Times New Roman"/>
          <w:sz w:val="24"/>
        </w:rPr>
        <w:t xml:space="preserve">The hidden state in this paper will be the dollar against the CNY exchange rate. At time t, for the input </w:t>
      </w:r>
      <w:r>
        <w:rPr>
          <w:rFonts w:ascii="Times New Roman" w:hAnsi="Times New Roman" w:cs="Times New Roman"/>
          <w:i/>
          <w:iCs/>
          <w:sz w:val="24"/>
        </w:rPr>
        <w:t>x</w:t>
      </w:r>
      <w:r>
        <w:rPr>
          <w:rFonts w:ascii="Times New Roman" w:hAnsi="Times New Roman" w:cs="Times New Roman"/>
          <w:i/>
          <w:iCs/>
          <w:sz w:val="24"/>
          <w:vertAlign w:val="subscript"/>
        </w:rPr>
        <w:t>t</w:t>
      </w:r>
      <w:r>
        <w:rPr>
          <w:rFonts w:ascii="Times New Roman" w:hAnsi="Times New Roman" w:cs="Times New Roman"/>
          <w:sz w:val="24"/>
        </w:rPr>
        <w:t>,</w:t>
      </w:r>
      <w:r>
        <w:rPr>
          <w:rFonts w:ascii="Times New Roman" w:hAnsi="Times New Roman" w:cs="Times New Roman"/>
          <w:i/>
          <w:iCs/>
          <w:sz w:val="24"/>
        </w:rPr>
        <w:t xml:space="preserve"> </w:t>
      </w:r>
      <w:r>
        <w:rPr>
          <w:rFonts w:ascii="Times New Roman" w:hAnsi="Times New Roman" w:cs="Times New Roman"/>
          <w:sz w:val="24"/>
        </w:rPr>
        <w:t xml:space="preserve">the hidden unit vector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previous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At the same time, a backward hidden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future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In the concatenation layer, the hidden states at both directions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and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are concatenated into a long vector (Chen et al., 2017). Mathematically, the hidden vector h is represented as follows:</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2L</m:t>
            </m:r>
            <m:ctrlPr>
              <w:rPr>
                <w:rFonts w:ascii="Cambria Math" w:hAnsi="Cambria Math" w:cs="Times New Roman"/>
                <w:i/>
                <w:sz w:val="24"/>
              </w:rPr>
            </m:ctrlPr>
          </m:sup>
        </m:sSup>
      </m:oMath>
      <w:r>
        <w:rPr>
          <w:rFonts w:ascii="Times New Roman" w:hAnsi="Times New Roman" w:cs="Times New Roman"/>
          <w:sz w:val="24"/>
        </w:rPr>
        <w:tab/>
      </w:r>
      <w:r>
        <w:rPr>
          <w:rFonts w:ascii="Times New Roman" w:hAnsi="Times New Roman" w:cs="Times New Roman"/>
          <w:sz w:val="24"/>
        </w:rPr>
        <w:t>(12)</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rPr>
          <m:t>⨁</m:t>
        </m:r>
      </m:oMath>
      <w:r>
        <w:rPr>
          <w:rFonts w:ascii="Times New Roman" w:hAnsi="Times New Roman" w:cs="Times New Roman"/>
          <w:sz w:val="24"/>
        </w:rPr>
        <w:t xml:space="preserve"> represents the concatenation method and L means the size of each direction of LSTM. The output of BiLSTM can be summarized as a single strand </w:t>
      </w: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Lastly, the final value after the concatenation layer is shown in the output layer.</w:t>
      </w:r>
    </w:p>
    <w:p>
      <w:pPr>
        <w:pStyle w:val="21"/>
        <w:spacing w:before="156" w:beforeLines="50" w:line="360" w:lineRule="auto"/>
        <w:ind w:left="0" w:leftChars="0"/>
        <w:outlineLvl w:val="1"/>
        <w:rPr>
          <w:rFonts w:ascii="Times New Roman" w:hAnsi="Times New Roman" w:cs="Times New Roman"/>
          <w:b/>
          <w:bCs/>
          <w:i/>
          <w:iCs/>
          <w:sz w:val="24"/>
        </w:rPr>
      </w:pPr>
      <w:bookmarkStart w:id="13" w:name="_Toc114151813"/>
      <w:r>
        <w:rPr>
          <w:rFonts w:ascii="Times New Roman" w:hAnsi="Times New Roman" w:cs="Times New Roman"/>
          <w:b/>
          <w:bCs/>
          <w:i/>
          <w:iCs/>
          <w:sz w:val="24"/>
        </w:rPr>
        <w:t>3.3 Support vector regression</w:t>
      </w:r>
      <w:bookmarkEnd w:id="13"/>
    </w:p>
    <w:p>
      <w:pPr>
        <w:spacing w:line="360" w:lineRule="auto"/>
        <w:ind w:firstLine="360"/>
        <w:rPr>
          <w:rFonts w:ascii="Times New Roman" w:hAnsi="Times New Roman" w:cs="Times New Roman"/>
          <w:sz w:val="24"/>
        </w:rPr>
      </w:pPr>
      <w:r>
        <w:rPr>
          <w:rFonts w:ascii="Times New Roman" w:hAnsi="Times New Roman" w:cs="Times New Roman"/>
          <w:color w:val="FF0000"/>
          <w:sz w:val="24"/>
        </w:rPr>
        <w:t>Support vector regression (SVR) is a machine learning model adopted from the basis of support vectors.</w:t>
      </w:r>
      <w:r>
        <w:rPr>
          <w:rFonts w:ascii="Times New Roman" w:hAnsi="Times New Roman" w:cs="Times New Roman"/>
          <w:sz w:val="24"/>
        </w:rPr>
        <w:t xml:space="preserve"> In a nutshell, SVR divides the dataset into different classes, and the response variable’s prediction will be classified into one of those classes.</w:t>
      </w:r>
    </w:p>
    <w:p>
      <w:pPr>
        <w:spacing w:line="360" w:lineRule="auto"/>
        <w:ind w:firstLine="360"/>
        <w:rPr>
          <w:rFonts w:ascii="Times New Roman" w:hAnsi="Times New Roman" w:cs="Times New Roman"/>
          <w:sz w:val="24"/>
        </w:rPr>
      </w:pPr>
      <w:r>
        <w:rPr>
          <w:rFonts w:ascii="Times New Roman" w:hAnsi="Times New Roman" w:cs="Times New Roman"/>
          <w:sz w:val="24"/>
        </w:rPr>
        <w:t xml:space="preserve">Considering a set of training dataset </w:t>
      </w:r>
      <m:oMath>
        <m:r>
          <m:rP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m:oMath>
        <m:r>
          <m:rPr/>
          <w:rPr>
            <w:rFonts w:ascii="Cambria Math" w:hAnsi="Cambria Math" w:cs="Times New Roman"/>
            <w:sz w:val="24"/>
          </w:rPr>
          <m:t>⊂Χ</m:t>
        </m:r>
        <m:r>
          <m:rPr>
            <m:scr m:val="double-struck"/>
          </m:rPr>
          <w:rPr>
            <w:rFonts w:ascii="Cambria Math" w:hAnsi="Cambria Math" w:cs="Times New Roman"/>
            <w:sz w:val="24"/>
          </w:rPr>
          <m:t>×ℝ</m:t>
        </m:r>
      </m:oMath>
      <w:r>
        <w:rPr>
          <w:rFonts w:ascii="Times New Roman" w:hAnsi="Times New Roman" w:cs="Times New Roman"/>
          <w:sz w:val="24"/>
        </w:rPr>
        <w:t xml:space="preserve">, where </w:t>
      </w:r>
      <m:oMath>
        <m:r>
          <m:rPr/>
          <w:rPr>
            <w:rFonts w:ascii="Cambria Math" w:hAnsi="Cambria Math" w:cs="Times New Roman"/>
            <w:sz w:val="24"/>
          </w:rPr>
          <m:t>Χ</m:t>
        </m:r>
      </m:oMath>
      <w:r>
        <w:rPr>
          <w:rFonts w:ascii="Times New Roman" w:hAnsi="Times New Roman" w:cs="Times New Roman"/>
          <w:sz w:val="24"/>
        </w:rPr>
        <w:t xml:space="preserve"> is a matrix for the input patterns. An </w:t>
      </w:r>
      <w:r>
        <w:rPr>
          <w:rFonts w:ascii="Times New Roman" w:hAnsi="Times New Roman" w:cs="Times New Roman"/>
          <w:i/>
          <w:iCs/>
          <w:sz w:val="24"/>
          <w:lang w:val="el-GR"/>
        </w:rPr>
        <w:t>ε</w:t>
      </w:r>
      <w:r>
        <w:rPr>
          <w:rFonts w:ascii="Times New Roman" w:hAnsi="Times New Roman" w:cs="Times New Roman"/>
          <w:sz w:val="24"/>
        </w:rPr>
        <w:t xml:space="preserve">-SV regression is defined as a function that each predicted point has at most </w:t>
      </w:r>
      <w:r>
        <w:rPr>
          <w:rFonts w:ascii="Times New Roman" w:hAnsi="Times New Roman" w:cs="Times New Roman"/>
          <w:sz w:val="24"/>
          <w:lang w:val="el-GR"/>
        </w:rPr>
        <w:t>ε</w:t>
      </w:r>
      <w:r>
        <w:rPr>
          <w:rFonts w:ascii="Times New Roman" w:hAnsi="Times New Roman" w:cs="Times New Roman"/>
          <w:sz w:val="24"/>
        </w:rPr>
        <w:t xml:space="preserve"> deviation to the actual point (</w:t>
      </w:r>
      <w:r>
        <w:rPr>
          <w:rFonts w:ascii="Times New Roman" w:hAnsi="Times New Roman" w:cs="Times New Roman"/>
          <w:color w:val="222222"/>
          <w:sz w:val="24"/>
          <w:shd w:val="clear" w:color="auto" w:fill="FFFFFF"/>
        </w:rPr>
        <w:t>Cortes &amp; Vapnik, 1995</w:t>
      </w:r>
      <w:r>
        <w:rPr>
          <w:rFonts w:ascii="Times New Roman" w:hAnsi="Times New Roman" w:cs="Times New Roman"/>
          <w:sz w:val="24"/>
        </w:rPr>
        <w:t xml:space="preserve">). This means this regression will not accept any deviations larger than </w:t>
      </w:r>
      <w:r>
        <w:rPr>
          <w:rFonts w:ascii="Times New Roman" w:hAnsi="Times New Roman" w:cs="Times New Roman"/>
          <w:sz w:val="24"/>
          <w:lang w:val="el-GR"/>
        </w:rPr>
        <w:t>ε</w:t>
      </w:r>
      <w:r>
        <w:rPr>
          <w:rFonts w:ascii="Times New Roman" w:hAnsi="Times New Roman" w:cs="Times New Roman"/>
          <w:sz w:val="24"/>
        </w:rPr>
        <w:t xml:space="preserve">.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 Therefore, for the linear function </w:t>
      </w:r>
      <m:oMath>
        <m:r>
          <m:rPr/>
          <w:rPr>
            <w:rFonts w:ascii="Cambria Math" w:hAnsi="Cambria Math" w:cs="Times New Roman"/>
            <w:sz w:val="24"/>
          </w:rPr>
          <m:t>f</m:t>
        </m:r>
      </m:oMath>
      <w:r>
        <w:rPr>
          <w:rFonts w:ascii="Times New Roman" w:hAnsi="Times New Roman" w:cs="Times New Roman"/>
          <w:sz w:val="24"/>
        </w:rPr>
        <w:t>:</w:t>
      </w:r>
    </w:p>
    <w:p>
      <w:pPr>
        <w:spacing w:line="360" w:lineRule="auto"/>
        <w:jc w:val="center"/>
        <w:rPr>
          <w:rFonts w:ascii="Times New Roman" w:hAnsi="Times New Roman" w:cs="Times New Roman"/>
          <w:iCs/>
          <w:sz w:val="24"/>
        </w:rPr>
      </w:pPr>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+b, ω∈Χ, b</m:t>
        </m:r>
        <m:r>
          <m:rPr>
            <m:scr m:val="double-struck"/>
          </m:rPr>
          <w:rPr>
            <w:rFonts w:ascii="Cambria Math" w:hAnsi="Cambria Math" w:cs="Times New Roman"/>
            <w:sz w:val="24"/>
          </w:rPr>
          <m:t>∈ℝ</m:t>
        </m:r>
      </m:oMath>
      <w:r>
        <w:rPr>
          <w:rFonts w:ascii="Times New Roman" w:hAnsi="Cambria Math" w:cs="Times New Roman"/>
          <w:sz w:val="24"/>
        </w:rPr>
        <w:tab/>
      </w:r>
      <w:r>
        <w:rPr>
          <w:rFonts w:ascii="Times New Roman" w:hAnsi="Cambria Math" w:cs="Times New Roman"/>
          <w:sz w:val="24"/>
        </w:rPr>
        <w:t>(13)</w:t>
      </w:r>
    </w:p>
    <w:p>
      <w:pPr>
        <w:spacing w:line="360" w:lineRule="auto"/>
        <w:rPr>
          <w:rFonts w:ascii="Times New Roman" w:hAnsi="Times New Roman" w:cs="Times New Roman"/>
          <w:sz w:val="24"/>
        </w:rPr>
      </w:pPr>
      <w:r>
        <w:rPr>
          <w:rFonts w:ascii="Times New Roman" w:hAnsi="Times New Roman" w:cs="Times New Roman"/>
          <w:color w:val="FF0000"/>
          <w:sz w:val="24"/>
        </w:rPr>
        <w:t>With</w:t>
      </w:r>
      <w:r>
        <w:rPr>
          <w:rFonts w:ascii="Times New Roman" w:hAnsi="Times New Roman" w:cs="Times New Roman"/>
          <w:i/>
          <w:color w:val="FF0000"/>
          <w:sz w:val="24"/>
        </w:rPr>
        <w:t xml:space="preserve"> </w:t>
      </w:r>
      <m:oMath>
        <m:r>
          <m:rPr/>
          <w:rPr>
            <w:rFonts w:ascii="Cambria Math" w:hAnsi="Cambria Math" w:cs="Times New Roman"/>
            <w:color w:val="FF0000"/>
            <w:sz w:val="24"/>
            <w:lang w:val="el-GR"/>
          </w:rPr>
          <m:t>ω</m:t>
        </m:r>
      </m:oMath>
      <w:r>
        <w:rPr>
          <w:rFonts w:ascii="Times New Roman" w:hAnsi="Times New Roman" w:cs="Times New Roman"/>
          <w:color w:val="FF0000"/>
          <w:sz w:val="24"/>
        </w:rPr>
        <w:t xml:space="preserve"> is a vector in</w:t>
      </w:r>
      <w:r>
        <w:rPr>
          <w:rFonts w:ascii="Times New Roman" w:hAnsi="Times New Roman" w:cs="Times New Roman"/>
          <w:i/>
          <w:color w:val="FF0000"/>
          <w:sz w:val="24"/>
        </w:rPr>
        <w:t xml:space="preserve"> </w:t>
      </w:r>
      <m:oMath>
        <m:r>
          <m:rPr/>
          <w:rPr>
            <w:rFonts w:ascii="Cambria Math" w:hAnsi="Cambria Math" w:cs="Times New Roman"/>
            <w:color w:val="FF0000"/>
            <w:sz w:val="24"/>
          </w:rPr>
          <m:t>Χ</m:t>
        </m:r>
        <m:r>
          <m:rPr/>
          <w:rPr>
            <w:rFonts w:ascii="Cambria Math" w:hAnsi="Cambria Math" w:cs="Cambria Math"/>
            <w:color w:val="FF0000"/>
            <w:sz w:val="24"/>
          </w:rPr>
          <m:t xml:space="preserve">. </m:t>
        </m:r>
        <m:d>
          <m:dPr>
            <m:begChr m:val="⟨"/>
            <m:endChr m:val=""/>
            <m:ctrlPr>
              <w:rPr>
                <w:rFonts w:ascii="Cambria Math" w:hAnsi="Cambria Math" w:cs="Times New Roman"/>
                <w:i/>
                <w:color w:val="FF0000"/>
                <w:sz w:val="24"/>
              </w:rPr>
            </m:ctrlPr>
          </m:dPr>
          <m:e>
            <m:r>
              <m:rPr/>
              <w:rPr>
                <w:rFonts w:ascii="Cambria Math" w:hAnsi="Cambria Math" w:cs="Times New Roman"/>
                <w:color w:val="FF0000"/>
                <w:sz w:val="24"/>
                <w:lang w:val="el-GR"/>
              </w:rPr>
              <m:t>ω</m:t>
            </m:r>
            <m:ctrlPr>
              <w:rPr>
                <w:rFonts w:ascii="Cambria Math" w:hAnsi="Cambria Math" w:cs="Times New Roman"/>
                <w:i/>
                <w:color w:val="FF0000"/>
                <w:sz w:val="24"/>
              </w:rPr>
            </m:ctrlPr>
          </m:e>
        </m:d>
        <m:r>
          <m:rPr/>
          <w:rPr>
            <w:rFonts w:ascii="Cambria Math" w:hAnsi="Cambria Math" w:cs="Times New Roman"/>
            <w:color w:val="FF0000"/>
            <w:sz w:val="24"/>
          </w:rPr>
          <m:t>,</m:t>
        </m:r>
        <m:d>
          <m:dPr>
            <m:begChr m:val=""/>
            <m:endChr m:val="⟩"/>
            <m:ctrlPr>
              <w:rPr>
                <w:rFonts w:ascii="Cambria Math" w:hAnsi="Cambria Math" w:cs="Times New Roman"/>
                <w:i/>
                <w:color w:val="FF0000"/>
                <w:sz w:val="24"/>
              </w:rPr>
            </m:ctrlPr>
          </m:dPr>
          <m:e>
            <m:r>
              <m:rPr/>
              <w:rPr>
                <w:rFonts w:ascii="Cambria Math" w:hAnsi="Cambria Math" w:cs="Times New Roman"/>
                <w:color w:val="FF0000"/>
                <w:sz w:val="24"/>
              </w:rPr>
              <m:t>x</m:t>
            </m:r>
            <m:ctrlPr>
              <w:rPr>
                <w:rFonts w:ascii="Cambria Math" w:hAnsi="Cambria Math" w:cs="Times New Roman"/>
                <w:i/>
                <w:color w:val="FF0000"/>
                <w:sz w:val="24"/>
              </w:rPr>
            </m:ctrlPr>
          </m:e>
        </m:d>
      </m:oMath>
      <w:r>
        <w:rPr>
          <w:rFonts w:ascii="Times New Roman" w:hAnsi="Times New Roman" w:cs="Times New Roman"/>
          <w:color w:val="FF0000"/>
          <w:sz w:val="24"/>
        </w:rPr>
        <w:t xml:space="preserve"> represents the dot product of the above two vectors. To keep the regression flat, we need a smaller </w:t>
      </w:r>
      <m:oMath>
        <m:r>
          <m:rPr/>
          <w:rPr>
            <w:rFonts w:ascii="Cambria Math" w:hAnsi="Cambria Math" w:cs="Times New Roman"/>
            <w:color w:val="FF0000"/>
            <w:sz w:val="24"/>
            <w:lang w:val="el-GR"/>
          </w:rPr>
          <m:t>ω</m:t>
        </m:r>
      </m:oMath>
      <w:r>
        <w:rPr>
          <w:rFonts w:ascii="Times New Roman" w:hAnsi="Cambria Math" w:cs="Times New Roman"/>
          <w:color w:val="FF0000"/>
          <w:sz w:val="24"/>
        </w:rPr>
        <w:t xml:space="preserve"> is needed.</w:t>
      </w:r>
      <w:r>
        <w:rPr>
          <w:rFonts w:ascii="Times New Roman" w:hAnsi="Times New Roman" w:cs="Times New Roman"/>
          <w:color w:val="FF0000"/>
          <w:sz w:val="24"/>
        </w:rPr>
        <w:t xml:space="preserve"> Therefore, the equation </w:t>
      </w:r>
      <m:oMath>
        <m:d>
          <m:dPr>
            <m:begChr m:val="⟨"/>
            <m:endChr m:val=""/>
            <m:ctrlPr>
              <w:rPr>
                <w:rFonts w:ascii="Cambria Math" w:hAnsi="Cambria Math" w:cs="Times New Roman"/>
                <w:i/>
                <w:color w:val="FF0000"/>
                <w:sz w:val="24"/>
              </w:rPr>
            </m:ctrlPr>
          </m:dPr>
          <m:e>
            <m:r>
              <m:rPr/>
              <w:rPr>
                <w:rFonts w:ascii="Cambria Math" w:hAnsi="Cambria Math" w:cs="Times New Roman"/>
                <w:color w:val="FF0000"/>
                <w:sz w:val="24"/>
                <w:lang w:val="el-GR"/>
              </w:rPr>
              <m:t>ω</m:t>
            </m:r>
            <m:ctrlPr>
              <w:rPr>
                <w:rFonts w:ascii="Cambria Math" w:hAnsi="Cambria Math" w:cs="Times New Roman"/>
                <w:i/>
                <w:color w:val="FF0000"/>
                <w:sz w:val="24"/>
              </w:rPr>
            </m:ctrlPr>
          </m:e>
        </m:d>
        <m:r>
          <m:rPr/>
          <w:rPr>
            <w:rFonts w:ascii="Cambria Math" w:hAnsi="Cambria Math" w:cs="Times New Roman"/>
            <w:color w:val="FF0000"/>
            <w:sz w:val="24"/>
          </w:rPr>
          <m:t>,</m:t>
        </m:r>
        <m:d>
          <m:dPr>
            <m:begChr m:val=""/>
            <m:endChr m:val="⟩"/>
            <m:ctrlPr>
              <w:rPr>
                <w:rFonts w:ascii="Cambria Math" w:hAnsi="Cambria Math" w:cs="Times New Roman"/>
                <w:i/>
                <w:color w:val="FF0000"/>
                <w:sz w:val="24"/>
              </w:rPr>
            </m:ctrlPr>
          </m:dPr>
          <m:e>
            <m:r>
              <m:rPr/>
              <w:rPr>
                <w:rFonts w:ascii="Cambria Math" w:hAnsi="Cambria Math" w:cs="Times New Roman"/>
                <w:color w:val="FF0000"/>
                <w:sz w:val="24"/>
                <w:lang w:val="el-GR"/>
              </w:rPr>
              <m:t>ω</m:t>
            </m:r>
            <m:ctrlPr>
              <w:rPr>
                <w:rFonts w:ascii="Cambria Math" w:hAnsi="Cambria Math" w:cs="Times New Roman"/>
                <w:i/>
                <w:color w:val="FF0000"/>
                <w:sz w:val="24"/>
              </w:rPr>
            </m:ctrlPr>
          </m:e>
        </m:d>
        <m:r>
          <m:rPr/>
          <w:rPr>
            <w:rFonts w:ascii="Cambria Math" w:hAnsi="Cambria Math" w:cs="Times New Roman"/>
            <w:color w:val="FF0000"/>
            <w:sz w:val="24"/>
          </w:rPr>
          <m:t xml:space="preserve">= </m:t>
        </m:r>
        <m:f>
          <m:fPr>
            <m:ctrlPr>
              <w:rPr>
                <w:rFonts w:ascii="Cambria Math" w:hAnsi="Cambria Math" w:cs="Times New Roman"/>
                <w:i/>
                <w:color w:val="FF0000"/>
                <w:sz w:val="24"/>
              </w:rPr>
            </m:ctrlPr>
          </m:fPr>
          <m:num>
            <m:r>
              <m:rPr/>
              <w:rPr>
                <w:rFonts w:ascii="Cambria Math" w:hAnsi="Cambria Math" w:cs="Times New Roman"/>
                <w:color w:val="FF0000"/>
                <w:sz w:val="24"/>
              </w:rPr>
              <m:t>1</m:t>
            </m:r>
            <m:ctrlPr>
              <w:rPr>
                <w:rFonts w:ascii="Cambria Math" w:hAnsi="Cambria Math" w:cs="Times New Roman"/>
                <w:i/>
                <w:color w:val="FF0000"/>
                <w:sz w:val="24"/>
              </w:rPr>
            </m:ctrlPr>
          </m:num>
          <m:den>
            <m:r>
              <m:rPr/>
              <w:rPr>
                <w:rFonts w:ascii="Cambria Math" w:hAnsi="Cambria Math" w:cs="Times New Roman"/>
                <w:color w:val="FF0000"/>
                <w:sz w:val="24"/>
              </w:rPr>
              <m:t>2</m:t>
            </m:r>
            <m:ctrlPr>
              <w:rPr>
                <w:rFonts w:ascii="Cambria Math" w:hAnsi="Cambria Math" w:cs="Times New Roman"/>
                <w:i/>
                <w:color w:val="FF0000"/>
                <w:sz w:val="24"/>
              </w:rPr>
            </m:ctrlPr>
          </m:den>
        </m:f>
        <m:sSup>
          <m:sSupPr>
            <m:ctrlPr>
              <w:rPr>
                <w:rFonts w:ascii="Cambria Math" w:hAnsi="Cambria Math" w:cs="Times New Roman"/>
                <w:i/>
                <w:color w:val="FF0000"/>
                <w:sz w:val="24"/>
              </w:rPr>
            </m:ctrlPr>
          </m:sSupPr>
          <m:e>
            <m:d>
              <m:dPr>
                <m:begChr m:val="‖"/>
                <m:endChr m:val="‖"/>
                <m:ctrlPr>
                  <w:rPr>
                    <w:rFonts w:ascii="Cambria Math" w:hAnsi="Cambria Math" w:cs="Times New Roman"/>
                    <w:i/>
                    <w:color w:val="FF0000"/>
                    <w:sz w:val="24"/>
                  </w:rPr>
                </m:ctrlPr>
              </m:dPr>
              <m:e>
                <m:r>
                  <m:rPr/>
                  <w:rPr>
                    <w:rFonts w:ascii="Cambria Math" w:hAnsi="Cambria Math" w:cs="Times New Roman"/>
                    <w:color w:val="FF0000"/>
                    <w:sz w:val="24"/>
                  </w:rPr>
                  <m:t>ω</m:t>
                </m:r>
                <m:ctrlPr>
                  <w:rPr>
                    <w:rFonts w:ascii="Cambria Math" w:hAnsi="Cambria Math" w:cs="Times New Roman"/>
                    <w:i/>
                    <w:color w:val="FF0000"/>
                    <w:sz w:val="24"/>
                  </w:rPr>
                </m:ctrlPr>
              </m:e>
            </m:d>
            <m:ctrlPr>
              <w:rPr>
                <w:rFonts w:ascii="Cambria Math" w:hAnsi="Cambria Math" w:cs="Times New Roman"/>
                <w:i/>
                <w:color w:val="FF0000"/>
                <w:sz w:val="24"/>
              </w:rPr>
            </m:ctrlPr>
          </m:e>
          <m:sup>
            <m:r>
              <m:rPr/>
              <w:rPr>
                <w:rFonts w:ascii="Cambria Math" w:hAnsi="Cambria Math" w:cs="Times New Roman"/>
                <w:color w:val="FF0000"/>
                <w:sz w:val="24"/>
              </w:rPr>
              <m:t>2</m:t>
            </m:r>
            <m:ctrlPr>
              <w:rPr>
                <w:rFonts w:ascii="Cambria Math" w:hAnsi="Cambria Math" w:cs="Times New Roman"/>
                <w:i/>
                <w:color w:val="FF0000"/>
                <w:sz w:val="24"/>
              </w:rPr>
            </m:ctrlPr>
          </m:sup>
        </m:sSup>
      </m:oMath>
      <w:r>
        <w:rPr>
          <w:rFonts w:ascii="Times New Roman" w:hAnsi="Cambria Math" w:cs="Times New Roman"/>
          <w:color w:val="FF0000"/>
          <w:sz w:val="24"/>
        </w:rPr>
        <w:t xml:space="preserve"> is minimized</w:t>
      </w:r>
      <w:r>
        <w:rPr>
          <w:rFonts w:ascii="Times New Roman" w:hAnsi="Times New Roman" w:cs="Times New Roman"/>
          <w:color w:val="FF0000"/>
          <w:sz w:val="24"/>
        </w:rPr>
        <w:t xml:space="preserve"> in the optimization problem below: </w:t>
      </w:r>
    </w:p>
    <w:p>
      <w:pPr>
        <w:spacing w:line="360" w:lineRule="auto"/>
        <w:jc w:val="center"/>
        <w:rPr>
          <w:rFonts w:ascii="Times New Roman" w:hAnsi="Times New Roman" w:cs="Times New Roman"/>
          <w:sz w:val="24"/>
        </w:rPr>
      </w:pPr>
      <m:oMath>
        <m:r>
          <m:rPr>
            <m:nor/>
            <m:sty m:val="p"/>
          </m:rPr>
          <w:rPr>
            <w:rFonts w:ascii="Times New Roman" w:hAnsi="Times New Roman" w:cs="Times New Roman"/>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w:r>
        <w:rPr>
          <w:rFonts w:ascii="Times New Roman" w:hAnsi="Cambria Math" w:cs="Times New Roman"/>
          <w:sz w:val="24"/>
        </w:rPr>
        <w:tab/>
      </w:r>
      <w:r>
        <w:rPr>
          <w:rFonts w:ascii="Times New Roman" w:hAnsi="Cambria Math" w:cs="Times New Roman"/>
          <w:sz w:val="24"/>
        </w:rPr>
        <w:t>(14)</w:t>
      </w:r>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This optimization problem will only work if all of the points can lie between +</w:t>
      </w:r>
      <w:r>
        <w:rPr>
          <w:rFonts w:ascii="Times New Roman" w:hAnsi="Times New Roman" w:cs="Times New Roman"/>
          <w:sz w:val="24"/>
          <w:lang w:val="el-GR"/>
        </w:rPr>
        <w:t>ε</w:t>
      </w:r>
      <w:r>
        <w:rPr>
          <w:rFonts w:ascii="Times New Roman" w:hAnsi="Times New Roman" w:cs="Times New Roman"/>
          <w:sz w:val="24"/>
        </w:rPr>
        <w:t xml:space="preserve"> and -</w:t>
      </w:r>
      <w:r>
        <w:rPr>
          <w:rFonts w:ascii="Times New Roman" w:hAnsi="Times New Roman" w:cs="Times New Roman"/>
          <w:sz w:val="24"/>
          <w:lang w:val="el-GR"/>
        </w:rPr>
        <w:t>ε</w:t>
      </w:r>
      <w:r>
        <w:rPr>
          <w:rFonts w:ascii="Times New Roman" w:hAnsi="Times New Roman" w:cs="Times New Roman"/>
          <w:sz w:val="24"/>
        </w:rPr>
        <w:t xml:space="preserve">. However, some datasets have data outside of the above boundary. </w:t>
      </w:r>
      <w:r>
        <w:rPr>
          <w:rFonts w:ascii="Times New Roman" w:hAnsi="Times New Roman" w:cs="Times New Roman"/>
          <w:color w:val="FF0000"/>
          <w:sz w:val="24"/>
        </w:rPr>
        <w:t xml:space="preserve">Slack variables are implemented as </w:t>
      </w:r>
      <m:oMath>
        <m:sSub>
          <m:sSubPr>
            <m:ctrlPr>
              <w:rPr>
                <w:rFonts w:ascii="Cambria Math" w:hAnsi="Cambria Math" w:cs="Times New Roman"/>
                <w:i/>
                <w:color w:val="FF0000"/>
                <w:sz w:val="24"/>
              </w:rPr>
            </m:ctrlPr>
          </m:sSubPr>
          <m:e>
            <m:r>
              <m:rPr/>
              <w:rPr>
                <w:rFonts w:ascii="Cambria Math" w:hAnsi="Cambria Math" w:cs="Times New Roman"/>
                <w:color w:val="FF0000"/>
                <w:sz w:val="24"/>
              </w:rPr>
              <m:t>ξ</m:t>
            </m:r>
            <m:ctrlPr>
              <w:rPr>
                <w:rFonts w:ascii="Cambria Math" w:hAnsi="Cambria Math" w:cs="Times New Roman"/>
                <w:i/>
                <w:color w:val="FF0000"/>
                <w:sz w:val="24"/>
              </w:rPr>
            </m:ctrlPr>
          </m:e>
          <m:sub>
            <m:r>
              <m:rPr/>
              <w:rPr>
                <w:rFonts w:ascii="Cambria Math" w:hAnsi="Cambria Math" w:cs="Times New Roman"/>
                <w:color w:val="FF0000"/>
                <w:sz w:val="24"/>
              </w:rPr>
              <m:t>i</m:t>
            </m:r>
            <m:ctrlPr>
              <w:rPr>
                <w:rFonts w:ascii="Cambria Math" w:hAnsi="Cambria Math" w:cs="Times New Roman"/>
                <w:i/>
                <w:color w:val="FF0000"/>
                <w:sz w:val="24"/>
              </w:rPr>
            </m:ctrlPr>
          </m:sub>
        </m:sSub>
        <m:r>
          <m:rPr>
            <m:nor/>
            <m:sty m:val="p"/>
          </m:rPr>
          <w:rPr>
            <w:rFonts w:ascii="Times New Roman" w:hAnsi="Times New Roman" w:cs="Times New Roman"/>
            <w:color w:val="FF0000"/>
            <w:sz w:val="24"/>
          </w:rPr>
          <m:t xml:space="preserve">, </m:t>
        </m:r>
        <m:sSubSup>
          <m:sSubSupPr>
            <m:ctrlPr>
              <w:rPr>
                <w:rFonts w:ascii="Cambria Math" w:hAnsi="Cambria Math" w:cs="Times New Roman"/>
                <w:i/>
                <w:color w:val="FF0000"/>
                <w:sz w:val="24"/>
              </w:rPr>
            </m:ctrlPr>
          </m:sSubSupPr>
          <m:e>
            <m:r>
              <m:rPr/>
              <w:rPr>
                <w:rFonts w:ascii="Cambria Math" w:hAnsi="Cambria Math" w:cs="Times New Roman"/>
                <w:color w:val="FF0000"/>
                <w:sz w:val="24"/>
              </w:rPr>
              <m:t>ξ</m:t>
            </m:r>
            <m:ctrlPr>
              <w:rPr>
                <w:rFonts w:ascii="Cambria Math" w:hAnsi="Cambria Math" w:cs="Times New Roman"/>
                <w:i/>
                <w:color w:val="FF0000"/>
                <w:sz w:val="24"/>
              </w:rPr>
            </m:ctrlPr>
          </m:e>
          <m:sub>
            <m:r>
              <m:rPr/>
              <w:rPr>
                <w:rFonts w:ascii="Cambria Math" w:hAnsi="Cambria Math" w:cs="Times New Roman"/>
                <w:color w:val="FF0000"/>
                <w:sz w:val="24"/>
              </w:rPr>
              <m:t>i</m:t>
            </m:r>
            <m:ctrlPr>
              <w:rPr>
                <w:rFonts w:ascii="Cambria Math" w:hAnsi="Cambria Math" w:cs="Times New Roman"/>
                <w:i/>
                <w:color w:val="FF0000"/>
                <w:sz w:val="24"/>
              </w:rPr>
            </m:ctrlPr>
          </m:sub>
          <m:sup>
            <m:r>
              <m:rPr/>
              <w:rPr>
                <w:rFonts w:ascii="Cambria Math" w:hAnsi="Cambria Math" w:cs="Times New Roman"/>
                <w:color w:val="FF0000"/>
                <w:sz w:val="24"/>
              </w:rPr>
              <m:t>∗</m:t>
            </m:r>
            <m:ctrlPr>
              <w:rPr>
                <w:rFonts w:ascii="Cambria Math" w:hAnsi="Cambria Math" w:cs="Times New Roman"/>
                <w:i/>
                <w:color w:val="FF0000"/>
                <w:sz w:val="24"/>
              </w:rPr>
            </m:ctrlPr>
          </m:sup>
        </m:sSubSup>
      </m:oMath>
      <w:r>
        <w:rPr>
          <w:rFonts w:ascii="Times New Roman" w:hAnsi="Times New Roman" w:cs="Times New Roman"/>
          <w:color w:val="FF0000"/>
          <w:sz w:val="24"/>
        </w:rPr>
        <w:t xml:space="preserve"> to represent the distance of datapoint to the nearest boundary (Wu et al., 2004).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Therefore, the new optimization minimizes the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oMath>
      <w:r>
        <w:rPr>
          <w:rFonts w:ascii="Times New Roman" w:hAnsi="Times New Roman" w:cs="Times New Roman"/>
          <w:sz w:val="24"/>
        </w:rPr>
        <w:t xml:space="preserve"> as well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The new equation will be:</w:t>
      </w:r>
    </w:p>
    <w:p>
      <w:pPr>
        <w:spacing w:line="360" w:lineRule="auto"/>
        <w:jc w:val="center"/>
        <w:rPr>
          <w:rFonts w:ascii="Times New Roman" w:hAnsi="Times New Roman" w:cs="Times New Roman"/>
          <w:sz w:val="24"/>
        </w:rPr>
      </w:pPr>
      <m:oMath>
        <m:r>
          <m:rPr>
            <m:nor/>
            <m:sty m:val="p"/>
          </m:rPr>
          <w:rPr>
            <w:rFonts w:ascii="Times New Roman" w:hAnsi="Times New Roman" w:cs="Times New Roman"/>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+C </m:t>
        </m:r>
        <m:nary>
          <m:naryPr>
            <m:chr m:val="∑"/>
            <m:limLoc m:val="undOvr"/>
            <m:ctrlPr>
              <w:rPr>
                <w:rFonts w:ascii="Cambria Math" w:hAnsi="Cambria Math" w:cs="Times New Roman"/>
                <w:i/>
                <w:sz w:val="24"/>
              </w:rPr>
            </m:ctrlPr>
          </m:naryPr>
          <m:sub>
            <m:r>
              <m:rPr/>
              <w:rPr>
                <w:rFonts w:ascii="Cambria Math" w:hAnsi="Cambria Math" w:cs="Cambria Math"/>
                <w:sz w:val="24"/>
              </w:rPr>
              <m:t xml:space="preserve"> </m:t>
            </m:r>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l</m:t>
            </m:r>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m:t>
            </m:r>
            <m:ctrlPr>
              <w:rPr>
                <w:rFonts w:ascii="Cambria Math" w:hAnsi="Cambria Math" w:cs="Times New Roman"/>
                <w:i/>
                <w:sz w:val="24"/>
              </w:rPr>
            </m:ctrlPr>
          </m:e>
        </m:nary>
      </m:oMath>
      <w:r>
        <w:rPr>
          <w:rFonts w:ascii="Times New Roman" w:hAnsi="Cambria Math" w:cs="Times New Roman"/>
          <w:sz w:val="24"/>
        </w:rPr>
        <w:tab/>
      </w:r>
      <w:r>
        <w:rPr>
          <w:rFonts w:ascii="Times New Roman" w:hAnsi="Cambria Math" w:cs="Times New Roman"/>
          <w:sz w:val="24"/>
        </w:rPr>
        <w:t>(15)</w:t>
      </w:r>
    </w:p>
    <w:p>
      <w:pPr>
        <w:spacing w:line="360" w:lineRule="auto"/>
        <w:rPr>
          <w:rFonts w:ascii="Times New Roman" w:hAnsi="Times New Roman" w:cs="Times New Roman"/>
          <w:sz w:val="24"/>
        </w:rPr>
      </w:pPr>
      <m:oMathPara>
        <m:oMath>
          <m:r>
            <m:rPr>
              <m:nor/>
              <m:sty m:val="p"/>
            </m:rPr>
            <w:rPr>
              <w:rFonts w:ascii="Times New Roman" w:hAnsi="Times New Roman" w:cs="Times New Roman"/>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ctrlPr>
                    <w:rPr>
                      <w:rFonts w:ascii="Cambria Math" w:hAnsi="Cambria Math" w:eastAsia="Cambria Math" w:cs="Times New Roman"/>
                      <w:i/>
                      <w:sz w:val="24"/>
                    </w:rPr>
                  </m:ctrlPr>
                </m:e>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≥0</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rPr>
          <w:rFonts w:ascii="Times New Roman" w:hAnsi="Times New Roman" w:cs="Times New Roman"/>
          <w:sz w:val="24"/>
        </w:rPr>
      </w:pPr>
      <w:r>
        <w:rPr>
          <w:rFonts w:ascii="Times New Roman" w:hAnsi="Times New Roman" w:cs="Times New Roman"/>
          <w:color w:val="FF0000"/>
          <w:sz w:val="24"/>
        </w:rPr>
        <w:t>where C is a constant controlling the deviation allowed for slack variables (</w:t>
      </w:r>
      <w:r>
        <w:rPr>
          <w:rFonts w:ascii="Times New Roman" w:hAnsi="Times New Roman" w:cs="Times New Roman"/>
          <w:color w:val="FF0000"/>
          <w:sz w:val="24"/>
          <w:shd w:val="clear" w:color="auto" w:fill="FFFFFF"/>
        </w:rPr>
        <w:t>Smola &amp; Schölkopf, 2004</w:t>
      </w:r>
      <w:r>
        <w:rPr>
          <w:rFonts w:ascii="Times New Roman" w:hAnsi="Times New Roman" w:cs="Times New Roman"/>
          <w:color w:val="FF0000"/>
          <w:sz w:val="24"/>
        </w:rPr>
        <w:t xml:space="preserve">). </w:t>
      </w:r>
      <w:r>
        <w:rPr>
          <w:rFonts w:ascii="Times New Roman" w:hAnsi="Times New Roman" w:cs="Times New Roman"/>
          <w:sz w:val="24"/>
        </w:rPr>
        <w:t xml:space="preserve">This equation is the final model proposed, effectively making valid predictions.  </w:t>
      </w:r>
    </w:p>
    <w:p>
      <w:pPr>
        <w:pStyle w:val="21"/>
        <w:spacing w:before="156" w:beforeLines="50" w:line="360" w:lineRule="auto"/>
        <w:ind w:left="0" w:leftChars="0"/>
        <w:outlineLvl w:val="1"/>
        <w:rPr>
          <w:rFonts w:ascii="Times New Roman" w:hAnsi="Times New Roman" w:cs="Times New Roman"/>
          <w:b/>
          <w:bCs/>
          <w:i/>
          <w:iCs/>
          <w:sz w:val="24"/>
        </w:rPr>
      </w:pPr>
      <w:bookmarkStart w:id="14" w:name="_Toc114151814"/>
      <w:r>
        <w:rPr>
          <w:rFonts w:ascii="Times New Roman" w:hAnsi="Times New Roman" w:cs="Times New Roman"/>
          <w:b/>
          <w:bCs/>
          <w:i/>
          <w:iCs/>
          <w:sz w:val="24"/>
        </w:rPr>
        <w:t>3.4 Extreme learning machine and Kernel extreme learning machine</w:t>
      </w:r>
      <w:bookmarkEnd w:id="14"/>
    </w:p>
    <w:p>
      <w:pPr>
        <w:spacing w:line="360" w:lineRule="auto"/>
        <w:ind w:firstLine="360"/>
        <w:rPr>
          <w:rFonts w:ascii="Times New Roman" w:hAnsi="Times New Roman" w:cs="Times New Roman"/>
          <w:sz w:val="24"/>
        </w:rPr>
      </w:pPr>
      <w:r>
        <w:rPr>
          <w:rFonts w:ascii="Times New Roman" w:hAnsi="Times New Roman" w:cs="Times New Roman"/>
          <w:sz w:val="24"/>
        </w:rPr>
        <w:t xml:space="preserve">Extreme learning machine (ELM) is another deep learning model to compare with LASSO-BiLSTM. This model was first introduced in 2006, aiming to improve the efficiency of the single-hidden-layer feedforward network (SLFNs) (Huang et al., 2006).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Overall, there are numerous benefits of ELM. First, the speed of ELM is extremely fast. It takes only seconds or faster than seconds to finish the model’s learning phase (Huang et al., 2006). For complicated models, the ELM learning machine only spends 1.6 minutes on running, but similar algorithms, such as SVR, takes 12 hours (Huang et al., 2006). </w:t>
      </w:r>
      <w:r>
        <w:rPr>
          <w:rFonts w:ascii="Times New Roman" w:hAnsi="Times New Roman" w:cs="Times New Roman"/>
          <w:color w:val="FF0000"/>
          <w:sz w:val="24"/>
        </w:rPr>
        <w:t>Thus, ELM runs more efficiently.</w:t>
      </w:r>
      <w:r>
        <w:rPr>
          <w:rFonts w:ascii="Times New Roman" w:hAnsi="Times New Roman" w:cs="Times New Roman"/>
          <w:sz w:val="24"/>
        </w:rPr>
        <w:t xml:space="preserve"> Second, the ELM model’s simplicity reduces multiple problems in other traditional gradient-based learning methods, such as overfitting and improper learning rate (Huang et al., 2006). The simple and straightforward ELM algorithm minimized these problems overall.</w:t>
      </w:r>
    </w:p>
    <w:p>
      <w:pPr>
        <w:spacing w:line="360" w:lineRule="auto"/>
        <w:ind w:firstLine="360"/>
        <w:rPr>
          <w:rFonts w:ascii="Times New Roman" w:hAnsi="Times New Roman" w:cs="Times New Roman"/>
          <w:sz w:val="24"/>
        </w:rPr>
      </w:pPr>
      <w:r>
        <w:rPr>
          <w:rFonts w:ascii="Times New Roman" w:hAnsi="Times New Roman" w:cs="Times New Roman"/>
          <w:sz w:val="24"/>
        </w:rPr>
        <w:t xml:space="preserve">For </w:t>
      </w:r>
      <w:r>
        <w:rPr>
          <w:rFonts w:ascii="Times New Roman" w:hAnsi="Times New Roman" w:cs="Times New Roman"/>
          <w:i/>
          <w:iCs/>
          <w:sz w:val="24"/>
        </w:rPr>
        <w:t>N</w:t>
      </w:r>
      <w:r>
        <w:rPr>
          <w:rFonts w:ascii="Times New Roman" w:hAnsi="Times New Roman" w:cs="Times New Roman"/>
          <w:sz w:val="24"/>
        </w:rPr>
        <w:t xml:space="preserve"> arbitrary distinct training samples of inputs (</w:t>
      </w:r>
      <w:r>
        <w:rPr>
          <w:rFonts w:ascii="Times New Roman" w:hAnsi="Times New Roman" w:cs="Times New Roman"/>
          <w:i/>
          <w:iCs/>
          <w:sz w:val="24"/>
        </w:rPr>
        <w:t>x</w:t>
      </w:r>
      <w:r>
        <w:rPr>
          <w:rFonts w:ascii="Times New Roman" w:hAnsi="Times New Roman" w:cs="Times New Roman"/>
          <w:i/>
          <w:iCs/>
          <w:sz w:val="24"/>
          <w:vertAlign w:val="subscript"/>
        </w:rPr>
        <w:t>i</w:t>
      </w:r>
      <w:r>
        <w:rPr>
          <w:rFonts w:ascii="Times New Roman" w:hAnsi="Times New Roman" w:cs="Times New Roman"/>
          <w:i/>
          <w:iCs/>
          <w:sz w:val="24"/>
        </w:rPr>
        <w:t>, t</w:t>
      </w:r>
      <w:r>
        <w:rPr>
          <w:rFonts w:ascii="Times New Roman" w:hAnsi="Times New Roman" w:cs="Times New Roman"/>
          <w:i/>
          <w:iCs/>
          <w:sz w:val="24"/>
          <w:vertAlign w:val="subscript"/>
        </w:rPr>
        <w:t>i</w:t>
      </w:r>
      <w:r>
        <w:rPr>
          <w:rFonts w:ascii="Times New Roman" w:hAnsi="Times New Roman" w:cs="Times New Roman"/>
          <w:sz w:val="24"/>
        </w:rPr>
        <w:t>), which</w:t>
      </w:r>
      <w:r>
        <w:rPr>
          <w:rFonts w:ascii="Times New Roman" w:hAnsi="Times New Roman" w:cs="Times New Roman"/>
          <w:i/>
          <w:iCs/>
          <w:sz w:val="24"/>
        </w:rPr>
        <w:t xml:space="preserve"> x</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in</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 xml:space="preserve"> ∈ </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oMath>
      <w:r>
        <w:rPr>
          <w:rFonts w:ascii="Times New Roman" w:hAnsi="Times New Roman" w:cs="Times New Roman"/>
          <w:sz w:val="24"/>
        </w:rPr>
        <w:t xml:space="preserve"> and </w:t>
      </w:r>
      <w:r>
        <w:rPr>
          <w:rFonts w:ascii="Times New Roman" w:hAnsi="Times New Roman" w:cs="Times New Roman"/>
          <w:i/>
          <w:iCs/>
          <w:sz w:val="24"/>
        </w:rPr>
        <w:t>t</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oMath>
      <w:r>
        <w:rPr>
          <w:rFonts w:ascii="Times New Roman" w:hAnsi="Times New Roman" w:cs="Times New Roman"/>
          <w:sz w:val="24"/>
        </w:rPr>
        <w:t xml:space="preserve">. Therefore, the training sample </w:t>
      </w:r>
      <m:oMath>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r>
          <m:rPr/>
          <w:rPr>
            <w:rFonts w:ascii="Cambria Math" w:hAnsi="Cambria Math" w:cs="Times New Roman"/>
            <w:sz w:val="24"/>
          </w:rPr>
          <m:t>, (i=1, 2, 3,…,N)</m:t>
        </m:r>
      </m:oMath>
      <w:r>
        <w:rPr>
          <w:rFonts w:ascii="Times New Roman" w:hAnsi="Times New Roman" w:cs="Times New Roman"/>
          <w:sz w:val="24"/>
        </w:rPr>
        <w:t xml:space="preserve">, the output of SLFN for </w:t>
      </w:r>
      <m:oMath>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oMath>
      <w:r>
        <w:rPr>
          <w:rFonts w:ascii="Times New Roman" w:hAnsi="Times New Roman" w:cs="Times New Roman"/>
          <w:sz w:val="24"/>
        </w:rPr>
        <w:t xml:space="preserve"> hidden nodes can be represented as: </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lang w:val="el-GR"/>
                  </w:rPr>
                </m:ctrlPr>
              </m:sSubPr>
              <m:e>
                <m:r>
                  <m:rPr/>
                  <w:rPr>
                    <w:rFonts w:ascii="Cambria Math" w:hAnsi="Cambria Math" w:cs="Times New Roman"/>
                    <w:sz w:val="24"/>
                    <w:lang w:val="el-GR"/>
                  </w:rPr>
                  <m:t>β</m:t>
                </m:r>
                <m:ctrlPr>
                  <w:rPr>
                    <w:rFonts w:ascii="Cambria Math" w:hAnsi="Cambria Math" w:cs="Times New Roman"/>
                    <w:i/>
                    <w:sz w:val="24"/>
                    <w:lang w:val="el-GR"/>
                  </w:rPr>
                </m:ctrlPr>
              </m:e>
              <m:sub>
                <m:r>
                  <m:rPr/>
                  <w:rPr>
                    <w:rFonts w:ascii="Cambria Math" w:hAnsi="Cambria Math" w:cs="Times New Roman"/>
                    <w:sz w:val="24"/>
                  </w:rPr>
                  <m:t>i</m:t>
                </m:r>
                <m:ctrlPr>
                  <w:rPr>
                    <w:rFonts w:ascii="Cambria Math" w:hAnsi="Cambria Math" w:cs="Times New Roman"/>
                    <w:i/>
                    <w:sz w:val="24"/>
                    <w:lang w:val="el-GR"/>
                  </w:rPr>
                </m:ctrlPr>
              </m:sub>
            </m:sSub>
            <m:sSub>
              <m:sSubPr>
                <m:ctrlPr>
                  <w:rPr>
                    <w:rFonts w:ascii="Cambria Math" w:hAnsi="Cambria Math" w:cs="Times New Roman"/>
                    <w:i/>
                    <w:sz w:val="24"/>
                    <w:lang w:val="el-GR"/>
                  </w:rPr>
                </m:ctrlPr>
              </m:sSubPr>
              <m:e>
                <m:r>
                  <m:rPr/>
                  <w:rPr>
                    <w:rFonts w:ascii="Cambria Math" w:hAnsi="Cambria Math" w:cs="Times New Roman"/>
                    <w:sz w:val="24"/>
                    <w:lang w:val="el-GR"/>
                  </w:rPr>
                  <m:t>f</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m:t>
            </m:r>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j</m:t>
                </m:r>
                <m:ctrlPr>
                  <w:rPr>
                    <w:rFonts w:ascii="Cambria Math" w:hAnsi="Cambria Math" w:cs="Times New Roman"/>
                    <w:i/>
                    <w:sz w:val="24"/>
                    <w:lang w:val="el-GR"/>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 j=1, 2,…,N</m:t>
        </m:r>
      </m:oMath>
      <w:r>
        <w:rPr>
          <w:rFonts w:ascii="Times New Roman" w:hAnsi="Cambria Math" w:cs="Times New Roman"/>
          <w:sz w:val="24"/>
        </w:rPr>
        <w:t xml:space="preserve"> </w:t>
      </w:r>
      <w:r>
        <w:rPr>
          <w:rFonts w:ascii="Times New Roman" w:hAnsi="Cambria Math" w:cs="Times New Roman"/>
          <w:sz w:val="24"/>
        </w:rPr>
        <w:tab/>
      </w:r>
      <w:r>
        <w:rPr>
          <w:rFonts w:ascii="Times New Roman" w:hAnsi="Cambria Math" w:cs="Times New Roman"/>
          <w:sz w:val="24"/>
        </w:rPr>
        <w:t>(16)</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is the output in SLFN, for input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 xml:space="preserve">, </m:t>
        </m:r>
        <m:r>
          <m:rPr/>
          <w:rPr>
            <w:rFonts w:ascii="Cambria Math" w:hAnsi="Cambria Math" w:cs="Times New Roman"/>
            <w:sz w:val="24"/>
            <w:lang w:val="el-GR"/>
          </w:rPr>
          <m:t>i</m:t>
        </m:r>
        <m:r>
          <m:rPr/>
          <w:rPr>
            <w:rFonts w:ascii="Cambria Math" w:hAnsi="Cambria Math" w:cs="Times New Roman"/>
            <w:sz w:val="24"/>
          </w:rPr>
          <m:t>=1, 2,…,N</m:t>
        </m:r>
      </m:oMath>
      <w:r>
        <w:rPr>
          <w:rFonts w:ascii="Times New Roman" w:hAnsi="Times New Roman" w:cs="Times New Roman"/>
          <w:sz w:val="24"/>
        </w:rPr>
        <w:t xml:space="preserve">.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the learning parameters for j</w:t>
      </w:r>
      <w:r>
        <w:rPr>
          <w:rFonts w:ascii="Times New Roman" w:hAnsi="Times New Roman" w:cs="Times New Roman"/>
          <w:sz w:val="24"/>
          <w:vertAlign w:val="superscript"/>
        </w:rPr>
        <w:t>th</w:t>
      </w:r>
      <w:r>
        <w:rPr>
          <w:rFonts w:ascii="Times New Roman" w:hAnsi="Times New Roman" w:cs="Times New Roman"/>
          <w:sz w:val="24"/>
        </w:rPr>
        <w:t xml:space="preserve"> hidden node, and there are </w:t>
      </w:r>
      <m:oMath>
        <m:r>
          <m:rPr/>
          <w:rPr>
            <w:rFonts w:ascii="Cambria Math" w:hAnsi="Cambria Math" w:cs="Times New Roman"/>
            <w:sz w:val="24"/>
          </w:rPr>
          <m:t>N</m:t>
        </m:r>
      </m:oMath>
      <w:r>
        <w:rPr>
          <w:rFonts w:ascii="Times New Roman" w:hAnsi="Times New Roman" w:cs="Times New Roman"/>
          <w:sz w:val="24"/>
        </w:rPr>
        <w:t xml:space="preserve"> hidden nodes in total. </w:t>
      </w:r>
      <m:oMath>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oMath>
      <w:r>
        <w:rPr>
          <w:rFonts w:ascii="Times New Roman" w:hAnsi="Times New Roman" w:cs="Times New Roman"/>
          <w:sz w:val="24"/>
        </w:rPr>
        <w:t xml:space="preserve"> is a linking parameter connecting between the j</w:t>
      </w:r>
      <w:r>
        <w:rPr>
          <w:rFonts w:ascii="Times New Roman" w:hAnsi="Times New Roman" w:cs="Times New Roman"/>
          <w:sz w:val="24"/>
          <w:vertAlign w:val="superscript"/>
        </w:rPr>
        <w:t>th</w:t>
      </w:r>
      <w:r>
        <w:rPr>
          <w:rFonts w:ascii="Times New Roman" w:hAnsi="Times New Roman" w:cs="Times New Roman"/>
          <w:sz w:val="24"/>
        </w:rPr>
        <w:t xml:space="preserve"> hidden node to the output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(Ding et al., 2014). </w:t>
      </w:r>
      <m:oMath>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is the activation function for the SLFN (Ding et al., 2014).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equation above can be represented concisely as: </w:t>
      </w:r>
    </w:p>
    <w:p>
      <w:pPr>
        <w:spacing w:line="360" w:lineRule="auto"/>
        <w:jc w:val="center"/>
        <w:rPr>
          <w:rFonts w:ascii="Times New Roman" w:hAnsi="Times New Roman" w:cs="Times New Roman"/>
          <w:i/>
          <w:sz w:val="24"/>
        </w:rPr>
      </w:pPr>
      <m:oMath>
        <m:r>
          <m:rPr/>
          <w:rPr>
            <w:rFonts w:ascii="Cambria Math" w:hAnsi="Cambria Math" w:cs="Times New Roman"/>
            <w:sz w:val="24"/>
          </w:rPr>
          <m:t>H</m:t>
        </m:r>
        <m:r>
          <m:rPr/>
          <w:rPr>
            <w:rFonts w:ascii="Cambria Math" w:hAnsi="Cambria Math" w:cs="Times New Roman"/>
            <w:sz w:val="24"/>
            <w:lang w:val="el-GR"/>
          </w:rPr>
          <m:t>β</m:t>
        </m:r>
        <m:r>
          <m:rPr/>
          <w:rPr>
            <w:rFonts w:ascii="Cambria Math" w:hAnsi="Cambria Math" w:cs="Times New Roman"/>
            <w:sz w:val="24"/>
          </w:rPr>
          <m:t>=</m:t>
        </m:r>
        <m:r>
          <m:rPr/>
          <w:rPr>
            <w:rFonts w:ascii="Cambria Math" w:hAnsi="Cambria Math" w:cs="Times New Roman"/>
            <w:sz w:val="24"/>
            <w:lang w:val="el-GR"/>
          </w:rPr>
          <m:t>O</m:t>
        </m:r>
      </m:oMath>
      <w:r>
        <w:rPr>
          <w:rFonts w:ascii="Times New Roman" w:hAnsi="Cambria Math" w:cs="Times New Roman"/>
          <w:i/>
          <w:sz w:val="24"/>
        </w:rPr>
        <w:t xml:space="preserve"> </w:t>
      </w:r>
      <w:r>
        <w:rPr>
          <w:rFonts w:ascii="Times New Roman" w:hAnsi="Cambria Math" w:cs="Times New Roman"/>
          <w:i/>
          <w:sz w:val="24"/>
        </w:rPr>
        <w:tab/>
      </w:r>
      <w:r>
        <w:rPr>
          <w:rFonts w:ascii="Times New Roman" w:hAnsi="Cambria Math" w:cs="Times New Roman"/>
          <w:sz w:val="24"/>
        </w:rPr>
        <w:t>(17)</w:t>
      </w:r>
    </w:p>
    <w:p>
      <w:pPr>
        <w:spacing w:line="360" w:lineRule="auto"/>
        <w:rPr>
          <w:rFonts w:ascii="Times New Roman" w:hAnsi="Times New Roman" w:cs="Times New Roman"/>
          <w:sz w:val="24"/>
        </w:rPr>
      </w:pPr>
      <w:r>
        <w:rPr>
          <w:rFonts w:ascii="Times New Roman" w:hAnsi="Times New Roman" w:cs="Times New Roman"/>
          <w:sz w:val="24"/>
        </w:rPr>
        <w:t xml:space="preserve">And </w:t>
      </w:r>
      <w:r>
        <w:rPr>
          <w:rFonts w:ascii="Times New Roman" w:hAnsi="Times New Roman" w:cs="Times New Roman"/>
          <w:i/>
          <w:iCs/>
          <w:sz w:val="24"/>
        </w:rPr>
        <w:t xml:space="preserve">H </w:t>
      </w:r>
      <w:r>
        <w:rPr>
          <w:rFonts w:ascii="Times New Roman" w:hAnsi="Times New Roman" w:cs="Times New Roman"/>
          <w:sz w:val="24"/>
        </w:rPr>
        <w:t xml:space="preserve">is the output matrix for the hidden layer, </w:t>
      </w:r>
      <w:r>
        <w:rPr>
          <w:rFonts w:ascii="Times New Roman" w:hAnsi="Times New Roman" w:cs="Times New Roman"/>
          <w:i/>
          <w:iCs/>
          <w:sz w:val="24"/>
          <w:lang w:val="el-GR"/>
        </w:rPr>
        <w:t>β</w:t>
      </w:r>
      <w:r>
        <w:rPr>
          <w:rFonts w:ascii="Times New Roman" w:hAnsi="Times New Roman" w:cs="Times New Roman"/>
          <w:sz w:val="24"/>
        </w:rPr>
        <w:t xml:space="preserve"> is the linking matrix between hidden layer and outputs, and </w:t>
      </w:r>
      <w:r>
        <w:rPr>
          <w:rFonts w:ascii="Times New Roman" w:hAnsi="Times New Roman" w:cs="Times New Roman"/>
          <w:i/>
          <w:iCs/>
          <w:sz w:val="24"/>
        </w:rPr>
        <w:t>O</w:t>
      </w:r>
      <w:r>
        <w:rPr>
          <w:rFonts w:ascii="Times New Roman" w:hAnsi="Times New Roman" w:cs="Times New Roman"/>
          <w:sz w:val="24"/>
        </w:rPr>
        <w:t xml:space="preserve"> is the output matrix for the SLFN (Ding et al., 2015). They can be represented mathematically as: </w:t>
      </w:r>
    </w:p>
    <w:p>
      <w:pPr>
        <w:spacing w:line="360" w:lineRule="auto"/>
        <w:jc w:val="center"/>
        <w:rPr>
          <w:rFonts w:ascii="Times New Roman" w:hAnsi="Times New Roman" w:cs="Times New Roman"/>
          <w:i/>
          <w:sz w:val="24"/>
        </w:rPr>
      </w:pPr>
      <m:oMath>
        <m:r>
          <m:rPr/>
          <w:rPr>
            <w:rFonts w:ascii="Cambria Math" w:hAnsi="Cambria Math" w:cs="Times New Roman"/>
            <w:sz w:val="24"/>
          </w:rPr>
          <m:t>H=</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t>
            </m:r>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i/>
          <w:sz w:val="24"/>
        </w:rPr>
        <w:t xml:space="preserve"> </w:t>
      </w:r>
      <w:r>
        <w:rPr>
          <w:rFonts w:ascii="Times New Roman" w:hAnsi="Times New Roman" w:cs="Times New Roman"/>
          <w:i/>
          <w:sz w:val="24"/>
        </w:rPr>
        <w:tab/>
      </w:r>
      <w:r>
        <w:rPr>
          <w:rFonts w:ascii="Times New Roman" w:hAnsi="Times New Roman" w:cs="Times New Roman"/>
          <w:sz w:val="24"/>
        </w:rPr>
        <w:t>(18)</w:t>
      </w:r>
    </w:p>
    <w:p>
      <w:pPr>
        <w:spacing w:line="360" w:lineRule="auto"/>
        <w:rPr>
          <w:rFonts w:ascii="Times New Roman" w:hAnsi="Times New Roman" w:cs="Times New Roman"/>
          <w:sz w:val="24"/>
        </w:rPr>
      </w:pPr>
      <m:oMathPara>
        <m:oMath>
          <m:r>
            <m:rPr/>
            <w:rPr>
              <w:rFonts w:ascii="Cambria Math" w:hAnsi="Cambria Math" w:cs="Times New Roman"/>
              <w:sz w:val="24"/>
            </w:rPr>
            <m:t>β=</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r>
                <m:rPr/>
                <w:rPr>
                  <w:rFonts w:ascii="Cambria Math" w:hAnsi="Cambria Math" w:cs="Times New Roman"/>
                  <w:sz w:val="24"/>
                </w:rPr>
                <m:t>×m</m:t>
              </m:r>
              <m:ctrlPr>
                <w:rPr>
                  <w:rFonts w:ascii="Cambria Math" w:hAnsi="Cambria Math" w:cs="Times New Roman"/>
                  <w:i/>
                  <w:sz w:val="24"/>
                </w:rPr>
              </m:ctrlPr>
            </m:sub>
          </m:sSub>
          <m:r>
            <m:rPr/>
            <w:rPr>
              <w:rFonts w:ascii="Cambria Math" w:hAnsi="Cambria Math" w:cs="Times New Roman"/>
              <w:sz w:val="24"/>
            </w:rPr>
            <m:t>, O=</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m:t>
              </m:r>
              <m:ctrlPr>
                <w:rPr>
                  <w:rFonts w:ascii="Cambria Math" w:hAnsi="Cambria Math" w:cs="Times New Roman"/>
                  <w:i/>
                  <w:sz w:val="24"/>
                </w:rPr>
              </m:ctrlPr>
            </m:sub>
          </m:sSub>
        </m:oMath>
      </m:oMathPara>
    </w:p>
    <w:p>
      <w:pPr>
        <w:spacing w:line="360" w:lineRule="auto"/>
        <w:ind w:firstLine="480"/>
        <w:rPr>
          <w:rFonts w:ascii="Times New Roman" w:hAnsi="Times New Roman" w:cs="Times New Roman"/>
          <w:sz w:val="24"/>
        </w:rPr>
      </w:pPr>
      <w:r>
        <w:rPr>
          <w:rFonts w:ascii="Times New Roman" w:hAnsi="Times New Roman" w:cs="Times New Roman"/>
          <w:sz w:val="24"/>
        </w:rPr>
        <w:t xml:space="preserve">For minimizing </w:t>
      </w:r>
      <m:oMath>
        <m:d>
          <m:dPr>
            <m:begChr m:val="‖"/>
            <m:endChr m:val="‖"/>
            <m:ctrlPr>
              <w:rPr>
                <w:rFonts w:ascii="Cambria Math" w:hAnsi="Cambria Math" w:cs="Times New Roman"/>
                <w:i/>
                <w:sz w:val="24"/>
              </w:rPr>
            </m:ctrlPr>
          </m:dPr>
          <m:e>
            <m:r>
              <m:rPr/>
              <w:rPr>
                <w:rFonts w:ascii="Cambria Math" w:hAnsi="Cambria Math" w:cs="Times New Roman"/>
                <w:sz w:val="24"/>
              </w:rPr>
              <m:t>O−T</m:t>
            </m:r>
            <m:ctrlPr>
              <w:rPr>
                <w:rFonts w:ascii="Cambria Math" w:hAnsi="Cambria Math" w:cs="Times New Roman"/>
                <w:i/>
                <w:sz w:val="24"/>
              </w:rPr>
            </m:ctrlPr>
          </m:e>
        </m:d>
      </m:oMath>
      <w:r>
        <w:rPr>
          <w:rFonts w:ascii="Times New Roman" w:hAnsi="Times New Roman" w:cs="Times New Roman"/>
          <w:sz w:val="24"/>
        </w:rPr>
        <w:t xml:space="preserve"> in ELM model,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needed to be assigned randomly without considering the input data. Therefore, this model now became a linear one, using the Moore-Penrose (MP) generalization of H, denoted as </w:t>
      </w:r>
      <m:oMath>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oMath>
      <w:r>
        <w:rPr>
          <w:rFonts w:ascii="Times New Roman" w:hAnsi="Times New Roman" w:cs="Times New Roman"/>
          <w:sz w:val="24"/>
        </w:rPr>
        <w:t xml:space="preserve"> (Chen et al., 2016).</w:t>
      </w:r>
    </w:p>
    <w:p>
      <w:pPr>
        <w:spacing w:line="360" w:lineRule="auto"/>
        <w:ind w:firstLine="480"/>
        <w:rPr>
          <w:rFonts w:ascii="Times New Roman" w:hAnsi="Times New Roman" w:cs="Times New Roman"/>
          <w:sz w:val="24"/>
        </w:rPr>
      </w:pPr>
      <w:r>
        <w:rPr>
          <w:rFonts w:ascii="Times New Roman" w:hAnsi="Times New Roman" w:cs="Times New Roman"/>
          <w:sz w:val="24"/>
        </w:rPr>
        <w:t xml:space="preserve">Therefore, the output weight </w:t>
      </w:r>
      <m:oMath>
        <m:r>
          <m:rPr/>
          <w:rPr>
            <w:rFonts w:ascii="Cambria Math" w:hAnsi="Cambria Math" w:cs="Times New Roman"/>
            <w:sz w:val="24"/>
          </w:rPr>
          <m:t>β</m:t>
        </m:r>
      </m:oMath>
      <w:r>
        <w:rPr>
          <w:rFonts w:ascii="Times New Roman" w:hAnsi="Times New Roman" w:cs="Times New Roman"/>
          <w:sz w:val="24"/>
        </w:rPr>
        <w:t xml:space="preserve"> will be produced by the algorithm below after transformation, which finishes the ELM model:</w:t>
      </w:r>
    </w:p>
    <w:p>
      <w:pPr>
        <w:spacing w:line="360" w:lineRule="auto"/>
        <w:jc w:val="center"/>
        <w:rPr>
          <w:rFonts w:ascii="Times New Roman" w:hAnsi="Times New Roman" w:cs="Times New Roman"/>
          <w:i/>
          <w:sz w:val="24"/>
        </w:rPr>
      </w:pPr>
      <m:oMath>
        <m:r>
          <m:rPr/>
          <w:rPr>
            <w:rFonts w:ascii="Cambria Math" w:hAnsi="Cambria Math" w:cs="Times New Roman"/>
            <w:sz w:val="24"/>
          </w:rPr>
          <m:t>β=</m:t>
        </m:r>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r>
          <m:rPr/>
          <w:rPr>
            <w:rFonts w:ascii="Cambria Math" w:hAnsi="Cambria Math" w:cs="Times New Roman"/>
            <w:sz w:val="24"/>
          </w:rPr>
          <m:t>Τ</m:t>
        </m:r>
      </m:oMath>
      <w:r>
        <w:rPr>
          <w:rFonts w:ascii="Times New Roman" w:hAnsi="Cambria Math" w:cs="Times New Roman"/>
          <w:i/>
          <w:sz w:val="24"/>
        </w:rPr>
        <w:tab/>
      </w:r>
      <w:r>
        <w:rPr>
          <w:rFonts w:ascii="Times New Roman" w:hAnsi="Cambria Math" w:cs="Times New Roman"/>
          <w:sz w:val="24"/>
        </w:rPr>
        <w:t>(19)</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Kernel extreme learning machine (KELM) is a Kernel approach to ELM. Multiple variations of KELM are used in previous research, such as multiple KELM (Liu et al., 2015), hybrid KELM (Lv et al., 2020). </w:t>
      </w:r>
      <w:r>
        <w:rPr>
          <w:rFonts w:ascii="Times New Roman" w:hAnsi="Times New Roman" w:cs="Times New Roman"/>
          <w:color w:val="FF0000"/>
          <w:sz w:val="24"/>
        </w:rPr>
        <w:t>Variations of kernels are also used, such as the radial basis function (RBF) kernel (Iosifidis et al., 2015), exponential radial basis function (ERBF) kernel (</w:t>
      </w:r>
      <w:r>
        <w:rPr>
          <w:rFonts w:ascii="Times New Roman" w:hAnsi="Times New Roman" w:cs="Times New Roman"/>
          <w:color w:val="FF0000"/>
          <w:sz w:val="24"/>
          <w:shd w:val="clear" w:color="auto" w:fill="FFFFFF"/>
        </w:rPr>
        <w:t>Madheswaran &amp; Dhas, 2015</w:t>
      </w:r>
      <w:r>
        <w:rPr>
          <w:rFonts w:ascii="Times New Roman" w:hAnsi="Times New Roman" w:cs="Times New Roman"/>
          <w:color w:val="FF0000"/>
          <w:sz w:val="24"/>
        </w:rPr>
        <w:t>).</w:t>
      </w:r>
      <w:r>
        <w:rPr>
          <w:rFonts w:ascii="Times New Roman" w:hAnsi="Times New Roman" w:cs="Times New Roman"/>
          <w:sz w:val="24"/>
        </w:rPr>
        <w:t xml:space="preserve"> In this research, the RBF kernel is used. This kernel is added to the ELM model making it more accurate in testing data. It is a popular kernel used in multiple areas. The RBF kernel can be defined as: </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K</m:t>
            </m:r>
            <m:ctrlPr>
              <w:rPr>
                <w:rFonts w:ascii="Cambria Math" w:hAnsi="Cambria Math" w:cs="Times New Roman"/>
                <w:i/>
                <w:sz w:val="24"/>
              </w:rPr>
            </m:ctrlPr>
          </m:e>
          <m:sub>
            <m:r>
              <m:rPr/>
              <w:rPr>
                <w:rFonts w:ascii="Cambria Math" w:hAnsi="Cambria Math" w:cs="Times New Roman"/>
                <w:sz w:val="24"/>
              </w:rPr>
              <m:t>RBF</m:t>
            </m:r>
            <m:ctrlPr>
              <w:rPr>
                <w:rFonts w:ascii="Cambria Math" w:hAnsi="Cambria Math" w:cs="Times New Roman"/>
                <w:i/>
                <w:sz w:val="24"/>
              </w:rPr>
            </m:ctrlPr>
          </m:sub>
        </m:sSub>
        <m:d>
          <m:dPr>
            <m:ctrlPr>
              <w:rPr>
                <w:rFonts w:ascii="Cambria Math" w:hAnsi="Cambria Math" w:cs="Times New Roman"/>
                <w:i/>
                <w:sz w:val="24"/>
              </w:rPr>
            </m:ctrlPr>
          </m:dPr>
          <m:e>
            <m:r>
              <m:rPr>
                <m:nor/>
                <m:sty m:val="b"/>
              </m:rPr>
              <w:rPr>
                <w:rFonts w:ascii="Times New Roman" w:hAnsi="Times New Roman" w:cs="Times New Roman"/>
                <w:b/>
                <w:bCs/>
                <w:sz w:val="24"/>
              </w:rPr>
              <m:t>x</m:t>
            </m:r>
            <m:r>
              <m:rPr/>
              <w:rPr>
                <w:rFonts w:ascii="Cambria Math" w:hAnsi="Cambria Math" w:cs="Times New Roman"/>
                <w:sz w:val="24"/>
              </w:rPr>
              <m:t xml:space="preserve">, </m:t>
            </m:r>
            <m:r>
              <m:rPr>
                <m:nor/>
                <m:sty m:val="b"/>
              </m:rPr>
              <w:rPr>
                <w:rFonts w:ascii="Times New Roman" w:hAnsi="Times New Roman" w:cs="Times New Roman"/>
                <w:b/>
                <w:bCs/>
                <w:sz w:val="24"/>
              </w:rPr>
              <m:t>x</m:t>
            </m:r>
            <m:r>
              <m:rPr>
                <m:nor/>
                <m:sty m:val="b"/>
              </m:rPr>
              <w:rPr>
                <w:rFonts w:ascii="Cambria Math" w:hAnsi="Times New Roman" w:cs="Times New Roman"/>
                <w:b/>
                <w:bCs/>
                <w:sz w:val="24"/>
              </w:rPr>
              <m:t>’</m:t>
            </m:r>
            <m:ctrlPr>
              <w:rPr>
                <w:rFonts w:ascii="Cambria Math" w:hAnsi="Cambria Math" w:cs="Times New Roman"/>
                <w:i/>
                <w:sz w:val="24"/>
              </w:rPr>
            </m:ctrlPr>
          </m:e>
        </m:d>
        <m:r>
          <m:rPr/>
          <w:rPr>
            <w:rFonts w:ascii="Cambria Math" w:hAnsi="Cambria Math" w:cs="Times New Roman"/>
            <w:sz w:val="24"/>
          </w:rPr>
          <m:t>=</m:t>
        </m:r>
        <m:r>
          <m:rPr>
            <m:sty m:val="p"/>
          </m:rPr>
          <w:rPr>
            <w:rFonts w:ascii="Cambria Math" w:hAnsi="Cambria Math" w:cs="Times New Roman"/>
            <w:sz w:val="24"/>
          </w:rPr>
          <m:t>exp⁡</m:t>
        </m:r>
        <m:r>
          <m:rPr/>
          <w:rPr>
            <w:rFonts w:ascii="Cambria Math" w:hAnsi="Cambria Math" w:cs="Times New Roman"/>
            <w:sz w:val="24"/>
          </w:rPr>
          <m:t>[−</m:t>
        </m:r>
        <m:r>
          <m:rPr/>
          <w:rPr>
            <w:rFonts w:ascii="Cambria Math" w:hAnsi="Cambria Math" w:cs="Times New Roman"/>
            <w:sz w:val="24"/>
            <w:lang w:val="el-GR"/>
          </w:rPr>
          <m:t>γ</m:t>
        </m:r>
        <m:sSup>
          <m:sSupPr>
            <m:ctrlPr>
              <w:rPr>
                <w:rFonts w:ascii="Cambria Math" w:hAnsi="Cambria Math" w:cs="Times New Roman"/>
                <w:i/>
                <w:sz w:val="24"/>
                <w:lang w:val="el-GR"/>
              </w:rPr>
            </m:ctrlPr>
          </m:sSupPr>
          <m:e>
            <m:d>
              <m:dPr>
                <m:begChr m:val="‖"/>
                <m:endChr m:val="‖"/>
                <m:ctrlPr>
                  <w:rPr>
                    <w:rFonts w:ascii="Cambria Math" w:hAnsi="Cambria Math" w:cs="Times New Roman"/>
                    <w:i/>
                    <w:sz w:val="24"/>
                    <w:lang w:val="el-GR"/>
                  </w:rPr>
                </m:ctrlPr>
              </m:dPr>
              <m:e>
                <m:r>
                  <m:rPr>
                    <m:nor/>
                    <m:sty m:val="b"/>
                  </m:rPr>
                  <w:rPr>
                    <w:rFonts w:ascii="Times New Roman" w:hAnsi="Times New Roman" w:cs="Times New Roman"/>
                    <w:b/>
                    <w:bCs/>
                    <w:sz w:val="24"/>
                  </w:rPr>
                  <m:t>x-x</m:t>
                </m:r>
                <m:r>
                  <m:rPr>
                    <m:nor/>
                    <m:sty m:val="b"/>
                  </m:rPr>
                  <w:rPr>
                    <w:rFonts w:ascii="Cambria Math" w:hAnsi="Times New Roman" w:cs="Times New Roman"/>
                    <w:b/>
                    <w:bCs/>
                    <w:sz w:val="24"/>
                  </w:rPr>
                  <m:t>’</m:t>
                </m:r>
                <m:ctrlPr>
                  <w:rPr>
                    <w:rFonts w:ascii="Cambria Math" w:hAnsi="Cambria Math" w:cs="Times New Roman"/>
                    <w:i/>
                    <w:sz w:val="24"/>
                    <w:lang w:val="el-GR"/>
                  </w:rPr>
                </m:ctrlPr>
              </m:e>
            </m:d>
            <m:ctrlPr>
              <w:rPr>
                <w:rFonts w:ascii="Cambria Math" w:hAnsi="Cambria Math" w:cs="Times New Roman"/>
                <w:i/>
                <w:sz w:val="24"/>
                <w:lang w:val="el-GR"/>
              </w:rPr>
            </m:ctrlPr>
          </m:e>
          <m:sup>
            <m:r>
              <m:rPr/>
              <w:rPr>
                <w:rFonts w:ascii="Cambria Math" w:hAnsi="Cambria Math" w:cs="Times New Roman"/>
                <w:sz w:val="24"/>
              </w:rPr>
              <m:t>2</m:t>
            </m:r>
            <m:ctrlPr>
              <w:rPr>
                <w:rFonts w:ascii="Cambria Math" w:hAnsi="Cambria Math" w:cs="Times New Roman"/>
                <w:i/>
                <w:sz w:val="24"/>
                <w:lang w:val="el-GR"/>
              </w:rPr>
            </m:ctrlPr>
          </m:sup>
        </m:sSup>
        <m:r>
          <m:rPr/>
          <w:rPr>
            <w:rFonts w:ascii="Cambria Math" w:hAnsi="Cambria Math" w:cs="Times New Roman"/>
            <w:sz w:val="24"/>
          </w:rPr>
          <m:t>]</m:t>
        </m:r>
      </m:oMath>
      <w:r>
        <w:rPr>
          <w:rFonts w:ascii="Times New Roman" w:hAnsi="Cambria Math" w:cs="Times New Roman"/>
          <w:sz w:val="24"/>
        </w:rPr>
        <w:tab/>
      </w:r>
      <w:r>
        <w:rPr>
          <w:rFonts w:ascii="Times New Roman" w:hAnsi="Cambria Math" w:cs="Times New Roman"/>
          <w:sz w:val="24"/>
        </w:rPr>
        <w:t>(20)</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lang w:val="el-GR"/>
          </w:rPr>
          <m:t>γ</m:t>
        </m:r>
      </m:oMath>
      <w:r>
        <w:rPr>
          <w:rFonts w:ascii="Times New Roman" w:hAnsi="Times New Roman" w:cs="Times New Roman"/>
          <w:sz w:val="24"/>
        </w:rPr>
        <w:t xml:space="preserve"> is the parameter that sets the spread of the kernel (Ding et al., 2021). By using such method, a more accurate prediction might be achieved.</w:t>
      </w:r>
    </w:p>
    <w:p>
      <w:pPr>
        <w:pStyle w:val="21"/>
        <w:spacing w:before="156" w:beforeLines="50" w:line="360" w:lineRule="auto"/>
        <w:ind w:left="0" w:leftChars="0"/>
        <w:outlineLvl w:val="1"/>
        <w:rPr>
          <w:rFonts w:ascii="Times New Roman" w:hAnsi="Times New Roman" w:cs="Times New Roman"/>
          <w:b/>
          <w:bCs/>
          <w:i/>
          <w:iCs/>
          <w:color w:val="FF0000"/>
          <w:sz w:val="24"/>
        </w:rPr>
      </w:pPr>
      <w:bookmarkStart w:id="15" w:name="_Hlk143468298"/>
      <w:r>
        <w:rPr>
          <w:rFonts w:ascii="Times New Roman" w:hAnsi="Times New Roman" w:cs="Times New Roman"/>
          <w:b/>
          <w:bCs/>
          <w:i/>
          <w:iCs/>
          <w:color w:val="FF0000"/>
          <w:sz w:val="24"/>
        </w:rPr>
        <w:t>3.5 Model Parameters</w:t>
      </w:r>
    </w:p>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The parameters are specified and determined in this paper’s model. Table 2 shows all of the model parameters’ values and its determination method.</w:t>
      </w:r>
    </w:p>
    <w:p>
      <w:pPr>
        <w:pStyle w:val="5"/>
        <w:keepNext/>
        <w:spacing w:before="312" w:beforeLines="100"/>
        <w:jc w:val="center"/>
        <w:rPr>
          <w:rFonts w:ascii="Times New Roman" w:hAnsi="Times New Roman" w:cs="Times New Roman"/>
          <w:i/>
          <w:iCs/>
          <w:color w:val="FF0000"/>
        </w:rPr>
      </w:pPr>
      <w:r>
        <w:rPr>
          <w:rFonts w:ascii="Times New Roman" w:hAnsi="Times New Roman" w:cs="Times New Roman"/>
          <w:color w:val="FF0000"/>
        </w:rPr>
        <w:t>Table 2: Model Parameters Values and Determination Approach</w:t>
      </w:r>
    </w:p>
    <w:tbl>
      <w:tblPr>
        <w:tblStyle w:val="29"/>
        <w:tblW w:w="5016" w:type="pct"/>
        <w:tblInd w:w="0"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7"/>
        <w:gridCol w:w="2067"/>
        <w:gridCol w:w="2452"/>
        <w:gridCol w:w="1827"/>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Model</w:t>
            </w:r>
          </w:p>
        </w:tc>
        <w:tc>
          <w:tcPr>
            <w:tcW w:w="1240"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Parameters</w:t>
            </w:r>
          </w:p>
        </w:tc>
        <w:tc>
          <w:tcPr>
            <w:tcW w:w="1471"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Determination Approach</w:t>
            </w:r>
          </w:p>
        </w:tc>
        <w:tc>
          <w:tcPr>
            <w:tcW w:w="1095"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Values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tcBorders>
              <w:top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LASSO selection</w:t>
            </w:r>
          </w:p>
        </w:tc>
        <w:tc>
          <w:tcPr>
            <w:tcW w:w="1240" w:type="pct"/>
            <w:tcBorders>
              <w:top w:val="single" w:color="auto" w:sz="8" w:space="0"/>
            </w:tcBorders>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Model Alpha</w:t>
            </w:r>
          </w:p>
        </w:tc>
        <w:tc>
          <w:tcPr>
            <w:tcW w:w="1471" w:type="pct"/>
            <w:tcBorders>
              <w:top w:val="single" w:color="auto" w:sz="8" w:space="0"/>
            </w:tcBorders>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Grid Search</w:t>
            </w:r>
          </w:p>
        </w:tc>
        <w:tc>
          <w:tcPr>
            <w:tcW w:w="1095" w:type="pct"/>
            <w:tcBorders>
              <w:top w:val="single" w:color="auto" w:sz="8" w:space="0"/>
            </w:tcBorders>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Between [0, 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SVR</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Kernel</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RBF Kernel</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Constant C</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仿宋" w:cs="Times New Roman (本文 CS 字型)"/>
                <w:b/>
                <w:bCs/>
                <w:color w:val="FF0000"/>
                <w:szCs w:val="21"/>
                <w:lang w:bidi="ar"/>
              </w:rPr>
            </w:pPr>
          </w:p>
        </w:tc>
        <w:tc>
          <w:tcPr>
            <w:tcW w:w="1240"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Gamma (γ)</w:t>
            </w:r>
          </w:p>
        </w:tc>
        <w:tc>
          <w:tcPr>
            <w:tcW w:w="1471"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1/number of features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ELM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Model structure selection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According to (Akusok, 2015)</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LOO (Leave-One-Out)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LSTM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Optimizer</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Standard optimizer</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Adam</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hint="eastAsia" w:ascii="Times New Roman" w:hAnsi="Times New Roman" w:eastAsia="仿宋" w:cs="Times New Roman (本文 CS 字型)"/>
                <w:color w:val="FF0000"/>
                <w:szCs w:val="21"/>
                <w:lang w:bidi="ar"/>
              </w:rPr>
              <w:t>S</w:t>
            </w:r>
            <w:r>
              <w:rPr>
                <w:rFonts w:ascii="Times New Roman" w:hAnsi="Times New Roman" w:eastAsia="仿宋" w:cs="Times New Roman (本文 CS 字型)"/>
                <w:color w:val="FF0000"/>
                <w:szCs w:val="21"/>
                <w:lang w:bidi="ar"/>
              </w:rPr>
              <w:t>ize of hidden layer</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Trial and error approach</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Maximum of epoch</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BiLSTM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Size of hidden layer</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Trial and error approach</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16</w:t>
            </w:r>
          </w:p>
          <w:p>
            <w:pPr>
              <w:jc w:val="center"/>
              <w:rPr>
                <w:color w:val="FF0000"/>
                <w:szCs w:val="21"/>
              </w:rPr>
            </w:pPr>
            <w:r>
              <w:rPr>
                <w:rFonts w:ascii="Times New Roman" w:hAnsi="Times New Roman" w:eastAsia="仿宋" w:cs="Times New Roman (本文 CS 字型)"/>
                <w:color w:val="FF0000"/>
                <w:szCs w:val="21"/>
                <w:lang w:bidi="ar"/>
              </w:rPr>
              <w:t> </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Maximum of epoch</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Consistent with previous models</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100+100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KELM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Kernel</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Consistent with previous models</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RBF Kernel</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仿宋" w:cs="Times New Roman (本文 CS 字型)"/>
                <w:b/>
                <w:bCs/>
                <w:color w:val="FF0000"/>
                <w:szCs w:val="21"/>
                <w:lang w:bidi="ar"/>
              </w:rPr>
            </w:pPr>
          </w:p>
        </w:tc>
        <w:tc>
          <w:tcPr>
            <w:tcW w:w="1240"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Gamma (γ)</w:t>
            </w:r>
          </w:p>
        </w:tc>
        <w:tc>
          <w:tcPr>
            <w:tcW w:w="1471"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1/number of features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Adjusting parameter C</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Trial and error approach</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Error Tolerance in Kernel Matrix factorization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1e-5</w:t>
            </w:r>
          </w:p>
        </w:tc>
      </w:tr>
      <w:bookmarkEnd w:id="15"/>
    </w:tbl>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16" w:name="_Toc114151815"/>
      <w:r>
        <w:rPr>
          <w:rFonts w:ascii="Times New Roman" w:hAnsi="Times New Roman" w:eastAsia="宋体"/>
          <w:b/>
          <w:bCs/>
          <w:color w:val="0E101A"/>
          <w:sz w:val="28"/>
          <w:szCs w:val="28"/>
        </w:rPr>
        <w:t>Empirical study</w:t>
      </w:r>
      <w:bookmarkEnd w:id="16"/>
    </w:p>
    <w:p>
      <w:pPr>
        <w:pStyle w:val="21"/>
        <w:spacing w:before="156" w:beforeLines="50" w:line="360" w:lineRule="auto"/>
        <w:ind w:left="0" w:leftChars="0"/>
        <w:outlineLvl w:val="1"/>
        <w:rPr>
          <w:rFonts w:ascii="Times New Roman" w:hAnsi="Times New Roman" w:cs="Times New Roman"/>
          <w:b/>
          <w:bCs/>
          <w:i/>
          <w:iCs/>
          <w:sz w:val="24"/>
        </w:rPr>
      </w:pPr>
      <w:bookmarkStart w:id="17" w:name="_Toc114151816"/>
      <w:r>
        <w:rPr>
          <w:rFonts w:ascii="Times New Roman" w:hAnsi="Times New Roman" w:cs="Times New Roman"/>
          <w:b/>
          <w:bCs/>
          <w:i/>
          <w:iCs/>
          <w:sz w:val="24"/>
        </w:rPr>
        <w:t>4.1 Data collection</w:t>
      </w:r>
      <w:bookmarkEnd w:id="17"/>
    </w:p>
    <w:p>
      <w:pPr>
        <w:spacing w:line="360" w:lineRule="auto"/>
        <w:ind w:firstLine="420"/>
        <w:rPr>
          <w:rFonts w:ascii="Times New Roman" w:hAnsi="Times New Roman" w:cs="Times New Roman"/>
          <w:color w:val="FF0000"/>
          <w:sz w:val="24"/>
          <w:shd w:val="clear" w:color="auto" w:fill="FFFFFF"/>
        </w:rPr>
      </w:pPr>
      <w:r>
        <w:rPr>
          <w:rFonts w:ascii="Times New Roman" w:hAnsi="Times New Roman" w:cs="Times New Roman"/>
          <w:color w:val="202122"/>
          <w:sz w:val="24"/>
          <w:shd w:val="clear" w:color="auto" w:fill="FFFFFF"/>
        </w:rPr>
        <w:t xml:space="preserve">29 variables ranging from various fields are selected, including: </w:t>
      </w:r>
      <w:r>
        <w:rPr>
          <w:rFonts w:ascii="Times New Roman" w:hAnsi="Times New Roman" w:cs="Times New Roman"/>
          <w:b/>
          <w:bCs/>
          <w:color w:val="202122"/>
          <w:sz w:val="24"/>
          <w:shd w:val="clear" w:color="auto" w:fill="FFFFFF"/>
        </w:rPr>
        <w:t>(1)</w:t>
      </w:r>
      <w:bookmarkStart w:id="18" w:name="_Hlk143365902"/>
      <w:r>
        <w:rPr>
          <w:rFonts w:ascii="Times New Roman" w:hAnsi="Times New Roman" w:cs="Times New Roman"/>
          <w:b/>
          <w:bCs/>
          <w:color w:val="202122"/>
          <w:sz w:val="24"/>
          <w:shd w:val="clear" w:color="auto" w:fill="FFFFFF"/>
        </w:rPr>
        <w:t>Macroeconomic variables</w:t>
      </w:r>
      <w:bookmarkEnd w:id="18"/>
      <w:r>
        <w:rPr>
          <w:rFonts w:ascii="Times New Roman" w:hAnsi="Times New Roman" w:cs="Times New Roman"/>
          <w:b/>
          <w:bCs/>
          <w:color w:val="202122"/>
          <w:sz w:val="24"/>
          <w:shd w:val="clear" w:color="auto" w:fill="FFFFFF"/>
        </w:rPr>
        <w:t>:</w:t>
      </w:r>
      <w:r>
        <w:rPr>
          <w:rFonts w:ascii="Times New Roman" w:hAnsi="Times New Roman" w:cs="Times New Roman"/>
          <w:color w:val="202122"/>
          <w:sz w:val="24"/>
          <w:shd w:val="clear" w:color="auto" w:fill="FFFFFF"/>
        </w:rPr>
        <w:t xml:space="preserve"> Federal </w:t>
      </w:r>
      <w:r>
        <w:rPr>
          <w:rFonts w:hint="eastAsia" w:ascii="Times New Roman" w:hAnsi="Times New Roman" w:cs="Times New Roman"/>
          <w:color w:val="202122"/>
          <w:sz w:val="24"/>
          <w:shd w:val="clear" w:color="auto" w:fill="FFFFFF"/>
        </w:rPr>
        <w:t xml:space="preserve">exchange </w:t>
      </w:r>
      <w:r>
        <w:rPr>
          <w:rFonts w:ascii="Times New Roman" w:hAnsi="Times New Roman" w:cs="Times New Roman"/>
          <w:color w:val="202122"/>
          <w:sz w:val="24"/>
          <w:shd w:val="clear" w:color="auto" w:fill="FFFFFF"/>
        </w:rPr>
        <w:t xml:space="preserve">reserve asset (FER), export value (EX), import value (IM), China money supply (CM2), China consumer price index (CCPI), industrial value added (IVA), Producer Price Index (PPI), purchasing managers’ index (PMI), America consumer price index(ACPI), dollar index (DXY), America money supply (AM2), Global economic policy uncertainty (GEPU), China economic policy uncertainty (CEPU), America economic policy uncertainty (AEPU), America Economic Policy Uncertainty: News Index (AEPU-NI). </w:t>
      </w:r>
      <w:r>
        <w:rPr>
          <w:rFonts w:ascii="Times New Roman" w:hAnsi="Times New Roman" w:cs="Times New Roman"/>
          <w:b/>
          <w:bCs/>
          <w:color w:val="202122"/>
          <w:sz w:val="24"/>
          <w:shd w:val="clear" w:color="auto" w:fill="FFFFFF"/>
        </w:rPr>
        <w:t xml:space="preserve">(2) </w:t>
      </w:r>
      <w:bookmarkStart w:id="19" w:name="_Hlk143365927"/>
      <w:r>
        <w:rPr>
          <w:rFonts w:ascii="Times New Roman" w:hAnsi="Times New Roman" w:cs="Times New Roman"/>
          <w:b/>
          <w:bCs/>
          <w:color w:val="202122"/>
          <w:sz w:val="24"/>
          <w:shd w:val="clear" w:color="auto" w:fill="FFFFFF"/>
        </w:rPr>
        <w:t>Financial assets</w:t>
      </w:r>
      <w:bookmarkEnd w:id="19"/>
      <w:r>
        <w:rPr>
          <w:rFonts w:ascii="Times New Roman" w:hAnsi="Times New Roman" w:cs="Times New Roman"/>
          <w:b/>
          <w:bCs/>
          <w:color w:val="202122"/>
          <w:sz w:val="24"/>
          <w:shd w:val="clear" w:color="auto" w:fill="FFFFFF"/>
        </w:rPr>
        <w:t>:</w:t>
      </w:r>
      <w:r>
        <w:rPr>
          <w:rFonts w:ascii="Times New Roman" w:hAnsi="Times New Roman" w:cs="Times New Roman"/>
          <w:color w:val="202122"/>
          <w:sz w:val="24"/>
          <w:shd w:val="clear" w:color="auto" w:fill="FFFFFF"/>
        </w:rPr>
        <w:t xml:space="preserve"> West Texas Intermediate (WTI), future closing price of gold (FCPG), Dow Jones industrial average (DJIA), NASDAQ Composite Index (NASDAQ), The S&amp;P 500 index (S&amp;P), S&amp;P 500 Volatility Index (VIX), Shenzhen composite index (SZCOMP), Shanghai composite index (SHCOMP). </w:t>
      </w:r>
      <w:r>
        <w:rPr>
          <w:rFonts w:ascii="Times New Roman" w:hAnsi="Times New Roman" w:cs="Times New Roman"/>
          <w:b/>
          <w:bCs/>
          <w:color w:val="202122"/>
          <w:sz w:val="24"/>
          <w:shd w:val="clear" w:color="auto" w:fill="FFFFFF"/>
        </w:rPr>
        <w:t xml:space="preserve">(3) </w:t>
      </w:r>
      <w:bookmarkStart w:id="20" w:name="_Hlk143365934"/>
      <w:r>
        <w:rPr>
          <w:rFonts w:ascii="Times New Roman" w:hAnsi="Times New Roman" w:cs="Times New Roman"/>
          <w:b/>
          <w:bCs/>
          <w:color w:val="202122"/>
          <w:sz w:val="24"/>
          <w:shd w:val="clear" w:color="auto" w:fill="FFFFFF"/>
        </w:rPr>
        <w:t>Sentimental index</w:t>
      </w:r>
      <w:bookmarkEnd w:id="20"/>
      <w:r>
        <w:rPr>
          <w:rFonts w:ascii="Times New Roman" w:hAnsi="Times New Roman" w:cs="Times New Roman"/>
          <w:color w:val="202122"/>
          <w:sz w:val="24"/>
          <w:shd w:val="clear" w:color="auto" w:fill="FFFFFF"/>
        </w:rPr>
        <w:t xml:space="preserve">: University of Michigan consumer sentiment index (MCSI), average searching number in Google Trends (GT), average searching number in Baidu index (BI). </w:t>
      </w:r>
      <w:r>
        <w:rPr>
          <w:rFonts w:ascii="Times New Roman" w:hAnsi="Times New Roman" w:cs="Times New Roman"/>
          <w:b/>
          <w:bCs/>
          <w:color w:val="202122"/>
          <w:sz w:val="24"/>
          <w:shd w:val="clear" w:color="auto" w:fill="FFFFFF"/>
        </w:rPr>
        <w:t>(4)</w:t>
      </w:r>
      <w:bookmarkStart w:id="21" w:name="OLE_LINK4"/>
      <w:r>
        <w:rPr>
          <w:rFonts w:ascii="Times New Roman" w:hAnsi="Times New Roman" w:cs="Times New Roman"/>
          <w:b/>
          <w:bCs/>
          <w:color w:val="202122"/>
          <w:sz w:val="24"/>
          <w:shd w:val="clear" w:color="auto" w:fill="FFFFFF"/>
        </w:rPr>
        <w:t xml:space="preserve"> </w:t>
      </w:r>
      <w:bookmarkStart w:id="22" w:name="_Hlk143365941"/>
      <w:r>
        <w:rPr>
          <w:rFonts w:ascii="Times New Roman" w:hAnsi="Times New Roman" w:cs="Times New Roman"/>
          <w:b/>
          <w:bCs/>
          <w:color w:val="202122"/>
          <w:sz w:val="24"/>
          <w:shd w:val="clear" w:color="auto" w:fill="FFFFFF"/>
        </w:rPr>
        <w:t>Other composite indicators</w:t>
      </w:r>
      <w:bookmarkEnd w:id="21"/>
      <w:bookmarkEnd w:id="22"/>
      <w:r>
        <w:rPr>
          <w:rFonts w:ascii="Times New Roman" w:hAnsi="Times New Roman" w:cs="Times New Roman"/>
          <w:color w:val="202122"/>
          <w:sz w:val="24"/>
          <w:shd w:val="clear" w:color="auto" w:fill="FFFFFF"/>
        </w:rPr>
        <w:t xml:space="preserve">: China composite leading indicator (CLI_China), global composite leading indicator (CLI_Global), America composite leading indicator (CLI_US). </w:t>
      </w:r>
      <w:r>
        <w:rPr>
          <w:rFonts w:ascii="Times New Roman" w:hAnsi="Times New Roman" w:cs="Times New Roman"/>
          <w:color w:val="FF0000"/>
          <w:sz w:val="24"/>
          <w:shd w:val="clear" w:color="auto" w:fill="FFFFFF"/>
        </w:rPr>
        <w:t>Table 3 provides a list of 4 categories and 29 detailed variables.</w:t>
      </w:r>
    </w:p>
    <w:p>
      <w:pPr>
        <w:pStyle w:val="5"/>
        <w:keepNext/>
        <w:spacing w:before="312" w:beforeLines="100"/>
        <w:jc w:val="center"/>
        <w:rPr>
          <w:rFonts w:ascii="Times New Roman" w:hAnsi="Times New Roman" w:cs="Times New Roman"/>
        </w:rPr>
      </w:pPr>
      <w:bookmarkStart w:id="23" w:name="_Hlk143468466"/>
      <w:r>
        <w:rPr>
          <w:rFonts w:ascii="Times New Roman" w:hAnsi="Times New Roman" w:cs="Times New Roman"/>
        </w:rPr>
        <w:t>Table 3: Selected variables within four categories</w:t>
      </w:r>
    </w:p>
    <w:tbl>
      <w:tblPr>
        <w:tblStyle w:val="1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0"/>
        <w:gridCol w:w="54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tcBorders>
              <w:top w:val="single" w:color="auto" w:sz="4" w:space="0"/>
              <w:bottom w:val="single" w:color="auto" w:sz="4" w:space="0"/>
            </w:tcBorders>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Category</w:t>
            </w:r>
          </w:p>
        </w:tc>
        <w:tc>
          <w:tcPr>
            <w:tcW w:w="5466" w:type="dxa"/>
            <w:tcBorders>
              <w:top w:val="single" w:color="auto" w:sz="4" w:space="0"/>
              <w:bottom w:val="single" w:color="auto" w:sz="4" w:space="0"/>
            </w:tcBorders>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Detailed variables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2830" w:type="dxa"/>
            <w:tcBorders>
              <w:top w:val="single" w:color="auto" w:sz="4" w:space="0"/>
            </w:tcBorders>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Macroeconomic variables</w:t>
            </w:r>
          </w:p>
        </w:tc>
        <w:tc>
          <w:tcPr>
            <w:tcW w:w="5466" w:type="dxa"/>
            <w:tcBorders>
              <w:top w:val="single" w:color="auto" w:sz="4" w:space="0"/>
            </w:tcBorders>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FER, EX, IM, CM2, CCPI, IVA, PPI, PMI, ACPI, DXY, AM2, GEPU, CEPU, AEPU, AEPU-NI (15)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Financial assets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WTI, FCPG, DJIA, NASDAQ, S&amp;P, VIX, SZCOMP, SHCOMP (8)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Sentimental index</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MCSI, GT, BI(3)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Other Composite indicators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CLI_China, CLI_Global, CLI_US(3)</w:t>
            </w:r>
          </w:p>
        </w:tc>
      </w:tr>
      <w:bookmarkEnd w:id="23"/>
    </w:tbl>
    <w:p>
      <w:pPr>
        <w:spacing w:before="156" w:beforeLines="50"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In total, fifteen macroeconomic variables, eight financial asset variables, three sentimental variables, and three other composite indicators are chosen. The monthly data of GT and BI are obtained from google trends (https://trends.google.com/trends/) and the Baidu index (https://index.baidu.com/v2/index.html), respectively. MCSI is obtained from Fred economic data (https://fred.stlouisfed.org/series/UMCSENT), CLI_China, CLI_Global, and CLI_US are obtained from OEDC (https://data.oecd.org/leadind/composite-leading-indicator-cli.htm), other variables are obtained from the Wind Database (http://www.wind.com.cn/). </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The data were selected from January 2011</w:t>
      </w:r>
      <w:r>
        <w:rPr>
          <w:rFonts w:hint="eastAsia" w:ascii="Times New Roman" w:hAnsi="Times New Roman" w:cs="Times New Roman"/>
          <w:color w:val="202122"/>
          <w:sz w:val="24"/>
          <w:shd w:val="clear" w:color="auto" w:fill="FFFFFF"/>
        </w:rPr>
        <w:t xml:space="preserve"> </w:t>
      </w:r>
      <w:r>
        <w:rPr>
          <w:rFonts w:ascii="Times New Roman" w:hAnsi="Times New Roman" w:cs="Times New Roman"/>
          <w:color w:val="202122"/>
          <w:sz w:val="24"/>
          <w:shd w:val="clear" w:color="auto" w:fill="FFFFFF"/>
        </w:rPr>
        <w:t xml:space="preserve">to June 2022, separated into an in-sample subset and an out-of-sample subset. The in-sample subset contains the former 80% of the data, while the out-of-sample subset contains the rest of the 20%. Thus, 1) the in-sample subset is used for model training with the data from January 2011 to February 2020. 2) the out-sample subset is used for testing the data from March 2020 to June 2022. </w:t>
      </w:r>
    </w:p>
    <w:p>
      <w:pPr>
        <w:spacing w:line="360" w:lineRule="auto"/>
        <w:ind w:firstLine="420"/>
        <w:rPr>
          <w:rFonts w:ascii="Times New Roman" w:hAnsi="Times New Roman" w:cs="Times New Roman"/>
          <w:color w:val="202122"/>
          <w:sz w:val="24"/>
          <w:shd w:val="clear" w:color="auto" w:fill="FFFFFF"/>
        </w:rPr>
      </w:pPr>
      <w:r>
        <w:rPr>
          <w:rFonts w:hint="eastAsia" w:ascii="Times New Roman" w:hAnsi="Times New Roman" w:cs="Times New Roman"/>
          <w:color w:val="202122"/>
          <w:sz w:val="24"/>
          <w:shd w:val="clear" w:color="auto" w:fill="FFFFFF"/>
        </w:rPr>
        <w:t>Five</w:t>
      </w:r>
      <w:r>
        <w:rPr>
          <w:rFonts w:ascii="Times New Roman" w:hAnsi="Times New Roman" w:cs="Times New Roman"/>
          <w:color w:val="202122"/>
          <w:sz w:val="24"/>
          <w:shd w:val="clear" w:color="auto" w:fill="FFFFFF"/>
        </w:rPr>
        <w:t xml:space="preserve"> seed words are selected for GT and BI</w:t>
      </w:r>
      <w:r>
        <w:rPr>
          <w:rFonts w:hint="eastAsia" w:ascii="Times New Roman" w:hAnsi="Times New Roman" w:cs="Times New Roman"/>
          <w:color w:val="202122"/>
          <w:sz w:val="24"/>
          <w:shd w:val="clear" w:color="auto" w:fill="FFFFFF"/>
        </w:rPr>
        <w:t xml:space="preserve">, which are: </w:t>
      </w:r>
      <w:r>
        <w:rPr>
          <w:rFonts w:ascii="Times New Roman" w:hAnsi="Times New Roman" w:cs="Times New Roman"/>
          <w:color w:val="202122"/>
          <w:sz w:val="24"/>
          <w:shd w:val="clear" w:color="auto" w:fill="FFFFFF"/>
        </w:rPr>
        <w:t xml:space="preserve">RMB to US dollar exchange rate, RMB exchange rate, RMB to US dollar, Dollar RMB exchange rate, and Dollar renminbi exchange. </w:t>
      </w:r>
      <w:r>
        <w:rPr>
          <w:rFonts w:hint="eastAsia" w:ascii="Times New Roman" w:hAnsi="Times New Roman" w:cs="Times New Roman"/>
          <w:color w:val="202122"/>
          <w:sz w:val="24"/>
          <w:shd w:val="clear" w:color="auto" w:fill="FFFFFF"/>
        </w:rPr>
        <w:t xml:space="preserve">In this cast, </w:t>
      </w:r>
      <w:r>
        <w:rPr>
          <w:rFonts w:ascii="Times New Roman" w:hAnsi="Times New Roman" w:cs="Times New Roman"/>
          <w:color w:val="202122"/>
          <w:sz w:val="24"/>
          <w:shd w:val="clear" w:color="auto" w:fill="FFFFFF"/>
        </w:rPr>
        <w:t>GT is used to represent public opinions in the US, while BI is used to represent public opinions in China</w:t>
      </w:r>
      <w:r>
        <w:rPr>
          <w:rFonts w:hint="eastAsia" w:ascii="Times New Roman" w:hAnsi="Times New Roman" w:cs="Times New Roman"/>
          <w:color w:val="202122"/>
          <w:sz w:val="24"/>
          <w:shd w:val="clear" w:color="auto" w:fill="FFFFFF"/>
        </w:rPr>
        <w:t>. Moreover, t</w:t>
      </w:r>
      <w:r>
        <w:rPr>
          <w:rFonts w:ascii="Times New Roman" w:hAnsi="Times New Roman" w:cs="Times New Roman"/>
          <w:color w:val="202122"/>
          <w:sz w:val="24"/>
          <w:shd w:val="clear" w:color="auto" w:fill="FFFFFF"/>
        </w:rPr>
        <w:t xml:space="preserve">he average monthly </w:t>
      </w:r>
      <w:r>
        <w:rPr>
          <w:rFonts w:hint="eastAsia" w:ascii="Times New Roman" w:hAnsi="Times New Roman" w:cs="Times New Roman"/>
          <w:color w:val="202122"/>
          <w:sz w:val="24"/>
          <w:shd w:val="clear" w:color="auto" w:fill="FFFFFF"/>
        </w:rPr>
        <w:t xml:space="preserve">searching </w:t>
      </w:r>
      <w:r>
        <w:rPr>
          <w:rFonts w:ascii="Times New Roman" w:hAnsi="Times New Roman" w:cs="Times New Roman"/>
          <w:color w:val="202122"/>
          <w:sz w:val="24"/>
          <w:shd w:val="clear" w:color="auto" w:fill="FFFFFF"/>
        </w:rPr>
        <w:t>volume is used to represent the overall public opinions toward the exchange rate in different periods.</w:t>
      </w:r>
    </w:p>
    <w:p>
      <w:pPr>
        <w:spacing w:line="360" w:lineRule="auto"/>
        <w:ind w:firstLine="420"/>
        <w:rPr>
          <w:rFonts w:ascii="Times New Roman" w:hAnsi="Times New Roman" w:cs="Times New Roman"/>
          <w:color w:val="FF0000"/>
          <w:sz w:val="24"/>
          <w:shd w:val="clear" w:color="auto" w:fill="FFFFFF"/>
        </w:rPr>
      </w:pPr>
      <w:r>
        <w:rPr>
          <w:rFonts w:ascii="Times New Roman" w:hAnsi="Times New Roman" w:cs="Times New Roman"/>
          <w:color w:val="202122"/>
          <w:sz w:val="24"/>
          <w:shd w:val="clear" w:color="auto" w:fill="FFFFFF"/>
        </w:rPr>
        <w:t xml:space="preserve">A logarithmic transformation is applied to the variables that contain data </w:t>
      </w:r>
      <w:r>
        <w:rPr>
          <w:rFonts w:hint="eastAsia" w:ascii="Times New Roman" w:hAnsi="Times New Roman" w:cs="Times New Roman"/>
          <w:color w:val="202122"/>
          <w:sz w:val="24"/>
          <w:shd w:val="clear" w:color="auto" w:fill="FFFFFF"/>
        </w:rPr>
        <w:t>greater</w:t>
      </w:r>
      <w:r>
        <w:rPr>
          <w:rFonts w:ascii="Times New Roman" w:hAnsi="Times New Roman" w:cs="Times New Roman"/>
          <w:color w:val="202122"/>
          <w:sz w:val="24"/>
          <w:shd w:val="clear" w:color="auto" w:fill="FFFFFF"/>
        </w:rPr>
        <w:t xml:space="preserve"> than 100</w:t>
      </w:r>
      <w:r>
        <w:rPr>
          <w:rFonts w:hint="eastAsia" w:ascii="Times New Roman" w:hAnsi="Times New Roman" w:cs="Times New Roman"/>
          <w:color w:val="202122"/>
          <w:sz w:val="24"/>
          <w:shd w:val="clear" w:color="auto" w:fill="FFFFFF"/>
        </w:rPr>
        <w:t>, which are:</w:t>
      </w:r>
      <w:r>
        <w:rPr>
          <w:rFonts w:ascii="Times New Roman" w:hAnsi="Times New Roman" w:cs="Times New Roman"/>
          <w:color w:val="202122"/>
          <w:sz w:val="24"/>
          <w:shd w:val="clear" w:color="auto" w:fill="FFFFFF"/>
        </w:rPr>
        <w:t xml:space="preserve"> FER, EX, CM2, AM2, FCPG, DJIA, NASDAQ, S&amp;P, SZCOMP, SHCOMP, BI. </w:t>
      </w:r>
      <w:r>
        <w:rPr>
          <w:rFonts w:ascii="Times New Roman" w:hAnsi="Times New Roman" w:cs="Times New Roman"/>
          <w:color w:val="FF0000"/>
          <w:sz w:val="24"/>
          <w:shd w:val="clear" w:color="auto" w:fill="FFFFFF"/>
        </w:rPr>
        <w:t xml:space="preserve">All data undergo a standard scaling process after the log transformation. </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The statistical properties of the exchange rate and selected variables are represented in Table 4. The data distributions of CLI_China and PPI are relatively asymmetric since the absolute skew are the greatest, while M2 and WTI tend to be symmetric distributions. For kurtosis, since the value of CEPU is greater than 3, the data distribution is mesokurtic, while the other variables are platykurtic distributed. </w:t>
      </w:r>
    </w:p>
    <w:p>
      <w:pPr>
        <w:pStyle w:val="5"/>
        <w:keepNext/>
        <w:spacing w:before="312" w:beforeLines="100"/>
        <w:jc w:val="center"/>
        <w:rPr>
          <w:rFonts w:ascii="Times New Roman" w:hAnsi="Times New Roman" w:cs="Times New Roman" w:eastAsiaTheme="minorEastAsia"/>
          <w:color w:val="202122"/>
          <w:sz w:val="24"/>
          <w:szCs w:val="24"/>
          <w:shd w:val="clear" w:color="auto" w:fill="FFFFFF"/>
        </w:rPr>
      </w:pPr>
      <w:r>
        <w:rPr>
          <w:rFonts w:ascii="Times New Roman" w:hAnsi="Times New Roman" w:cs="Times New Roman" w:eastAsiaTheme="minorEastAsia"/>
          <w:color w:val="202122"/>
          <w:sz w:val="24"/>
          <w:szCs w:val="24"/>
          <w:shd w:val="clear" w:color="auto" w:fill="FFFFFF"/>
        </w:rPr>
        <w:t>Table 4. Statistical properties of variables</w:t>
      </w:r>
    </w:p>
    <w:tbl>
      <w:tblPr>
        <w:tblStyle w:val="15"/>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3"/>
        <w:gridCol w:w="725"/>
        <w:gridCol w:w="1165"/>
        <w:gridCol w:w="1065"/>
        <w:gridCol w:w="972"/>
        <w:gridCol w:w="1018"/>
        <w:gridCol w:w="1018"/>
        <w:gridCol w:w="139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 w:hRule="atLeast"/>
          <w:jc w:val="center"/>
        </w:trPr>
        <w:tc>
          <w:tcPr>
            <w:tcW w:w="683"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Variables</w:t>
            </w:r>
          </w:p>
        </w:tc>
        <w:tc>
          <w:tcPr>
            <w:tcW w:w="426"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mean</w:t>
            </w:r>
          </w:p>
        </w:tc>
        <w:tc>
          <w:tcPr>
            <w:tcW w:w="683"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Standard deviation</w:t>
            </w:r>
          </w:p>
        </w:tc>
        <w:tc>
          <w:tcPr>
            <w:tcW w:w="625"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skewness</w:t>
            </w:r>
          </w:p>
        </w:tc>
        <w:tc>
          <w:tcPr>
            <w:tcW w:w="570"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kurtosis</w:t>
            </w:r>
          </w:p>
        </w:tc>
        <w:tc>
          <w:tcPr>
            <w:tcW w:w="597"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Jarque-bera</w:t>
            </w:r>
          </w:p>
        </w:tc>
        <w:tc>
          <w:tcPr>
            <w:tcW w:w="597" w:type="pct"/>
            <w:tcBorders>
              <w:bottom w:val="single" w:color="auto" w:sz="4" w:space="0"/>
            </w:tcBorders>
            <w:vAlign w:val="center"/>
          </w:tcPr>
          <w:p>
            <w:pPr>
              <w:rPr>
                <w:rFonts w:ascii="Times New Roman" w:hAnsi="Times New Roman" w:cs="Times New Roman"/>
                <w:b/>
                <w:bCs/>
              </w:rPr>
            </w:pPr>
            <w:r>
              <w:rPr>
                <w:rFonts w:ascii="Times New Roman" w:hAnsi="Times New Roman" w:cs="Times New Roman"/>
                <w:b/>
                <w:bCs/>
              </w:rPr>
              <w:t>P-value</w:t>
            </w:r>
          </w:p>
        </w:tc>
        <w:tc>
          <w:tcPr>
            <w:tcW w:w="819"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Observation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tcBorders>
              <w:top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FER</w:t>
            </w:r>
          </w:p>
        </w:tc>
        <w:tc>
          <w:tcPr>
            <w:tcW w:w="426"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10.41</w:t>
            </w:r>
          </w:p>
        </w:tc>
        <w:tc>
          <w:tcPr>
            <w:tcW w:w="683"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0.09</w:t>
            </w:r>
          </w:p>
        </w:tc>
        <w:tc>
          <w:tcPr>
            <w:tcW w:w="625"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0.28</w:t>
            </w:r>
          </w:p>
        </w:tc>
        <w:tc>
          <w:tcPr>
            <w:tcW w:w="570"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2.59</w:t>
            </w:r>
          </w:p>
        </w:tc>
        <w:tc>
          <w:tcPr>
            <w:tcW w:w="597"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2.22</w:t>
            </w:r>
          </w:p>
        </w:tc>
        <w:tc>
          <w:tcPr>
            <w:tcW w:w="597"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0.00</w:t>
            </w:r>
          </w:p>
        </w:tc>
        <w:tc>
          <w:tcPr>
            <w:tcW w:w="819"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EX</w:t>
            </w:r>
          </w:p>
        </w:tc>
        <w:tc>
          <w:tcPr>
            <w:tcW w:w="426" w:type="pct"/>
            <w:vAlign w:val="center"/>
          </w:tcPr>
          <w:p>
            <w:pPr>
              <w:jc w:val="center"/>
              <w:rPr>
                <w:rFonts w:ascii="Times New Roman" w:hAnsi="Times New Roman" w:cs="Times New Roman"/>
              </w:rPr>
            </w:pPr>
            <w:r>
              <w:rPr>
                <w:rFonts w:ascii="Times New Roman" w:hAnsi="Times New Roman" w:cs="Times New Roman"/>
              </w:rPr>
              <w:t>7.52</w:t>
            </w:r>
          </w:p>
        </w:tc>
        <w:tc>
          <w:tcPr>
            <w:tcW w:w="683" w:type="pct"/>
            <w:vAlign w:val="center"/>
          </w:tcPr>
          <w:p>
            <w:pPr>
              <w:jc w:val="center"/>
              <w:rPr>
                <w:rFonts w:ascii="Times New Roman" w:hAnsi="Times New Roman" w:cs="Times New Roman"/>
              </w:rPr>
            </w:pPr>
            <w:r>
              <w:rPr>
                <w:rFonts w:ascii="Times New Roman" w:hAnsi="Times New Roman" w:cs="Times New Roman"/>
              </w:rPr>
              <w:t>0.16</w:t>
            </w:r>
          </w:p>
        </w:tc>
        <w:tc>
          <w:tcPr>
            <w:tcW w:w="625" w:type="pct"/>
            <w:vAlign w:val="center"/>
          </w:tcPr>
          <w:p>
            <w:pPr>
              <w:jc w:val="center"/>
              <w:rPr>
                <w:rFonts w:ascii="Times New Roman" w:hAnsi="Times New Roman" w:cs="Times New Roman"/>
              </w:rPr>
            </w:pPr>
            <w:r>
              <w:rPr>
                <w:rFonts w:ascii="Times New Roman" w:hAnsi="Times New Roman" w:cs="Times New Roman"/>
              </w:rPr>
              <w:t>0.26</w:t>
            </w:r>
          </w:p>
        </w:tc>
        <w:tc>
          <w:tcPr>
            <w:tcW w:w="570" w:type="pct"/>
            <w:vAlign w:val="center"/>
          </w:tcPr>
          <w:p>
            <w:pPr>
              <w:jc w:val="center"/>
              <w:rPr>
                <w:rFonts w:ascii="Times New Roman" w:hAnsi="Times New Roman" w:cs="Times New Roman"/>
              </w:rPr>
            </w:pPr>
            <w:r>
              <w:rPr>
                <w:rFonts w:ascii="Times New Roman" w:hAnsi="Times New Roman" w:cs="Times New Roman"/>
              </w:rPr>
              <w:t>1.84</w:t>
            </w:r>
          </w:p>
        </w:tc>
        <w:tc>
          <w:tcPr>
            <w:tcW w:w="597" w:type="pct"/>
            <w:vAlign w:val="center"/>
          </w:tcPr>
          <w:p>
            <w:pPr>
              <w:jc w:val="center"/>
              <w:rPr>
                <w:rFonts w:ascii="Times New Roman" w:hAnsi="Times New Roman" w:cs="Times New Roman"/>
              </w:rPr>
            </w:pPr>
            <w:r>
              <w:rPr>
                <w:rFonts w:ascii="Times New Roman" w:hAnsi="Times New Roman" w:cs="Times New Roman"/>
              </w:rPr>
              <w:t>7.38</w:t>
            </w:r>
          </w:p>
        </w:tc>
        <w:tc>
          <w:tcPr>
            <w:tcW w:w="597" w:type="pct"/>
            <w:vAlign w:val="center"/>
          </w:tcPr>
          <w:p>
            <w:pPr>
              <w:jc w:val="center"/>
              <w:rPr>
                <w:rFonts w:ascii="Times New Roman" w:hAnsi="Times New Roman" w:cs="Times New Roman"/>
              </w:rPr>
            </w:pPr>
            <w:r>
              <w:rPr>
                <w:rFonts w:ascii="Times New Roman" w:hAnsi="Times New Roman" w:cs="Times New Roman"/>
              </w:rPr>
              <w:t>0.03</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IM</w:t>
            </w:r>
          </w:p>
        </w:tc>
        <w:tc>
          <w:tcPr>
            <w:tcW w:w="426" w:type="pct"/>
            <w:vAlign w:val="center"/>
          </w:tcPr>
          <w:p>
            <w:pPr>
              <w:jc w:val="center"/>
              <w:rPr>
                <w:rFonts w:ascii="Times New Roman" w:hAnsi="Times New Roman" w:cs="Times New Roman"/>
              </w:rPr>
            </w:pPr>
            <w:r>
              <w:rPr>
                <w:rFonts w:ascii="Times New Roman" w:hAnsi="Times New Roman" w:cs="Times New Roman"/>
              </w:rPr>
              <w:t>7.34</w:t>
            </w:r>
          </w:p>
        </w:tc>
        <w:tc>
          <w:tcPr>
            <w:tcW w:w="683" w:type="pct"/>
            <w:vAlign w:val="center"/>
          </w:tcPr>
          <w:p>
            <w:pPr>
              <w:jc w:val="center"/>
              <w:rPr>
                <w:rFonts w:ascii="Times New Roman" w:hAnsi="Times New Roman" w:cs="Times New Roman"/>
              </w:rPr>
            </w:pPr>
            <w:r>
              <w:rPr>
                <w:rFonts w:ascii="Times New Roman" w:hAnsi="Times New Roman" w:cs="Times New Roman"/>
              </w:rPr>
              <w:t>0.13</w:t>
            </w:r>
          </w:p>
        </w:tc>
        <w:tc>
          <w:tcPr>
            <w:tcW w:w="625" w:type="pct"/>
            <w:vAlign w:val="center"/>
          </w:tcPr>
          <w:p>
            <w:pPr>
              <w:jc w:val="center"/>
              <w:rPr>
                <w:rFonts w:ascii="Times New Roman" w:hAnsi="Times New Roman" w:cs="Times New Roman"/>
              </w:rPr>
            </w:pPr>
            <w:r>
              <w:rPr>
                <w:rFonts w:ascii="Times New Roman" w:hAnsi="Times New Roman" w:cs="Times New Roman"/>
              </w:rPr>
              <w:t>0.31</w:t>
            </w:r>
          </w:p>
        </w:tc>
        <w:tc>
          <w:tcPr>
            <w:tcW w:w="570" w:type="pct"/>
            <w:vAlign w:val="center"/>
          </w:tcPr>
          <w:p>
            <w:pPr>
              <w:jc w:val="center"/>
              <w:rPr>
                <w:rFonts w:ascii="Times New Roman" w:hAnsi="Times New Roman" w:cs="Times New Roman"/>
              </w:rPr>
            </w:pPr>
            <w:r>
              <w:rPr>
                <w:rFonts w:ascii="Times New Roman" w:hAnsi="Times New Roman" w:cs="Times New Roman"/>
              </w:rPr>
              <w:t>1.79</w:t>
            </w:r>
          </w:p>
        </w:tc>
        <w:tc>
          <w:tcPr>
            <w:tcW w:w="597" w:type="pct"/>
            <w:vAlign w:val="center"/>
          </w:tcPr>
          <w:p>
            <w:pPr>
              <w:jc w:val="center"/>
              <w:rPr>
                <w:rFonts w:ascii="Times New Roman" w:hAnsi="Times New Roman" w:cs="Times New Roman"/>
              </w:rPr>
            </w:pPr>
            <w:r>
              <w:rPr>
                <w:rFonts w:ascii="Times New Roman" w:hAnsi="Times New Roman" w:cs="Times New Roman"/>
              </w:rPr>
              <w:t>8.45</w:t>
            </w:r>
          </w:p>
        </w:tc>
        <w:tc>
          <w:tcPr>
            <w:tcW w:w="597" w:type="pct"/>
            <w:vAlign w:val="center"/>
          </w:tcPr>
          <w:p>
            <w:pPr>
              <w:jc w:val="center"/>
              <w:rPr>
                <w:rFonts w:ascii="Times New Roman" w:hAnsi="Times New Roman" w:cs="Times New Roman"/>
              </w:rPr>
            </w:pPr>
            <w:r>
              <w:rPr>
                <w:rFonts w:ascii="Times New Roman" w:hAnsi="Times New Roman" w:cs="Times New Roman"/>
              </w:rPr>
              <w:t>0.14</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M2</w:t>
            </w:r>
          </w:p>
        </w:tc>
        <w:tc>
          <w:tcPr>
            <w:tcW w:w="426" w:type="pct"/>
            <w:vAlign w:val="center"/>
          </w:tcPr>
          <w:p>
            <w:pPr>
              <w:jc w:val="center"/>
              <w:rPr>
                <w:rFonts w:ascii="Times New Roman" w:hAnsi="Times New Roman" w:cs="Times New Roman"/>
              </w:rPr>
            </w:pPr>
            <w:r>
              <w:rPr>
                <w:rFonts w:ascii="Times New Roman" w:hAnsi="Times New Roman" w:cs="Times New Roman"/>
              </w:rPr>
              <w:t>14.07</w:t>
            </w:r>
          </w:p>
        </w:tc>
        <w:tc>
          <w:tcPr>
            <w:tcW w:w="683" w:type="pct"/>
            <w:vAlign w:val="center"/>
          </w:tcPr>
          <w:p>
            <w:pPr>
              <w:jc w:val="center"/>
              <w:rPr>
                <w:rFonts w:ascii="Times New Roman" w:hAnsi="Times New Roman" w:cs="Times New Roman"/>
              </w:rPr>
            </w:pPr>
            <w:r>
              <w:rPr>
                <w:rFonts w:ascii="Times New Roman" w:hAnsi="Times New Roman" w:cs="Times New Roman"/>
              </w:rPr>
              <w:t>0.29</w:t>
            </w:r>
          </w:p>
        </w:tc>
        <w:tc>
          <w:tcPr>
            <w:tcW w:w="625" w:type="pct"/>
            <w:vAlign w:val="center"/>
          </w:tcPr>
          <w:p>
            <w:pPr>
              <w:jc w:val="center"/>
              <w:rPr>
                <w:rFonts w:ascii="Times New Roman" w:hAnsi="Times New Roman" w:cs="Times New Roman"/>
              </w:rPr>
            </w:pPr>
            <w:r>
              <w:rPr>
                <w:rFonts w:ascii="Times New Roman" w:hAnsi="Times New Roman" w:cs="Times New Roman"/>
              </w:rPr>
              <w:t>0.02</w:t>
            </w:r>
          </w:p>
        </w:tc>
        <w:tc>
          <w:tcPr>
            <w:tcW w:w="570" w:type="pct"/>
            <w:vAlign w:val="center"/>
          </w:tcPr>
          <w:p>
            <w:pPr>
              <w:jc w:val="center"/>
              <w:rPr>
                <w:rFonts w:ascii="Times New Roman" w:hAnsi="Times New Roman" w:cs="Times New Roman"/>
              </w:rPr>
            </w:pPr>
            <w:r>
              <w:rPr>
                <w:rFonts w:ascii="Times New Roman" w:hAnsi="Times New Roman" w:cs="Times New Roman"/>
              </w:rPr>
              <w:t>1.91</w:t>
            </w:r>
          </w:p>
        </w:tc>
        <w:tc>
          <w:tcPr>
            <w:tcW w:w="597" w:type="pct"/>
            <w:vAlign w:val="center"/>
          </w:tcPr>
          <w:p>
            <w:pPr>
              <w:jc w:val="center"/>
              <w:rPr>
                <w:rFonts w:ascii="Times New Roman" w:hAnsi="Times New Roman" w:cs="Times New Roman"/>
              </w:rPr>
            </w:pPr>
            <w:r>
              <w:rPr>
                <w:rFonts w:ascii="Times New Roman" w:hAnsi="Times New Roman" w:cs="Times New Roman"/>
              </w:rPr>
              <w:t>5.36</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CPI</w:t>
            </w:r>
          </w:p>
        </w:tc>
        <w:tc>
          <w:tcPr>
            <w:tcW w:w="426" w:type="pct"/>
            <w:vAlign w:val="center"/>
          </w:tcPr>
          <w:p>
            <w:pPr>
              <w:jc w:val="center"/>
              <w:rPr>
                <w:rFonts w:ascii="Times New Roman" w:hAnsi="Times New Roman" w:cs="Times New Roman"/>
              </w:rPr>
            </w:pPr>
            <w:r>
              <w:rPr>
                <w:rFonts w:ascii="Times New Roman" w:hAnsi="Times New Roman" w:cs="Times New Roman"/>
              </w:rPr>
              <w:t>2.55</w:t>
            </w:r>
          </w:p>
        </w:tc>
        <w:tc>
          <w:tcPr>
            <w:tcW w:w="683" w:type="pct"/>
            <w:vAlign w:val="center"/>
          </w:tcPr>
          <w:p>
            <w:pPr>
              <w:jc w:val="center"/>
              <w:rPr>
                <w:rFonts w:ascii="Times New Roman" w:hAnsi="Times New Roman" w:cs="Times New Roman"/>
              </w:rPr>
            </w:pPr>
            <w:r>
              <w:rPr>
                <w:rFonts w:ascii="Times New Roman" w:hAnsi="Times New Roman" w:cs="Times New Roman"/>
              </w:rPr>
              <w:t>1.29</w:t>
            </w:r>
          </w:p>
        </w:tc>
        <w:tc>
          <w:tcPr>
            <w:tcW w:w="625" w:type="pct"/>
            <w:vAlign w:val="center"/>
          </w:tcPr>
          <w:p>
            <w:pPr>
              <w:jc w:val="center"/>
              <w:rPr>
                <w:rFonts w:ascii="Times New Roman" w:hAnsi="Times New Roman" w:cs="Times New Roman"/>
              </w:rPr>
            </w:pPr>
            <w:r>
              <w:rPr>
                <w:rFonts w:ascii="Times New Roman" w:hAnsi="Times New Roman" w:cs="Times New Roman"/>
              </w:rPr>
              <w:t>0.46</w:t>
            </w:r>
          </w:p>
        </w:tc>
        <w:tc>
          <w:tcPr>
            <w:tcW w:w="570" w:type="pct"/>
            <w:vAlign w:val="center"/>
          </w:tcPr>
          <w:p>
            <w:pPr>
              <w:jc w:val="center"/>
              <w:rPr>
                <w:rFonts w:ascii="Times New Roman" w:hAnsi="Times New Roman" w:cs="Times New Roman"/>
              </w:rPr>
            </w:pPr>
            <w:r>
              <w:rPr>
                <w:rFonts w:ascii="Times New Roman" w:hAnsi="Times New Roman" w:cs="Times New Roman"/>
              </w:rPr>
              <w:t>1.86</w:t>
            </w:r>
          </w:p>
        </w:tc>
        <w:tc>
          <w:tcPr>
            <w:tcW w:w="597" w:type="pct"/>
            <w:vAlign w:val="center"/>
          </w:tcPr>
          <w:p>
            <w:pPr>
              <w:jc w:val="center"/>
              <w:rPr>
                <w:rFonts w:ascii="Times New Roman" w:hAnsi="Times New Roman" w:cs="Times New Roman"/>
              </w:rPr>
            </w:pPr>
            <w:r>
              <w:rPr>
                <w:rFonts w:ascii="Times New Roman" w:hAnsi="Times New Roman" w:cs="Times New Roman"/>
              </w:rPr>
              <w:t>9.82</w:t>
            </w:r>
          </w:p>
        </w:tc>
        <w:tc>
          <w:tcPr>
            <w:tcW w:w="597" w:type="pct"/>
            <w:vAlign w:val="center"/>
          </w:tcPr>
          <w:p>
            <w:pPr>
              <w:jc w:val="center"/>
              <w:rPr>
                <w:rFonts w:ascii="Times New Roman" w:hAnsi="Times New Roman" w:cs="Times New Roman"/>
              </w:rPr>
            </w:pPr>
            <w:r>
              <w:rPr>
                <w:rFonts w:ascii="Times New Roman" w:hAnsi="Times New Roman" w:cs="Times New Roman"/>
              </w:rPr>
              <w:t>0.32</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CPI_US</w:t>
            </w:r>
          </w:p>
        </w:tc>
        <w:tc>
          <w:tcPr>
            <w:tcW w:w="426" w:type="pct"/>
            <w:vAlign w:val="center"/>
          </w:tcPr>
          <w:p>
            <w:pPr>
              <w:jc w:val="center"/>
              <w:rPr>
                <w:rFonts w:ascii="Times New Roman" w:hAnsi="Times New Roman" w:cs="Times New Roman"/>
              </w:rPr>
            </w:pPr>
            <w:r>
              <w:rPr>
                <w:rFonts w:ascii="Times New Roman" w:hAnsi="Times New Roman" w:cs="Times New Roman"/>
              </w:rPr>
              <w:t>1.80</w:t>
            </w:r>
          </w:p>
        </w:tc>
        <w:tc>
          <w:tcPr>
            <w:tcW w:w="683" w:type="pct"/>
            <w:vAlign w:val="center"/>
          </w:tcPr>
          <w:p>
            <w:pPr>
              <w:jc w:val="center"/>
              <w:rPr>
                <w:rFonts w:ascii="Times New Roman" w:hAnsi="Times New Roman" w:cs="Times New Roman"/>
              </w:rPr>
            </w:pPr>
            <w:r>
              <w:rPr>
                <w:rFonts w:ascii="Times New Roman" w:hAnsi="Times New Roman" w:cs="Times New Roman"/>
              </w:rPr>
              <w:t>0.89</w:t>
            </w:r>
          </w:p>
        </w:tc>
        <w:tc>
          <w:tcPr>
            <w:tcW w:w="625" w:type="pct"/>
            <w:vAlign w:val="center"/>
          </w:tcPr>
          <w:p>
            <w:pPr>
              <w:jc w:val="center"/>
              <w:rPr>
                <w:rFonts w:ascii="Times New Roman" w:hAnsi="Times New Roman" w:cs="Times New Roman"/>
              </w:rPr>
            </w:pPr>
            <w:r>
              <w:rPr>
                <w:rFonts w:ascii="Times New Roman" w:hAnsi="Times New Roman" w:cs="Times New Roman"/>
              </w:rPr>
              <w:t>0.48</w:t>
            </w:r>
          </w:p>
        </w:tc>
        <w:tc>
          <w:tcPr>
            <w:tcW w:w="570" w:type="pct"/>
            <w:vAlign w:val="center"/>
          </w:tcPr>
          <w:p>
            <w:pPr>
              <w:jc w:val="center"/>
              <w:rPr>
                <w:rFonts w:ascii="Times New Roman" w:hAnsi="Times New Roman" w:cs="Times New Roman"/>
              </w:rPr>
            </w:pPr>
            <w:r>
              <w:rPr>
                <w:rFonts w:ascii="Times New Roman" w:hAnsi="Times New Roman" w:cs="Times New Roman"/>
              </w:rPr>
              <w:t>1.88</w:t>
            </w:r>
          </w:p>
        </w:tc>
        <w:tc>
          <w:tcPr>
            <w:tcW w:w="597" w:type="pct"/>
            <w:vAlign w:val="center"/>
          </w:tcPr>
          <w:p>
            <w:pPr>
              <w:jc w:val="center"/>
              <w:rPr>
                <w:rFonts w:ascii="Times New Roman" w:hAnsi="Times New Roman" w:cs="Times New Roman"/>
              </w:rPr>
            </w:pPr>
            <w:r>
              <w:rPr>
                <w:rFonts w:ascii="Times New Roman" w:hAnsi="Times New Roman" w:cs="Times New Roman"/>
              </w:rPr>
              <w:t>9.94</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IVA</w:t>
            </w:r>
          </w:p>
        </w:tc>
        <w:tc>
          <w:tcPr>
            <w:tcW w:w="426" w:type="pct"/>
            <w:vAlign w:val="center"/>
          </w:tcPr>
          <w:p>
            <w:pPr>
              <w:jc w:val="center"/>
              <w:rPr>
                <w:rFonts w:ascii="Times New Roman" w:hAnsi="Times New Roman" w:cs="Times New Roman"/>
              </w:rPr>
            </w:pPr>
            <w:r>
              <w:rPr>
                <w:rFonts w:ascii="Times New Roman" w:hAnsi="Times New Roman" w:cs="Times New Roman"/>
              </w:rPr>
              <w:t>7.93</w:t>
            </w:r>
          </w:p>
        </w:tc>
        <w:tc>
          <w:tcPr>
            <w:tcW w:w="683" w:type="pct"/>
            <w:vAlign w:val="center"/>
          </w:tcPr>
          <w:p>
            <w:pPr>
              <w:jc w:val="center"/>
              <w:rPr>
                <w:rFonts w:ascii="Times New Roman" w:hAnsi="Times New Roman" w:cs="Times New Roman"/>
              </w:rPr>
            </w:pPr>
            <w:r>
              <w:rPr>
                <w:rFonts w:ascii="Times New Roman" w:hAnsi="Times New Roman" w:cs="Times New Roman"/>
              </w:rPr>
              <w:t>3.61</w:t>
            </w:r>
          </w:p>
        </w:tc>
        <w:tc>
          <w:tcPr>
            <w:tcW w:w="625" w:type="pct"/>
            <w:vAlign w:val="center"/>
          </w:tcPr>
          <w:p>
            <w:pPr>
              <w:jc w:val="center"/>
              <w:rPr>
                <w:rFonts w:ascii="Times New Roman" w:hAnsi="Times New Roman" w:cs="Times New Roman"/>
              </w:rPr>
            </w:pPr>
            <w:r>
              <w:rPr>
                <w:rFonts w:ascii="Times New Roman" w:hAnsi="Times New Roman" w:cs="Times New Roman"/>
              </w:rPr>
              <w:t>0.17</w:t>
            </w:r>
          </w:p>
        </w:tc>
        <w:tc>
          <w:tcPr>
            <w:tcW w:w="570" w:type="pct"/>
            <w:vAlign w:val="center"/>
          </w:tcPr>
          <w:p>
            <w:pPr>
              <w:jc w:val="center"/>
              <w:rPr>
                <w:rFonts w:ascii="Times New Roman" w:hAnsi="Times New Roman" w:cs="Times New Roman"/>
              </w:rPr>
            </w:pPr>
            <w:r>
              <w:rPr>
                <w:rFonts w:ascii="Times New Roman" w:hAnsi="Times New Roman" w:cs="Times New Roman"/>
              </w:rPr>
              <w:t>1.84</w:t>
            </w:r>
          </w:p>
        </w:tc>
        <w:tc>
          <w:tcPr>
            <w:tcW w:w="597" w:type="pct"/>
            <w:vAlign w:val="center"/>
          </w:tcPr>
          <w:p>
            <w:pPr>
              <w:jc w:val="center"/>
              <w:rPr>
                <w:rFonts w:ascii="Times New Roman" w:hAnsi="Times New Roman" w:cs="Times New Roman"/>
              </w:rPr>
            </w:pPr>
            <w:r>
              <w:rPr>
                <w:rFonts w:ascii="Times New Roman" w:hAnsi="Times New Roman" w:cs="Times New Roman"/>
              </w:rPr>
              <w:t>6.62</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PPI</w:t>
            </w:r>
          </w:p>
        </w:tc>
        <w:tc>
          <w:tcPr>
            <w:tcW w:w="426" w:type="pct"/>
            <w:vAlign w:val="center"/>
          </w:tcPr>
          <w:p>
            <w:pPr>
              <w:jc w:val="center"/>
              <w:rPr>
                <w:rFonts w:ascii="Times New Roman" w:hAnsi="Times New Roman" w:cs="Times New Roman"/>
              </w:rPr>
            </w:pPr>
            <w:r>
              <w:rPr>
                <w:rFonts w:ascii="Times New Roman" w:hAnsi="Times New Roman" w:cs="Times New Roman"/>
              </w:rPr>
              <w:t>0.39</w:t>
            </w:r>
          </w:p>
        </w:tc>
        <w:tc>
          <w:tcPr>
            <w:tcW w:w="683" w:type="pct"/>
            <w:vAlign w:val="center"/>
          </w:tcPr>
          <w:p>
            <w:pPr>
              <w:jc w:val="center"/>
              <w:rPr>
                <w:rFonts w:ascii="Times New Roman" w:hAnsi="Times New Roman" w:cs="Times New Roman"/>
              </w:rPr>
            </w:pPr>
            <w:r>
              <w:rPr>
                <w:rFonts w:ascii="Times New Roman" w:hAnsi="Times New Roman" w:cs="Times New Roman"/>
              </w:rPr>
              <w:t>4.02</w:t>
            </w:r>
          </w:p>
        </w:tc>
        <w:tc>
          <w:tcPr>
            <w:tcW w:w="625" w:type="pct"/>
            <w:vAlign w:val="center"/>
          </w:tcPr>
          <w:p>
            <w:pPr>
              <w:jc w:val="center"/>
              <w:rPr>
                <w:rFonts w:ascii="Times New Roman" w:hAnsi="Times New Roman" w:cs="Times New Roman"/>
              </w:rPr>
            </w:pPr>
            <w:r>
              <w:rPr>
                <w:rFonts w:ascii="Times New Roman" w:hAnsi="Times New Roman" w:cs="Times New Roman"/>
              </w:rPr>
              <w:t>0.76</w:t>
            </w:r>
          </w:p>
        </w:tc>
        <w:tc>
          <w:tcPr>
            <w:tcW w:w="570" w:type="pct"/>
            <w:vAlign w:val="center"/>
          </w:tcPr>
          <w:p>
            <w:pPr>
              <w:jc w:val="center"/>
              <w:rPr>
                <w:rFonts w:ascii="Times New Roman" w:hAnsi="Times New Roman" w:cs="Times New Roman"/>
              </w:rPr>
            </w:pPr>
            <w:r>
              <w:rPr>
                <w:rFonts w:ascii="Times New Roman" w:hAnsi="Times New Roman" w:cs="Times New Roman"/>
              </w:rPr>
              <w:t>2.58</w:t>
            </w:r>
          </w:p>
        </w:tc>
        <w:tc>
          <w:tcPr>
            <w:tcW w:w="597" w:type="pct"/>
            <w:vAlign w:val="center"/>
          </w:tcPr>
          <w:p>
            <w:pPr>
              <w:jc w:val="center"/>
              <w:rPr>
                <w:rFonts w:ascii="Times New Roman" w:hAnsi="Times New Roman" w:cs="Times New Roman"/>
              </w:rPr>
            </w:pPr>
            <w:r>
              <w:rPr>
                <w:rFonts w:ascii="Times New Roman" w:hAnsi="Times New Roman" w:cs="Times New Roman"/>
              </w:rPr>
              <w:t>11.29</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PMI</w:t>
            </w:r>
          </w:p>
        </w:tc>
        <w:tc>
          <w:tcPr>
            <w:tcW w:w="426" w:type="pct"/>
            <w:vAlign w:val="center"/>
          </w:tcPr>
          <w:p>
            <w:pPr>
              <w:jc w:val="center"/>
              <w:rPr>
                <w:rFonts w:ascii="Times New Roman" w:hAnsi="Times New Roman" w:cs="Times New Roman"/>
              </w:rPr>
            </w:pPr>
            <w:r>
              <w:rPr>
                <w:rFonts w:ascii="Times New Roman" w:hAnsi="Times New Roman" w:cs="Times New Roman"/>
              </w:rPr>
              <w:t>50.67</w:t>
            </w:r>
          </w:p>
        </w:tc>
        <w:tc>
          <w:tcPr>
            <w:tcW w:w="683" w:type="pct"/>
            <w:vAlign w:val="center"/>
          </w:tcPr>
          <w:p>
            <w:pPr>
              <w:jc w:val="center"/>
              <w:rPr>
                <w:rFonts w:ascii="Times New Roman" w:hAnsi="Times New Roman" w:cs="Times New Roman"/>
              </w:rPr>
            </w:pPr>
            <w:r>
              <w:rPr>
                <w:rFonts w:ascii="Times New Roman" w:hAnsi="Times New Roman" w:cs="Times New Roman"/>
              </w:rPr>
              <w:t>0.93</w:t>
            </w:r>
          </w:p>
        </w:tc>
        <w:tc>
          <w:tcPr>
            <w:tcW w:w="625" w:type="pct"/>
            <w:vAlign w:val="center"/>
          </w:tcPr>
          <w:p>
            <w:pPr>
              <w:jc w:val="center"/>
              <w:rPr>
                <w:rFonts w:ascii="Times New Roman" w:hAnsi="Times New Roman" w:cs="Times New Roman"/>
              </w:rPr>
            </w:pPr>
            <w:r>
              <w:rPr>
                <w:rFonts w:ascii="Times New Roman" w:hAnsi="Times New Roman" w:cs="Times New Roman"/>
              </w:rPr>
              <w:t>0.42</w:t>
            </w:r>
          </w:p>
        </w:tc>
        <w:tc>
          <w:tcPr>
            <w:tcW w:w="570" w:type="pct"/>
            <w:vAlign w:val="center"/>
          </w:tcPr>
          <w:p>
            <w:pPr>
              <w:jc w:val="center"/>
              <w:rPr>
                <w:rFonts w:ascii="Times New Roman" w:hAnsi="Times New Roman" w:cs="Times New Roman"/>
              </w:rPr>
            </w:pPr>
            <w:r>
              <w:rPr>
                <w:rFonts w:ascii="Times New Roman" w:hAnsi="Times New Roman" w:cs="Times New Roman"/>
              </w:rPr>
              <w:t>1.90</w:t>
            </w:r>
          </w:p>
        </w:tc>
        <w:tc>
          <w:tcPr>
            <w:tcW w:w="597" w:type="pct"/>
            <w:vAlign w:val="center"/>
          </w:tcPr>
          <w:p>
            <w:pPr>
              <w:jc w:val="center"/>
              <w:rPr>
                <w:rFonts w:ascii="Times New Roman" w:hAnsi="Times New Roman" w:cs="Times New Roman"/>
              </w:rPr>
            </w:pPr>
            <w:r>
              <w:rPr>
                <w:rFonts w:ascii="Times New Roman" w:hAnsi="Times New Roman" w:cs="Times New Roman"/>
              </w:rPr>
              <w:t>8.68</w:t>
            </w:r>
          </w:p>
        </w:tc>
        <w:tc>
          <w:tcPr>
            <w:tcW w:w="597" w:type="pct"/>
            <w:vAlign w:val="center"/>
          </w:tcPr>
          <w:p>
            <w:pPr>
              <w:jc w:val="center"/>
              <w:rPr>
                <w:rFonts w:ascii="Times New Roman" w:hAnsi="Times New Roman" w:cs="Times New Roman"/>
              </w:rPr>
            </w:pPr>
            <w:r>
              <w:rPr>
                <w:rFonts w:ascii="Times New Roman" w:hAnsi="Times New Roman" w:cs="Times New Roman"/>
              </w:rPr>
              <w:t>0.82</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DXY</w:t>
            </w:r>
          </w:p>
        </w:tc>
        <w:tc>
          <w:tcPr>
            <w:tcW w:w="426" w:type="pct"/>
            <w:vAlign w:val="center"/>
          </w:tcPr>
          <w:p>
            <w:pPr>
              <w:jc w:val="center"/>
              <w:rPr>
                <w:rFonts w:ascii="Times New Roman" w:hAnsi="Times New Roman" w:cs="Times New Roman"/>
              </w:rPr>
            </w:pPr>
            <w:r>
              <w:rPr>
                <w:rFonts w:ascii="Times New Roman" w:hAnsi="Times New Roman" w:cs="Times New Roman"/>
              </w:rPr>
              <w:t>89.17</w:t>
            </w:r>
          </w:p>
        </w:tc>
        <w:tc>
          <w:tcPr>
            <w:tcW w:w="683" w:type="pct"/>
            <w:vAlign w:val="center"/>
          </w:tcPr>
          <w:p>
            <w:pPr>
              <w:jc w:val="center"/>
              <w:rPr>
                <w:rFonts w:ascii="Times New Roman" w:hAnsi="Times New Roman" w:cs="Times New Roman"/>
              </w:rPr>
            </w:pPr>
            <w:r>
              <w:rPr>
                <w:rFonts w:ascii="Times New Roman" w:hAnsi="Times New Roman" w:cs="Times New Roman"/>
              </w:rPr>
              <w:t>8.42</w:t>
            </w:r>
          </w:p>
        </w:tc>
        <w:tc>
          <w:tcPr>
            <w:tcW w:w="625" w:type="pct"/>
            <w:vAlign w:val="center"/>
          </w:tcPr>
          <w:p>
            <w:pPr>
              <w:jc w:val="center"/>
              <w:rPr>
                <w:rFonts w:ascii="Times New Roman" w:hAnsi="Times New Roman" w:cs="Times New Roman"/>
              </w:rPr>
            </w:pPr>
            <w:r>
              <w:rPr>
                <w:rFonts w:ascii="Times New Roman" w:hAnsi="Times New Roman" w:cs="Times New Roman"/>
              </w:rPr>
              <w:t>-0.27</w:t>
            </w:r>
          </w:p>
        </w:tc>
        <w:tc>
          <w:tcPr>
            <w:tcW w:w="570" w:type="pct"/>
            <w:vAlign w:val="center"/>
          </w:tcPr>
          <w:p>
            <w:pPr>
              <w:jc w:val="center"/>
              <w:rPr>
                <w:rFonts w:ascii="Times New Roman" w:hAnsi="Times New Roman" w:cs="Times New Roman"/>
              </w:rPr>
            </w:pPr>
            <w:r>
              <w:rPr>
                <w:rFonts w:ascii="Times New Roman" w:hAnsi="Times New Roman" w:cs="Times New Roman"/>
              </w:rPr>
              <w:t>2.55</w:t>
            </w:r>
          </w:p>
        </w:tc>
        <w:tc>
          <w:tcPr>
            <w:tcW w:w="597" w:type="pct"/>
            <w:vAlign w:val="center"/>
          </w:tcPr>
          <w:p>
            <w:pPr>
              <w:jc w:val="center"/>
              <w:rPr>
                <w:rFonts w:ascii="Times New Roman" w:hAnsi="Times New Roman" w:cs="Times New Roman"/>
              </w:rPr>
            </w:pPr>
            <w:r>
              <w:rPr>
                <w:rFonts w:ascii="Times New Roman" w:hAnsi="Times New Roman" w:cs="Times New Roman"/>
              </w:rPr>
              <w:t>2.25</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WTI</w:t>
            </w:r>
          </w:p>
        </w:tc>
        <w:tc>
          <w:tcPr>
            <w:tcW w:w="426" w:type="pct"/>
            <w:vAlign w:val="center"/>
          </w:tcPr>
          <w:p>
            <w:pPr>
              <w:jc w:val="center"/>
              <w:rPr>
                <w:rFonts w:ascii="Times New Roman" w:hAnsi="Times New Roman" w:cs="Times New Roman"/>
              </w:rPr>
            </w:pPr>
            <w:r>
              <w:rPr>
                <w:rFonts w:ascii="Times New Roman" w:hAnsi="Times New Roman" w:cs="Times New Roman"/>
              </w:rPr>
              <w:t>71.55</w:t>
            </w:r>
          </w:p>
        </w:tc>
        <w:tc>
          <w:tcPr>
            <w:tcW w:w="683" w:type="pct"/>
            <w:vAlign w:val="center"/>
          </w:tcPr>
          <w:p>
            <w:pPr>
              <w:jc w:val="center"/>
              <w:rPr>
                <w:rFonts w:ascii="Times New Roman" w:hAnsi="Times New Roman" w:cs="Times New Roman"/>
              </w:rPr>
            </w:pPr>
            <w:r>
              <w:rPr>
                <w:rFonts w:ascii="Times New Roman" w:hAnsi="Times New Roman" w:cs="Times New Roman"/>
              </w:rPr>
              <w:t>22.82</w:t>
            </w:r>
          </w:p>
        </w:tc>
        <w:tc>
          <w:tcPr>
            <w:tcW w:w="625" w:type="pct"/>
            <w:vAlign w:val="center"/>
          </w:tcPr>
          <w:p>
            <w:pPr>
              <w:jc w:val="center"/>
              <w:rPr>
                <w:rFonts w:ascii="Times New Roman" w:hAnsi="Times New Roman" w:cs="Times New Roman"/>
              </w:rPr>
            </w:pPr>
            <w:r>
              <w:rPr>
                <w:rFonts w:ascii="Times New Roman" w:hAnsi="Times New Roman" w:cs="Times New Roman"/>
              </w:rPr>
              <w:t>0.01</w:t>
            </w:r>
          </w:p>
        </w:tc>
        <w:tc>
          <w:tcPr>
            <w:tcW w:w="570" w:type="pct"/>
            <w:vAlign w:val="center"/>
          </w:tcPr>
          <w:p>
            <w:pPr>
              <w:jc w:val="center"/>
              <w:rPr>
                <w:rFonts w:ascii="Times New Roman" w:hAnsi="Times New Roman" w:cs="Times New Roman"/>
              </w:rPr>
            </w:pPr>
            <w:r>
              <w:rPr>
                <w:rFonts w:ascii="Times New Roman" w:hAnsi="Times New Roman" w:cs="Times New Roman"/>
              </w:rPr>
              <w:t>2.46</w:t>
            </w:r>
          </w:p>
        </w:tc>
        <w:tc>
          <w:tcPr>
            <w:tcW w:w="597" w:type="pct"/>
            <w:vAlign w:val="center"/>
          </w:tcPr>
          <w:p>
            <w:pPr>
              <w:jc w:val="center"/>
              <w:rPr>
                <w:rFonts w:ascii="Times New Roman" w:hAnsi="Times New Roman" w:cs="Times New Roman"/>
              </w:rPr>
            </w:pPr>
            <w:r>
              <w:rPr>
                <w:rFonts w:ascii="Times New Roman" w:hAnsi="Times New Roman" w:cs="Times New Roman"/>
              </w:rPr>
              <w:t>1.28</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COMEX</w:t>
            </w:r>
          </w:p>
        </w:tc>
        <w:tc>
          <w:tcPr>
            <w:tcW w:w="426" w:type="pct"/>
            <w:vAlign w:val="center"/>
          </w:tcPr>
          <w:p>
            <w:pPr>
              <w:jc w:val="center"/>
              <w:rPr>
                <w:rFonts w:ascii="Times New Roman" w:hAnsi="Times New Roman" w:cs="Times New Roman"/>
              </w:rPr>
            </w:pPr>
            <w:r>
              <w:rPr>
                <w:rFonts w:ascii="Times New Roman" w:hAnsi="Times New Roman" w:cs="Times New Roman"/>
              </w:rPr>
              <w:t>7.21</w:t>
            </w:r>
          </w:p>
        </w:tc>
        <w:tc>
          <w:tcPr>
            <w:tcW w:w="683" w:type="pct"/>
            <w:vAlign w:val="center"/>
          </w:tcPr>
          <w:p>
            <w:pPr>
              <w:jc w:val="center"/>
              <w:rPr>
                <w:rFonts w:ascii="Times New Roman" w:hAnsi="Times New Roman" w:cs="Times New Roman"/>
              </w:rPr>
            </w:pPr>
            <w:r>
              <w:rPr>
                <w:rFonts w:ascii="Times New Roman" w:hAnsi="Times New Roman" w:cs="Times New Roman"/>
              </w:rPr>
              <w:t>0.13</w:t>
            </w:r>
          </w:p>
        </w:tc>
        <w:tc>
          <w:tcPr>
            <w:tcW w:w="625" w:type="pct"/>
            <w:vAlign w:val="center"/>
          </w:tcPr>
          <w:p>
            <w:pPr>
              <w:jc w:val="center"/>
              <w:rPr>
                <w:rFonts w:ascii="Times New Roman" w:hAnsi="Times New Roman" w:cs="Times New Roman"/>
              </w:rPr>
            </w:pPr>
            <w:r>
              <w:rPr>
                <w:rFonts w:ascii="Times New Roman" w:hAnsi="Times New Roman" w:cs="Times New Roman"/>
              </w:rPr>
              <w:t>0.40</w:t>
            </w:r>
          </w:p>
        </w:tc>
        <w:tc>
          <w:tcPr>
            <w:tcW w:w="570" w:type="pct"/>
            <w:vAlign w:val="center"/>
          </w:tcPr>
          <w:p>
            <w:pPr>
              <w:jc w:val="center"/>
              <w:rPr>
                <w:rFonts w:ascii="Times New Roman" w:hAnsi="Times New Roman" w:cs="Times New Roman"/>
              </w:rPr>
            </w:pPr>
            <w:r>
              <w:rPr>
                <w:rFonts w:ascii="Times New Roman" w:hAnsi="Times New Roman" w:cs="Times New Roman"/>
              </w:rPr>
              <w:t>2.02</w:t>
            </w:r>
          </w:p>
        </w:tc>
        <w:tc>
          <w:tcPr>
            <w:tcW w:w="597" w:type="pct"/>
            <w:vAlign w:val="center"/>
          </w:tcPr>
          <w:p>
            <w:pPr>
              <w:jc w:val="center"/>
              <w:rPr>
                <w:rFonts w:ascii="Times New Roman" w:hAnsi="Times New Roman" w:cs="Times New Roman"/>
              </w:rPr>
            </w:pPr>
            <w:r>
              <w:rPr>
                <w:rFonts w:ascii="Times New Roman" w:hAnsi="Times New Roman" w:cs="Times New Roman"/>
              </w:rPr>
              <w:t>7.21</w:t>
            </w:r>
          </w:p>
        </w:tc>
        <w:tc>
          <w:tcPr>
            <w:tcW w:w="597" w:type="pct"/>
            <w:vAlign w:val="center"/>
          </w:tcPr>
          <w:p>
            <w:pPr>
              <w:jc w:val="center"/>
              <w:rPr>
                <w:rFonts w:ascii="Times New Roman" w:hAnsi="Times New Roman" w:cs="Times New Roman"/>
              </w:rPr>
            </w:pPr>
            <w:r>
              <w:rPr>
                <w:rFonts w:ascii="Times New Roman" w:hAnsi="Times New Roman" w:cs="Times New Roman"/>
              </w:rPr>
              <w:t>0.46</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DJIA</w:t>
            </w:r>
          </w:p>
        </w:tc>
        <w:tc>
          <w:tcPr>
            <w:tcW w:w="426" w:type="pct"/>
            <w:vAlign w:val="center"/>
          </w:tcPr>
          <w:p>
            <w:pPr>
              <w:jc w:val="center"/>
              <w:rPr>
                <w:rFonts w:ascii="Times New Roman" w:hAnsi="Times New Roman" w:cs="Times New Roman"/>
              </w:rPr>
            </w:pPr>
            <w:r>
              <w:rPr>
                <w:rFonts w:ascii="Times New Roman" w:hAnsi="Times New Roman" w:cs="Times New Roman"/>
              </w:rPr>
              <w:t>9.78</w:t>
            </w:r>
          </w:p>
        </w:tc>
        <w:tc>
          <w:tcPr>
            <w:tcW w:w="683" w:type="pct"/>
            <w:vAlign w:val="center"/>
          </w:tcPr>
          <w:p>
            <w:pPr>
              <w:jc w:val="center"/>
              <w:rPr>
                <w:rFonts w:ascii="Times New Roman" w:hAnsi="Times New Roman" w:cs="Times New Roman"/>
              </w:rPr>
            </w:pPr>
            <w:r>
              <w:rPr>
                <w:rFonts w:ascii="Times New Roman" w:hAnsi="Times New Roman" w:cs="Times New Roman"/>
              </w:rPr>
              <w:t>0.27</w:t>
            </w:r>
          </w:p>
        </w:tc>
        <w:tc>
          <w:tcPr>
            <w:tcW w:w="625" w:type="pct"/>
            <w:vAlign w:val="center"/>
          </w:tcPr>
          <w:p>
            <w:pPr>
              <w:jc w:val="center"/>
              <w:rPr>
                <w:rFonts w:ascii="Times New Roman" w:hAnsi="Times New Roman" w:cs="Times New Roman"/>
              </w:rPr>
            </w:pPr>
            <w:r>
              <w:rPr>
                <w:rFonts w:ascii="Times New Roman" w:hAnsi="Times New Roman" w:cs="Times New Roman"/>
              </w:rPr>
              <w:t>-0.16</w:t>
            </w:r>
          </w:p>
        </w:tc>
        <w:tc>
          <w:tcPr>
            <w:tcW w:w="570" w:type="pct"/>
            <w:vAlign w:val="center"/>
          </w:tcPr>
          <w:p>
            <w:pPr>
              <w:jc w:val="center"/>
              <w:rPr>
                <w:rFonts w:ascii="Times New Roman" w:hAnsi="Times New Roman" w:cs="Times New Roman"/>
              </w:rPr>
            </w:pPr>
            <w:r>
              <w:rPr>
                <w:rFonts w:ascii="Times New Roman" w:hAnsi="Times New Roman" w:cs="Times New Roman"/>
              </w:rPr>
              <w:t>1.80</w:t>
            </w:r>
          </w:p>
        </w:tc>
        <w:tc>
          <w:tcPr>
            <w:tcW w:w="597" w:type="pct"/>
            <w:vAlign w:val="center"/>
          </w:tcPr>
          <w:p>
            <w:pPr>
              <w:jc w:val="center"/>
              <w:rPr>
                <w:rFonts w:ascii="Times New Roman" w:hAnsi="Times New Roman" w:cs="Times New Roman"/>
              </w:rPr>
            </w:pPr>
            <w:r>
              <w:rPr>
                <w:rFonts w:ascii="Times New Roman" w:hAnsi="Times New Roman" w:cs="Times New Roman"/>
              </w:rPr>
              <w:t>6.94</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NASDAQ</w:t>
            </w:r>
          </w:p>
        </w:tc>
        <w:tc>
          <w:tcPr>
            <w:tcW w:w="426" w:type="pct"/>
            <w:vAlign w:val="center"/>
          </w:tcPr>
          <w:p>
            <w:pPr>
              <w:jc w:val="center"/>
              <w:rPr>
                <w:rFonts w:ascii="Times New Roman" w:hAnsi="Times New Roman" w:cs="Times New Roman"/>
              </w:rPr>
            </w:pPr>
            <w:r>
              <w:rPr>
                <w:rFonts w:ascii="Times New Roman" w:hAnsi="Times New Roman" w:cs="Times New Roman"/>
              </w:rPr>
              <w:t>8.46</w:t>
            </w:r>
          </w:p>
        </w:tc>
        <w:tc>
          <w:tcPr>
            <w:tcW w:w="683" w:type="pct"/>
            <w:vAlign w:val="center"/>
          </w:tcPr>
          <w:p>
            <w:pPr>
              <w:jc w:val="center"/>
              <w:rPr>
                <w:rFonts w:ascii="Times New Roman" w:hAnsi="Times New Roman" w:cs="Times New Roman"/>
              </w:rPr>
            </w:pPr>
            <w:r>
              <w:rPr>
                <w:rFonts w:ascii="Times New Roman" w:hAnsi="Times New Roman" w:cs="Times New Roman"/>
              </w:rPr>
              <w:t>0.37</w:t>
            </w:r>
          </w:p>
        </w:tc>
        <w:tc>
          <w:tcPr>
            <w:tcW w:w="625" w:type="pct"/>
            <w:vAlign w:val="center"/>
          </w:tcPr>
          <w:p>
            <w:pPr>
              <w:jc w:val="center"/>
              <w:rPr>
                <w:rFonts w:ascii="Times New Roman" w:hAnsi="Times New Roman" w:cs="Times New Roman"/>
              </w:rPr>
            </w:pPr>
            <w:r>
              <w:rPr>
                <w:rFonts w:ascii="Times New Roman" w:hAnsi="Times New Roman" w:cs="Times New Roman"/>
              </w:rPr>
              <w:t>-0.19</w:t>
            </w:r>
          </w:p>
        </w:tc>
        <w:tc>
          <w:tcPr>
            <w:tcW w:w="570" w:type="pct"/>
            <w:vAlign w:val="center"/>
          </w:tcPr>
          <w:p>
            <w:pPr>
              <w:jc w:val="center"/>
              <w:rPr>
                <w:rFonts w:ascii="Times New Roman" w:hAnsi="Times New Roman" w:cs="Times New Roman"/>
              </w:rPr>
            </w:pPr>
            <w:r>
              <w:rPr>
                <w:rFonts w:ascii="Times New Roman" w:hAnsi="Times New Roman" w:cs="Times New Roman"/>
              </w:rPr>
              <w:t>1.83</w:t>
            </w:r>
          </w:p>
        </w:tc>
        <w:tc>
          <w:tcPr>
            <w:tcW w:w="597" w:type="pct"/>
            <w:vAlign w:val="center"/>
          </w:tcPr>
          <w:p>
            <w:pPr>
              <w:jc w:val="center"/>
              <w:rPr>
                <w:rFonts w:ascii="Times New Roman" w:hAnsi="Times New Roman" w:cs="Times New Roman"/>
              </w:rPr>
            </w:pPr>
            <w:r>
              <w:rPr>
                <w:rFonts w:ascii="Times New Roman" w:hAnsi="Times New Roman" w:cs="Times New Roman"/>
              </w:rPr>
              <w:t>6.82</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AM2</w:t>
            </w:r>
          </w:p>
        </w:tc>
        <w:tc>
          <w:tcPr>
            <w:tcW w:w="426" w:type="pct"/>
            <w:vAlign w:val="center"/>
          </w:tcPr>
          <w:p>
            <w:pPr>
              <w:jc w:val="center"/>
              <w:rPr>
                <w:rFonts w:ascii="Times New Roman" w:hAnsi="Times New Roman" w:cs="Times New Roman"/>
              </w:rPr>
            </w:pPr>
            <w:r>
              <w:rPr>
                <w:rFonts w:ascii="Times New Roman" w:hAnsi="Times New Roman" w:cs="Times New Roman"/>
              </w:rPr>
              <w:t>9.39</w:t>
            </w:r>
          </w:p>
        </w:tc>
        <w:tc>
          <w:tcPr>
            <w:tcW w:w="683" w:type="pct"/>
            <w:vAlign w:val="center"/>
          </w:tcPr>
          <w:p>
            <w:pPr>
              <w:jc w:val="center"/>
              <w:rPr>
                <w:rFonts w:ascii="Times New Roman" w:hAnsi="Times New Roman" w:cs="Times New Roman"/>
              </w:rPr>
            </w:pPr>
            <w:r>
              <w:rPr>
                <w:rFonts w:ascii="Times New Roman" w:hAnsi="Times New Roman" w:cs="Times New Roman"/>
              </w:rPr>
              <w:t>0.15</w:t>
            </w:r>
          </w:p>
        </w:tc>
        <w:tc>
          <w:tcPr>
            <w:tcW w:w="625" w:type="pct"/>
            <w:vAlign w:val="center"/>
          </w:tcPr>
          <w:p>
            <w:pPr>
              <w:jc w:val="center"/>
              <w:rPr>
                <w:rFonts w:ascii="Times New Roman" w:hAnsi="Times New Roman" w:cs="Times New Roman"/>
              </w:rPr>
            </w:pPr>
            <w:r>
              <w:rPr>
                <w:rFonts w:ascii="Times New Roman" w:hAnsi="Times New Roman" w:cs="Times New Roman"/>
              </w:rPr>
              <w:t>0.04</w:t>
            </w:r>
          </w:p>
        </w:tc>
        <w:tc>
          <w:tcPr>
            <w:tcW w:w="570" w:type="pct"/>
            <w:vAlign w:val="center"/>
          </w:tcPr>
          <w:p>
            <w:pPr>
              <w:jc w:val="center"/>
              <w:rPr>
                <w:rFonts w:ascii="Times New Roman" w:hAnsi="Times New Roman" w:cs="Times New Roman"/>
              </w:rPr>
            </w:pPr>
            <w:r>
              <w:rPr>
                <w:rFonts w:ascii="Times New Roman" w:hAnsi="Times New Roman" w:cs="Times New Roman"/>
              </w:rPr>
              <w:t>2.00</w:t>
            </w:r>
          </w:p>
        </w:tc>
        <w:tc>
          <w:tcPr>
            <w:tcW w:w="597" w:type="pct"/>
            <w:vAlign w:val="center"/>
          </w:tcPr>
          <w:p>
            <w:pPr>
              <w:jc w:val="center"/>
              <w:rPr>
                <w:rFonts w:ascii="Times New Roman" w:hAnsi="Times New Roman" w:cs="Times New Roman"/>
              </w:rPr>
            </w:pPr>
            <w:r>
              <w:rPr>
                <w:rFonts w:ascii="Times New Roman" w:hAnsi="Times New Roman" w:cs="Times New Roman"/>
              </w:rPr>
              <w:t>4.61</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S&amp;P</w:t>
            </w:r>
          </w:p>
        </w:tc>
        <w:tc>
          <w:tcPr>
            <w:tcW w:w="426" w:type="pct"/>
            <w:vAlign w:val="center"/>
          </w:tcPr>
          <w:p>
            <w:pPr>
              <w:jc w:val="center"/>
              <w:rPr>
                <w:rFonts w:ascii="Times New Roman" w:hAnsi="Times New Roman" w:cs="Times New Roman"/>
              </w:rPr>
            </w:pPr>
            <w:r>
              <w:rPr>
                <w:rFonts w:ascii="Times New Roman" w:hAnsi="Times New Roman" w:cs="Times New Roman"/>
              </w:rPr>
              <w:t>7.59</w:t>
            </w:r>
          </w:p>
        </w:tc>
        <w:tc>
          <w:tcPr>
            <w:tcW w:w="683" w:type="pct"/>
            <w:vAlign w:val="center"/>
          </w:tcPr>
          <w:p>
            <w:pPr>
              <w:jc w:val="center"/>
              <w:rPr>
                <w:rFonts w:ascii="Times New Roman" w:hAnsi="Times New Roman" w:cs="Times New Roman"/>
              </w:rPr>
            </w:pPr>
            <w:r>
              <w:rPr>
                <w:rFonts w:ascii="Times New Roman" w:hAnsi="Times New Roman" w:cs="Times New Roman"/>
              </w:rPr>
              <w:t>0.28</w:t>
            </w:r>
          </w:p>
        </w:tc>
        <w:tc>
          <w:tcPr>
            <w:tcW w:w="625" w:type="pct"/>
            <w:vAlign w:val="center"/>
          </w:tcPr>
          <w:p>
            <w:pPr>
              <w:jc w:val="center"/>
              <w:rPr>
                <w:rFonts w:ascii="Times New Roman" w:hAnsi="Times New Roman" w:cs="Times New Roman"/>
              </w:rPr>
            </w:pPr>
            <w:r>
              <w:rPr>
                <w:rFonts w:ascii="Times New Roman" w:hAnsi="Times New Roman" w:cs="Times New Roman"/>
              </w:rPr>
              <w:t>-0.20</w:t>
            </w:r>
          </w:p>
        </w:tc>
        <w:tc>
          <w:tcPr>
            <w:tcW w:w="570" w:type="pct"/>
            <w:vAlign w:val="center"/>
          </w:tcPr>
          <w:p>
            <w:pPr>
              <w:jc w:val="center"/>
              <w:rPr>
                <w:rFonts w:ascii="Times New Roman" w:hAnsi="Times New Roman" w:cs="Times New Roman"/>
              </w:rPr>
            </w:pPr>
            <w:r>
              <w:rPr>
                <w:rFonts w:ascii="Times New Roman" w:hAnsi="Times New Roman" w:cs="Times New Roman"/>
              </w:rPr>
              <w:t>1.78</w:t>
            </w:r>
          </w:p>
        </w:tc>
        <w:tc>
          <w:tcPr>
            <w:tcW w:w="597" w:type="pct"/>
            <w:vAlign w:val="center"/>
          </w:tcPr>
          <w:p>
            <w:pPr>
              <w:jc w:val="center"/>
              <w:rPr>
                <w:rFonts w:ascii="Times New Roman" w:hAnsi="Times New Roman" w:cs="Times New Roman"/>
              </w:rPr>
            </w:pPr>
            <w:r>
              <w:rPr>
                <w:rFonts w:ascii="Times New Roman" w:hAnsi="Times New Roman" w:cs="Times New Roman"/>
              </w:rPr>
              <w:t>7.43</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VIX</w:t>
            </w:r>
          </w:p>
        </w:tc>
        <w:tc>
          <w:tcPr>
            <w:tcW w:w="426" w:type="pct"/>
            <w:vAlign w:val="center"/>
          </w:tcPr>
          <w:p>
            <w:pPr>
              <w:jc w:val="center"/>
              <w:rPr>
                <w:rFonts w:ascii="Times New Roman" w:hAnsi="Times New Roman" w:cs="Times New Roman"/>
              </w:rPr>
            </w:pPr>
            <w:r>
              <w:rPr>
                <w:rFonts w:ascii="Times New Roman" w:hAnsi="Times New Roman" w:cs="Times New Roman"/>
              </w:rPr>
              <w:t>16.20</w:t>
            </w:r>
          </w:p>
        </w:tc>
        <w:tc>
          <w:tcPr>
            <w:tcW w:w="683" w:type="pct"/>
            <w:vAlign w:val="center"/>
          </w:tcPr>
          <w:p>
            <w:pPr>
              <w:jc w:val="center"/>
              <w:rPr>
                <w:rFonts w:ascii="Times New Roman" w:hAnsi="Times New Roman" w:cs="Times New Roman"/>
              </w:rPr>
            </w:pPr>
            <w:r>
              <w:rPr>
                <w:rFonts w:ascii="Times New Roman" w:hAnsi="Times New Roman" w:cs="Times New Roman"/>
              </w:rPr>
              <w:t>4.82</w:t>
            </w:r>
          </w:p>
        </w:tc>
        <w:tc>
          <w:tcPr>
            <w:tcW w:w="625" w:type="pct"/>
            <w:vAlign w:val="center"/>
          </w:tcPr>
          <w:p>
            <w:pPr>
              <w:jc w:val="center"/>
              <w:rPr>
                <w:rFonts w:ascii="Times New Roman" w:hAnsi="Times New Roman" w:cs="Times New Roman"/>
              </w:rPr>
            </w:pPr>
            <w:r>
              <w:rPr>
                <w:rFonts w:ascii="Times New Roman" w:hAnsi="Times New Roman" w:cs="Times New Roman"/>
              </w:rPr>
              <w:t>0.35</w:t>
            </w:r>
          </w:p>
        </w:tc>
        <w:tc>
          <w:tcPr>
            <w:tcW w:w="570" w:type="pct"/>
            <w:vAlign w:val="center"/>
          </w:tcPr>
          <w:p>
            <w:pPr>
              <w:jc w:val="center"/>
              <w:rPr>
                <w:rFonts w:ascii="Times New Roman" w:hAnsi="Times New Roman" w:cs="Times New Roman"/>
              </w:rPr>
            </w:pPr>
            <w:r>
              <w:rPr>
                <w:rFonts w:ascii="Times New Roman" w:hAnsi="Times New Roman" w:cs="Times New Roman"/>
              </w:rPr>
              <w:t>1.97</w:t>
            </w:r>
          </w:p>
        </w:tc>
        <w:tc>
          <w:tcPr>
            <w:tcW w:w="597" w:type="pct"/>
            <w:vAlign w:val="center"/>
          </w:tcPr>
          <w:p>
            <w:pPr>
              <w:jc w:val="center"/>
              <w:rPr>
                <w:rFonts w:ascii="Times New Roman" w:hAnsi="Times New Roman" w:cs="Times New Roman"/>
              </w:rPr>
            </w:pPr>
            <w:r>
              <w:rPr>
                <w:rFonts w:ascii="Times New Roman" w:hAnsi="Times New Roman" w:cs="Times New Roman"/>
              </w:rPr>
              <w:t>7.04</w:t>
            </w:r>
          </w:p>
        </w:tc>
        <w:tc>
          <w:tcPr>
            <w:tcW w:w="597" w:type="pct"/>
            <w:vAlign w:val="center"/>
          </w:tcPr>
          <w:p>
            <w:pPr>
              <w:jc w:val="center"/>
              <w:rPr>
                <w:rFonts w:ascii="Times New Roman" w:hAnsi="Times New Roman" w:cs="Times New Roman"/>
              </w:rPr>
            </w:pPr>
            <w:r>
              <w:rPr>
                <w:rFonts w:ascii="Times New Roman" w:hAnsi="Times New Roman" w:cs="Times New Roman"/>
              </w:rPr>
              <w:t>0.21</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MCSI</w:t>
            </w:r>
          </w:p>
        </w:tc>
        <w:tc>
          <w:tcPr>
            <w:tcW w:w="426" w:type="pct"/>
            <w:vAlign w:val="center"/>
          </w:tcPr>
          <w:p>
            <w:pPr>
              <w:jc w:val="center"/>
              <w:rPr>
                <w:rFonts w:ascii="Times New Roman" w:hAnsi="Times New Roman" w:cs="Times New Roman"/>
              </w:rPr>
            </w:pPr>
            <w:r>
              <w:rPr>
                <w:rFonts w:ascii="Times New Roman" w:hAnsi="Times New Roman" w:cs="Times New Roman"/>
              </w:rPr>
              <w:t>87.13</w:t>
            </w:r>
          </w:p>
        </w:tc>
        <w:tc>
          <w:tcPr>
            <w:tcW w:w="683" w:type="pct"/>
            <w:vAlign w:val="center"/>
          </w:tcPr>
          <w:p>
            <w:pPr>
              <w:jc w:val="center"/>
              <w:rPr>
                <w:rFonts w:ascii="Times New Roman" w:hAnsi="Times New Roman" w:cs="Times New Roman"/>
              </w:rPr>
            </w:pPr>
            <w:r>
              <w:rPr>
                <w:rFonts w:ascii="Times New Roman" w:hAnsi="Times New Roman" w:cs="Times New Roman"/>
              </w:rPr>
              <w:t>10.83</w:t>
            </w:r>
          </w:p>
        </w:tc>
        <w:tc>
          <w:tcPr>
            <w:tcW w:w="625" w:type="pct"/>
            <w:vAlign w:val="center"/>
          </w:tcPr>
          <w:p>
            <w:pPr>
              <w:jc w:val="center"/>
              <w:rPr>
                <w:rFonts w:ascii="Times New Roman" w:hAnsi="Times New Roman" w:cs="Times New Roman"/>
              </w:rPr>
            </w:pPr>
            <w:r>
              <w:rPr>
                <w:rFonts w:ascii="Times New Roman" w:hAnsi="Times New Roman" w:cs="Times New Roman"/>
              </w:rPr>
              <w:t>-0.03</w:t>
            </w:r>
          </w:p>
        </w:tc>
        <w:tc>
          <w:tcPr>
            <w:tcW w:w="570" w:type="pct"/>
            <w:vAlign w:val="center"/>
          </w:tcPr>
          <w:p>
            <w:pPr>
              <w:jc w:val="center"/>
              <w:rPr>
                <w:rFonts w:ascii="Times New Roman" w:hAnsi="Times New Roman" w:cs="Times New Roman"/>
              </w:rPr>
            </w:pPr>
            <w:r>
              <w:rPr>
                <w:rFonts w:ascii="Times New Roman" w:hAnsi="Times New Roman" w:cs="Times New Roman"/>
              </w:rPr>
              <w:t>2.00</w:t>
            </w:r>
          </w:p>
        </w:tc>
        <w:tc>
          <w:tcPr>
            <w:tcW w:w="597" w:type="pct"/>
            <w:vAlign w:val="center"/>
          </w:tcPr>
          <w:p>
            <w:pPr>
              <w:jc w:val="center"/>
              <w:rPr>
                <w:rFonts w:ascii="Times New Roman" w:hAnsi="Times New Roman" w:cs="Times New Roman"/>
              </w:rPr>
            </w:pPr>
            <w:r>
              <w:rPr>
                <w:rFonts w:ascii="Times New Roman" w:hAnsi="Times New Roman" w:cs="Times New Roman"/>
              </w:rPr>
              <w:t>4.56</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SZCOMP</w:t>
            </w:r>
          </w:p>
        </w:tc>
        <w:tc>
          <w:tcPr>
            <w:tcW w:w="426" w:type="pct"/>
            <w:vAlign w:val="center"/>
          </w:tcPr>
          <w:p>
            <w:pPr>
              <w:jc w:val="center"/>
              <w:rPr>
                <w:rFonts w:ascii="Times New Roman" w:hAnsi="Times New Roman" w:cs="Times New Roman"/>
              </w:rPr>
            </w:pPr>
            <w:r>
              <w:rPr>
                <w:rFonts w:ascii="Times New Roman" w:hAnsi="Times New Roman" w:cs="Times New Roman"/>
              </w:rPr>
              <w:t>9.19</w:t>
            </w:r>
          </w:p>
        </w:tc>
        <w:tc>
          <w:tcPr>
            <w:tcW w:w="683" w:type="pct"/>
            <w:vAlign w:val="center"/>
          </w:tcPr>
          <w:p>
            <w:pPr>
              <w:jc w:val="center"/>
              <w:rPr>
                <w:rFonts w:ascii="Times New Roman" w:hAnsi="Times New Roman" w:cs="Times New Roman"/>
              </w:rPr>
            </w:pPr>
            <w:r>
              <w:rPr>
                <w:rFonts w:ascii="Times New Roman" w:hAnsi="Times New Roman" w:cs="Times New Roman"/>
              </w:rPr>
              <w:t>0.17</w:t>
            </w:r>
          </w:p>
        </w:tc>
        <w:tc>
          <w:tcPr>
            <w:tcW w:w="625" w:type="pct"/>
            <w:vAlign w:val="center"/>
          </w:tcPr>
          <w:p>
            <w:pPr>
              <w:jc w:val="center"/>
              <w:rPr>
                <w:rFonts w:ascii="Times New Roman" w:hAnsi="Times New Roman" w:cs="Times New Roman"/>
              </w:rPr>
            </w:pPr>
            <w:r>
              <w:rPr>
                <w:rFonts w:ascii="Times New Roman" w:hAnsi="Times New Roman" w:cs="Times New Roman"/>
              </w:rPr>
              <w:t>0.47</w:t>
            </w:r>
          </w:p>
        </w:tc>
        <w:tc>
          <w:tcPr>
            <w:tcW w:w="570" w:type="pct"/>
            <w:vAlign w:val="center"/>
          </w:tcPr>
          <w:p>
            <w:pPr>
              <w:jc w:val="center"/>
              <w:rPr>
                <w:rFonts w:ascii="Times New Roman" w:hAnsi="Times New Roman" w:cs="Times New Roman"/>
              </w:rPr>
            </w:pPr>
            <w:r>
              <w:rPr>
                <w:rFonts w:ascii="Times New Roman" w:hAnsi="Times New Roman" w:cs="Times New Roman"/>
              </w:rPr>
              <w:t>1.98</w:t>
            </w:r>
          </w:p>
        </w:tc>
        <w:tc>
          <w:tcPr>
            <w:tcW w:w="597" w:type="pct"/>
            <w:vAlign w:val="center"/>
          </w:tcPr>
          <w:p>
            <w:pPr>
              <w:jc w:val="center"/>
              <w:rPr>
                <w:rFonts w:ascii="Times New Roman" w:hAnsi="Times New Roman" w:cs="Times New Roman"/>
              </w:rPr>
            </w:pPr>
            <w:r>
              <w:rPr>
                <w:rFonts w:ascii="Times New Roman" w:hAnsi="Times New Roman" w:cs="Times New Roman"/>
              </w:rPr>
              <w:t>8.77</w:t>
            </w:r>
          </w:p>
        </w:tc>
        <w:tc>
          <w:tcPr>
            <w:tcW w:w="597" w:type="pct"/>
            <w:vAlign w:val="center"/>
          </w:tcPr>
          <w:p>
            <w:pPr>
              <w:jc w:val="center"/>
              <w:rPr>
                <w:rFonts w:ascii="Times New Roman" w:hAnsi="Times New Roman" w:cs="Times New Roman"/>
              </w:rPr>
            </w:pPr>
            <w:r>
              <w:rPr>
                <w:rFonts w:ascii="Times New Roman" w:hAnsi="Times New Roman" w:cs="Times New Roman"/>
              </w:rPr>
              <w:t>0.53</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SHCOMP</w:t>
            </w:r>
          </w:p>
        </w:tc>
        <w:tc>
          <w:tcPr>
            <w:tcW w:w="426" w:type="pct"/>
            <w:vAlign w:val="center"/>
          </w:tcPr>
          <w:p>
            <w:pPr>
              <w:jc w:val="center"/>
              <w:rPr>
                <w:rFonts w:ascii="Times New Roman" w:hAnsi="Times New Roman" w:cs="Times New Roman"/>
              </w:rPr>
            </w:pPr>
            <w:r>
              <w:rPr>
                <w:rFonts w:ascii="Times New Roman" w:hAnsi="Times New Roman" w:cs="Times New Roman"/>
              </w:rPr>
              <w:t>7.91</w:t>
            </w:r>
          </w:p>
        </w:tc>
        <w:tc>
          <w:tcPr>
            <w:tcW w:w="683" w:type="pct"/>
            <w:vAlign w:val="center"/>
          </w:tcPr>
          <w:p>
            <w:pPr>
              <w:jc w:val="center"/>
              <w:rPr>
                <w:rFonts w:ascii="Times New Roman" w:hAnsi="Times New Roman" w:cs="Times New Roman"/>
              </w:rPr>
            </w:pPr>
            <w:r>
              <w:rPr>
                <w:rFonts w:ascii="Times New Roman" w:hAnsi="Times New Roman" w:cs="Times New Roman"/>
              </w:rPr>
              <w:t>0.19</w:t>
            </w:r>
          </w:p>
        </w:tc>
        <w:tc>
          <w:tcPr>
            <w:tcW w:w="625" w:type="pct"/>
            <w:vAlign w:val="center"/>
          </w:tcPr>
          <w:p>
            <w:pPr>
              <w:jc w:val="center"/>
              <w:rPr>
                <w:rFonts w:ascii="Times New Roman" w:hAnsi="Times New Roman" w:cs="Times New Roman"/>
              </w:rPr>
            </w:pPr>
            <w:r>
              <w:rPr>
                <w:rFonts w:ascii="Times New Roman" w:hAnsi="Times New Roman" w:cs="Times New Roman"/>
              </w:rPr>
              <w:t>0.12</w:t>
            </w:r>
          </w:p>
        </w:tc>
        <w:tc>
          <w:tcPr>
            <w:tcW w:w="570" w:type="pct"/>
            <w:vAlign w:val="center"/>
          </w:tcPr>
          <w:p>
            <w:pPr>
              <w:jc w:val="center"/>
              <w:rPr>
                <w:rFonts w:ascii="Times New Roman" w:hAnsi="Times New Roman" w:cs="Times New Roman"/>
              </w:rPr>
            </w:pPr>
            <w:r>
              <w:rPr>
                <w:rFonts w:ascii="Times New Roman" w:hAnsi="Times New Roman" w:cs="Times New Roman"/>
              </w:rPr>
              <w:t>2.74</w:t>
            </w:r>
          </w:p>
        </w:tc>
        <w:tc>
          <w:tcPr>
            <w:tcW w:w="597" w:type="pct"/>
            <w:vAlign w:val="center"/>
          </w:tcPr>
          <w:p>
            <w:pPr>
              <w:jc w:val="center"/>
              <w:rPr>
                <w:rFonts w:ascii="Times New Roman" w:hAnsi="Times New Roman" w:cs="Times New Roman"/>
              </w:rPr>
            </w:pPr>
            <w:r>
              <w:rPr>
                <w:rFonts w:ascii="Times New Roman" w:hAnsi="Times New Roman" w:cs="Times New Roman"/>
              </w:rPr>
              <w:t>0.57</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GEPU</w:t>
            </w:r>
          </w:p>
        </w:tc>
        <w:tc>
          <w:tcPr>
            <w:tcW w:w="426" w:type="pct"/>
            <w:vAlign w:val="center"/>
          </w:tcPr>
          <w:p>
            <w:pPr>
              <w:jc w:val="center"/>
              <w:rPr>
                <w:rFonts w:ascii="Times New Roman" w:hAnsi="Times New Roman" w:cs="Times New Roman"/>
              </w:rPr>
            </w:pPr>
            <w:r>
              <w:rPr>
                <w:rFonts w:ascii="Times New Roman" w:hAnsi="Times New Roman" w:cs="Times New Roman"/>
              </w:rPr>
              <w:t>5.03</w:t>
            </w:r>
          </w:p>
        </w:tc>
        <w:tc>
          <w:tcPr>
            <w:tcW w:w="683" w:type="pct"/>
            <w:vAlign w:val="center"/>
          </w:tcPr>
          <w:p>
            <w:pPr>
              <w:jc w:val="center"/>
              <w:rPr>
                <w:rFonts w:ascii="Times New Roman" w:hAnsi="Times New Roman" w:cs="Times New Roman"/>
              </w:rPr>
            </w:pPr>
            <w:r>
              <w:rPr>
                <w:rFonts w:ascii="Times New Roman" w:hAnsi="Times New Roman" w:cs="Times New Roman"/>
              </w:rPr>
              <w:t>0.31</w:t>
            </w:r>
          </w:p>
        </w:tc>
        <w:tc>
          <w:tcPr>
            <w:tcW w:w="625" w:type="pct"/>
            <w:vAlign w:val="center"/>
          </w:tcPr>
          <w:p>
            <w:pPr>
              <w:jc w:val="center"/>
              <w:rPr>
                <w:rFonts w:ascii="Times New Roman" w:hAnsi="Times New Roman" w:cs="Times New Roman"/>
              </w:rPr>
            </w:pPr>
            <w:r>
              <w:rPr>
                <w:rFonts w:ascii="Times New Roman" w:hAnsi="Times New Roman" w:cs="Times New Roman"/>
              </w:rPr>
              <w:t>0.33</w:t>
            </w:r>
          </w:p>
        </w:tc>
        <w:tc>
          <w:tcPr>
            <w:tcW w:w="570" w:type="pct"/>
            <w:vAlign w:val="center"/>
          </w:tcPr>
          <w:p>
            <w:pPr>
              <w:jc w:val="center"/>
              <w:rPr>
                <w:rFonts w:ascii="Times New Roman" w:hAnsi="Times New Roman" w:cs="Times New Roman"/>
              </w:rPr>
            </w:pPr>
            <w:r>
              <w:rPr>
                <w:rFonts w:ascii="Times New Roman" w:hAnsi="Times New Roman" w:cs="Times New Roman"/>
              </w:rPr>
              <w:t>2.30</w:t>
            </w:r>
          </w:p>
        </w:tc>
        <w:tc>
          <w:tcPr>
            <w:tcW w:w="597" w:type="pct"/>
            <w:vAlign w:val="center"/>
          </w:tcPr>
          <w:p>
            <w:pPr>
              <w:jc w:val="center"/>
              <w:rPr>
                <w:rFonts w:ascii="Times New Roman" w:hAnsi="Times New Roman" w:cs="Times New Roman"/>
              </w:rPr>
            </w:pPr>
            <w:r>
              <w:rPr>
                <w:rFonts w:ascii="Times New Roman" w:hAnsi="Times New Roman" w:cs="Times New Roman"/>
              </w:rPr>
              <w:t>4.31</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CEPU</w:t>
            </w:r>
          </w:p>
        </w:tc>
        <w:tc>
          <w:tcPr>
            <w:tcW w:w="426" w:type="pct"/>
            <w:vAlign w:val="center"/>
          </w:tcPr>
          <w:p>
            <w:pPr>
              <w:jc w:val="center"/>
              <w:rPr>
                <w:rFonts w:ascii="Times New Roman" w:hAnsi="Times New Roman" w:cs="Times New Roman"/>
              </w:rPr>
            </w:pPr>
            <w:r>
              <w:rPr>
                <w:rFonts w:ascii="Times New Roman" w:hAnsi="Times New Roman" w:cs="Times New Roman"/>
              </w:rPr>
              <w:t>5.47</w:t>
            </w:r>
          </w:p>
        </w:tc>
        <w:tc>
          <w:tcPr>
            <w:tcW w:w="683" w:type="pct"/>
            <w:vAlign w:val="center"/>
          </w:tcPr>
          <w:p>
            <w:pPr>
              <w:jc w:val="center"/>
              <w:rPr>
                <w:rFonts w:ascii="Times New Roman" w:hAnsi="Times New Roman" w:cs="Times New Roman"/>
              </w:rPr>
            </w:pPr>
            <w:r>
              <w:rPr>
                <w:rFonts w:ascii="Times New Roman" w:hAnsi="Times New Roman" w:cs="Times New Roman"/>
              </w:rPr>
              <w:t>0.78</w:t>
            </w:r>
          </w:p>
        </w:tc>
        <w:tc>
          <w:tcPr>
            <w:tcW w:w="625" w:type="pct"/>
            <w:vAlign w:val="center"/>
          </w:tcPr>
          <w:p>
            <w:pPr>
              <w:jc w:val="center"/>
              <w:rPr>
                <w:rFonts w:ascii="Times New Roman" w:hAnsi="Times New Roman" w:cs="Times New Roman"/>
              </w:rPr>
            </w:pPr>
            <w:r>
              <w:rPr>
                <w:rFonts w:ascii="Times New Roman" w:hAnsi="Times New Roman" w:cs="Times New Roman"/>
              </w:rPr>
              <w:t>0.63</w:t>
            </w:r>
          </w:p>
        </w:tc>
        <w:tc>
          <w:tcPr>
            <w:tcW w:w="570" w:type="pct"/>
            <w:vAlign w:val="center"/>
          </w:tcPr>
          <w:p>
            <w:pPr>
              <w:jc w:val="center"/>
              <w:rPr>
                <w:rFonts w:ascii="Times New Roman" w:hAnsi="Times New Roman" w:cs="Times New Roman"/>
              </w:rPr>
            </w:pPr>
            <w:r>
              <w:rPr>
                <w:rFonts w:ascii="Times New Roman" w:hAnsi="Times New Roman" w:cs="Times New Roman"/>
              </w:rPr>
              <w:t>3.62</w:t>
            </w:r>
          </w:p>
        </w:tc>
        <w:tc>
          <w:tcPr>
            <w:tcW w:w="597" w:type="pct"/>
            <w:vAlign w:val="center"/>
          </w:tcPr>
          <w:p>
            <w:pPr>
              <w:jc w:val="center"/>
              <w:rPr>
                <w:rFonts w:ascii="Times New Roman" w:hAnsi="Times New Roman" w:cs="Times New Roman"/>
              </w:rPr>
            </w:pPr>
            <w:r>
              <w:rPr>
                <w:rFonts w:ascii="Times New Roman" w:hAnsi="Times New Roman" w:cs="Times New Roman"/>
              </w:rPr>
              <w:t>9.20</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AEPU</w:t>
            </w:r>
          </w:p>
        </w:tc>
        <w:tc>
          <w:tcPr>
            <w:tcW w:w="426" w:type="pct"/>
            <w:vAlign w:val="center"/>
          </w:tcPr>
          <w:p>
            <w:pPr>
              <w:jc w:val="center"/>
              <w:rPr>
                <w:rFonts w:ascii="Times New Roman" w:hAnsi="Times New Roman" w:cs="Times New Roman"/>
              </w:rPr>
            </w:pPr>
            <w:r>
              <w:rPr>
                <w:rFonts w:ascii="Times New Roman" w:hAnsi="Times New Roman" w:cs="Times New Roman"/>
              </w:rPr>
              <w:t>4.81</w:t>
            </w:r>
          </w:p>
        </w:tc>
        <w:tc>
          <w:tcPr>
            <w:tcW w:w="683" w:type="pct"/>
            <w:vAlign w:val="center"/>
          </w:tcPr>
          <w:p>
            <w:pPr>
              <w:jc w:val="center"/>
              <w:rPr>
                <w:rFonts w:ascii="Times New Roman" w:hAnsi="Times New Roman" w:cs="Times New Roman"/>
              </w:rPr>
            </w:pPr>
            <w:r>
              <w:rPr>
                <w:rFonts w:ascii="Times New Roman" w:hAnsi="Times New Roman" w:cs="Times New Roman"/>
              </w:rPr>
              <w:t>0.26</w:t>
            </w:r>
          </w:p>
        </w:tc>
        <w:tc>
          <w:tcPr>
            <w:tcW w:w="625" w:type="pct"/>
            <w:vAlign w:val="center"/>
          </w:tcPr>
          <w:p>
            <w:pPr>
              <w:jc w:val="center"/>
              <w:rPr>
                <w:rFonts w:ascii="Times New Roman" w:hAnsi="Times New Roman" w:cs="Times New Roman"/>
              </w:rPr>
            </w:pPr>
            <w:r>
              <w:rPr>
                <w:rFonts w:ascii="Times New Roman" w:hAnsi="Times New Roman" w:cs="Times New Roman"/>
              </w:rPr>
              <w:t>0.49</w:t>
            </w:r>
          </w:p>
        </w:tc>
        <w:tc>
          <w:tcPr>
            <w:tcW w:w="570" w:type="pct"/>
            <w:vAlign w:val="center"/>
          </w:tcPr>
          <w:p>
            <w:pPr>
              <w:jc w:val="center"/>
              <w:rPr>
                <w:rFonts w:ascii="Times New Roman" w:hAnsi="Times New Roman" w:cs="Times New Roman"/>
              </w:rPr>
            </w:pPr>
            <w:r>
              <w:rPr>
                <w:rFonts w:ascii="Times New Roman" w:hAnsi="Times New Roman" w:cs="Times New Roman"/>
              </w:rPr>
              <w:t>1.81</w:t>
            </w:r>
          </w:p>
        </w:tc>
        <w:tc>
          <w:tcPr>
            <w:tcW w:w="597" w:type="pct"/>
            <w:vAlign w:val="center"/>
          </w:tcPr>
          <w:p>
            <w:pPr>
              <w:jc w:val="center"/>
              <w:rPr>
                <w:rFonts w:ascii="Times New Roman" w:hAnsi="Times New Roman" w:cs="Times New Roman"/>
              </w:rPr>
            </w:pPr>
            <w:r>
              <w:rPr>
                <w:rFonts w:ascii="Times New Roman" w:hAnsi="Times New Roman" w:cs="Times New Roman"/>
              </w:rPr>
              <w:t>10.70</w:t>
            </w:r>
          </w:p>
        </w:tc>
        <w:tc>
          <w:tcPr>
            <w:tcW w:w="597" w:type="pct"/>
            <w:vAlign w:val="center"/>
          </w:tcPr>
          <w:p>
            <w:pPr>
              <w:jc w:val="center"/>
              <w:rPr>
                <w:rFonts w:ascii="Times New Roman" w:hAnsi="Times New Roman" w:cs="Times New Roman"/>
              </w:rPr>
            </w:pPr>
            <w:r>
              <w:rPr>
                <w:rFonts w:ascii="Times New Roman" w:hAnsi="Times New Roman" w:cs="Times New Roman"/>
              </w:rPr>
              <w:t>0.04</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AEPU-NI</w:t>
            </w:r>
          </w:p>
        </w:tc>
        <w:tc>
          <w:tcPr>
            <w:tcW w:w="426" w:type="pct"/>
            <w:vAlign w:val="center"/>
          </w:tcPr>
          <w:p>
            <w:pPr>
              <w:jc w:val="center"/>
              <w:rPr>
                <w:rFonts w:ascii="Times New Roman" w:hAnsi="Times New Roman" w:cs="Times New Roman"/>
              </w:rPr>
            </w:pPr>
            <w:r>
              <w:rPr>
                <w:rFonts w:ascii="Times New Roman" w:hAnsi="Times New Roman" w:cs="Times New Roman"/>
              </w:rPr>
              <w:t>4.92</w:t>
            </w:r>
          </w:p>
        </w:tc>
        <w:tc>
          <w:tcPr>
            <w:tcW w:w="683" w:type="pct"/>
            <w:vAlign w:val="center"/>
          </w:tcPr>
          <w:p>
            <w:pPr>
              <w:jc w:val="center"/>
              <w:rPr>
                <w:rFonts w:ascii="Times New Roman" w:hAnsi="Times New Roman" w:cs="Times New Roman"/>
              </w:rPr>
            </w:pPr>
            <w:r>
              <w:rPr>
                <w:rFonts w:ascii="Times New Roman" w:hAnsi="Times New Roman" w:cs="Times New Roman"/>
              </w:rPr>
              <w:t>0.31</w:t>
            </w:r>
          </w:p>
        </w:tc>
        <w:tc>
          <w:tcPr>
            <w:tcW w:w="625" w:type="pct"/>
            <w:vAlign w:val="center"/>
          </w:tcPr>
          <w:p>
            <w:pPr>
              <w:jc w:val="center"/>
              <w:rPr>
                <w:rFonts w:ascii="Times New Roman" w:hAnsi="Times New Roman" w:cs="Times New Roman"/>
              </w:rPr>
            </w:pPr>
            <w:r>
              <w:rPr>
                <w:rFonts w:ascii="Times New Roman" w:hAnsi="Times New Roman" w:cs="Times New Roman"/>
              </w:rPr>
              <w:t>0.29</w:t>
            </w:r>
          </w:p>
        </w:tc>
        <w:tc>
          <w:tcPr>
            <w:tcW w:w="570" w:type="pct"/>
            <w:vAlign w:val="center"/>
          </w:tcPr>
          <w:p>
            <w:pPr>
              <w:jc w:val="center"/>
              <w:rPr>
                <w:rFonts w:ascii="Times New Roman" w:hAnsi="Times New Roman" w:cs="Times New Roman"/>
              </w:rPr>
            </w:pPr>
            <w:r>
              <w:rPr>
                <w:rFonts w:ascii="Times New Roman" w:hAnsi="Times New Roman" w:cs="Times New Roman"/>
              </w:rPr>
              <w:t>1.91</w:t>
            </w:r>
          </w:p>
        </w:tc>
        <w:tc>
          <w:tcPr>
            <w:tcW w:w="597" w:type="pct"/>
            <w:vAlign w:val="center"/>
          </w:tcPr>
          <w:p>
            <w:pPr>
              <w:jc w:val="center"/>
              <w:rPr>
                <w:rFonts w:ascii="Times New Roman" w:hAnsi="Times New Roman" w:cs="Times New Roman"/>
              </w:rPr>
            </w:pPr>
            <w:r>
              <w:rPr>
                <w:rFonts w:ascii="Times New Roman" w:hAnsi="Times New Roman" w:cs="Times New Roman"/>
              </w:rPr>
              <w:t>6.98</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CLI_China</w:t>
            </w:r>
          </w:p>
        </w:tc>
        <w:tc>
          <w:tcPr>
            <w:tcW w:w="426" w:type="pct"/>
            <w:vAlign w:val="center"/>
          </w:tcPr>
          <w:p>
            <w:pPr>
              <w:jc w:val="center"/>
              <w:rPr>
                <w:rFonts w:ascii="Times New Roman" w:hAnsi="Times New Roman" w:cs="Times New Roman"/>
              </w:rPr>
            </w:pPr>
            <w:r>
              <w:rPr>
                <w:rFonts w:ascii="Times New Roman" w:hAnsi="Times New Roman" w:cs="Times New Roman"/>
              </w:rPr>
              <w:t>99.92</w:t>
            </w:r>
          </w:p>
        </w:tc>
        <w:tc>
          <w:tcPr>
            <w:tcW w:w="683" w:type="pct"/>
            <w:vAlign w:val="center"/>
          </w:tcPr>
          <w:p>
            <w:pPr>
              <w:jc w:val="center"/>
              <w:rPr>
                <w:rFonts w:ascii="Times New Roman" w:hAnsi="Times New Roman" w:cs="Times New Roman"/>
              </w:rPr>
            </w:pPr>
            <w:r>
              <w:rPr>
                <w:rFonts w:ascii="Times New Roman" w:hAnsi="Times New Roman" w:cs="Times New Roman"/>
              </w:rPr>
              <w:t>0.95</w:t>
            </w:r>
          </w:p>
        </w:tc>
        <w:tc>
          <w:tcPr>
            <w:tcW w:w="625" w:type="pct"/>
            <w:vAlign w:val="center"/>
          </w:tcPr>
          <w:p>
            <w:pPr>
              <w:jc w:val="center"/>
              <w:rPr>
                <w:rFonts w:ascii="Times New Roman" w:hAnsi="Times New Roman" w:cs="Times New Roman"/>
              </w:rPr>
            </w:pPr>
            <w:r>
              <w:rPr>
                <w:rFonts w:ascii="Times New Roman" w:hAnsi="Times New Roman" w:cs="Times New Roman"/>
              </w:rPr>
              <w:t>0.80</w:t>
            </w:r>
          </w:p>
        </w:tc>
        <w:tc>
          <w:tcPr>
            <w:tcW w:w="570" w:type="pct"/>
            <w:vAlign w:val="center"/>
          </w:tcPr>
          <w:p>
            <w:pPr>
              <w:jc w:val="center"/>
              <w:rPr>
                <w:rFonts w:ascii="Times New Roman" w:hAnsi="Times New Roman" w:cs="Times New Roman"/>
              </w:rPr>
            </w:pPr>
            <w:r>
              <w:rPr>
                <w:rFonts w:ascii="Times New Roman" w:hAnsi="Times New Roman" w:cs="Times New Roman"/>
              </w:rPr>
              <w:t>2.84</w:t>
            </w:r>
          </w:p>
        </w:tc>
        <w:tc>
          <w:tcPr>
            <w:tcW w:w="597" w:type="pct"/>
            <w:vAlign w:val="center"/>
          </w:tcPr>
          <w:p>
            <w:pPr>
              <w:jc w:val="center"/>
              <w:rPr>
                <w:rFonts w:ascii="Times New Roman" w:hAnsi="Times New Roman" w:cs="Times New Roman"/>
              </w:rPr>
            </w:pPr>
            <w:r>
              <w:rPr>
                <w:rFonts w:ascii="Times New Roman" w:hAnsi="Times New Roman" w:cs="Times New Roman"/>
              </w:rPr>
              <w:t>11.87</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CLI_US</w:t>
            </w:r>
          </w:p>
        </w:tc>
        <w:tc>
          <w:tcPr>
            <w:tcW w:w="426" w:type="pct"/>
            <w:vAlign w:val="center"/>
          </w:tcPr>
          <w:p>
            <w:pPr>
              <w:jc w:val="center"/>
              <w:rPr>
                <w:rFonts w:ascii="Times New Roman" w:hAnsi="Times New Roman" w:cs="Times New Roman"/>
              </w:rPr>
            </w:pPr>
            <w:r>
              <w:rPr>
                <w:rFonts w:ascii="Times New Roman" w:hAnsi="Times New Roman" w:cs="Times New Roman"/>
              </w:rPr>
              <w:t>100.00</w:t>
            </w:r>
          </w:p>
        </w:tc>
        <w:tc>
          <w:tcPr>
            <w:tcW w:w="683" w:type="pct"/>
            <w:vAlign w:val="center"/>
          </w:tcPr>
          <w:p>
            <w:pPr>
              <w:jc w:val="center"/>
              <w:rPr>
                <w:rFonts w:ascii="Times New Roman" w:hAnsi="Times New Roman" w:cs="Times New Roman"/>
              </w:rPr>
            </w:pPr>
            <w:r>
              <w:rPr>
                <w:rFonts w:ascii="Times New Roman" w:hAnsi="Times New Roman" w:cs="Times New Roman"/>
              </w:rPr>
              <w:t>0.61</w:t>
            </w:r>
          </w:p>
        </w:tc>
        <w:tc>
          <w:tcPr>
            <w:tcW w:w="625" w:type="pct"/>
            <w:vAlign w:val="center"/>
          </w:tcPr>
          <w:p>
            <w:pPr>
              <w:jc w:val="center"/>
              <w:rPr>
                <w:rFonts w:ascii="Times New Roman" w:hAnsi="Times New Roman" w:cs="Times New Roman"/>
              </w:rPr>
            </w:pPr>
            <w:r>
              <w:rPr>
                <w:rFonts w:ascii="Times New Roman" w:hAnsi="Times New Roman" w:cs="Times New Roman"/>
              </w:rPr>
              <w:t>0.53</w:t>
            </w:r>
          </w:p>
        </w:tc>
        <w:tc>
          <w:tcPr>
            <w:tcW w:w="570" w:type="pct"/>
            <w:vAlign w:val="center"/>
          </w:tcPr>
          <w:p>
            <w:pPr>
              <w:jc w:val="center"/>
              <w:rPr>
                <w:rFonts w:ascii="Times New Roman" w:hAnsi="Times New Roman" w:cs="Times New Roman"/>
              </w:rPr>
            </w:pPr>
            <w:r>
              <w:rPr>
                <w:rFonts w:ascii="Times New Roman" w:hAnsi="Times New Roman" w:cs="Times New Roman"/>
              </w:rPr>
              <w:t>2.00</w:t>
            </w:r>
          </w:p>
        </w:tc>
        <w:tc>
          <w:tcPr>
            <w:tcW w:w="597" w:type="pct"/>
            <w:vAlign w:val="center"/>
          </w:tcPr>
          <w:p>
            <w:pPr>
              <w:jc w:val="center"/>
              <w:rPr>
                <w:rFonts w:ascii="Times New Roman" w:hAnsi="Times New Roman" w:cs="Times New Roman"/>
              </w:rPr>
            </w:pPr>
            <w:r>
              <w:rPr>
                <w:rFonts w:ascii="Times New Roman" w:hAnsi="Times New Roman" w:cs="Times New Roman"/>
              </w:rPr>
              <w:t>9.69</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CLI_Global</w:t>
            </w:r>
          </w:p>
        </w:tc>
        <w:tc>
          <w:tcPr>
            <w:tcW w:w="426" w:type="pct"/>
            <w:vAlign w:val="center"/>
          </w:tcPr>
          <w:p>
            <w:pPr>
              <w:jc w:val="center"/>
              <w:rPr>
                <w:rFonts w:ascii="Times New Roman" w:hAnsi="Times New Roman" w:cs="Times New Roman"/>
              </w:rPr>
            </w:pPr>
            <w:r>
              <w:rPr>
                <w:rFonts w:ascii="Times New Roman" w:hAnsi="Times New Roman" w:cs="Times New Roman"/>
              </w:rPr>
              <w:t>100.07</w:t>
            </w:r>
          </w:p>
        </w:tc>
        <w:tc>
          <w:tcPr>
            <w:tcW w:w="683" w:type="pct"/>
            <w:vAlign w:val="center"/>
          </w:tcPr>
          <w:p>
            <w:pPr>
              <w:jc w:val="center"/>
              <w:rPr>
                <w:rFonts w:ascii="Times New Roman" w:hAnsi="Times New Roman" w:cs="Times New Roman"/>
              </w:rPr>
            </w:pPr>
            <w:r>
              <w:rPr>
                <w:rFonts w:ascii="Times New Roman" w:hAnsi="Times New Roman" w:cs="Times New Roman"/>
              </w:rPr>
              <w:t>0.58</w:t>
            </w:r>
          </w:p>
        </w:tc>
        <w:tc>
          <w:tcPr>
            <w:tcW w:w="625" w:type="pct"/>
            <w:vAlign w:val="center"/>
          </w:tcPr>
          <w:p>
            <w:pPr>
              <w:jc w:val="center"/>
              <w:rPr>
                <w:rFonts w:ascii="Times New Roman" w:hAnsi="Times New Roman" w:cs="Times New Roman"/>
              </w:rPr>
            </w:pPr>
            <w:r>
              <w:rPr>
                <w:rFonts w:ascii="Times New Roman" w:hAnsi="Times New Roman" w:cs="Times New Roman"/>
              </w:rPr>
              <w:t>0.37</w:t>
            </w:r>
          </w:p>
        </w:tc>
        <w:tc>
          <w:tcPr>
            <w:tcW w:w="570" w:type="pct"/>
            <w:vAlign w:val="center"/>
          </w:tcPr>
          <w:p>
            <w:pPr>
              <w:jc w:val="center"/>
              <w:rPr>
                <w:rFonts w:ascii="Times New Roman" w:hAnsi="Times New Roman" w:cs="Times New Roman"/>
              </w:rPr>
            </w:pPr>
            <w:r>
              <w:rPr>
                <w:rFonts w:ascii="Times New Roman" w:hAnsi="Times New Roman" w:cs="Times New Roman"/>
              </w:rPr>
              <w:t>1.60</w:t>
            </w:r>
          </w:p>
        </w:tc>
        <w:tc>
          <w:tcPr>
            <w:tcW w:w="597" w:type="pct"/>
            <w:vAlign w:val="center"/>
          </w:tcPr>
          <w:p>
            <w:pPr>
              <w:jc w:val="center"/>
              <w:rPr>
                <w:rFonts w:ascii="Times New Roman" w:hAnsi="Times New Roman" w:cs="Times New Roman"/>
              </w:rPr>
            </w:pPr>
            <w:r>
              <w:rPr>
                <w:rFonts w:ascii="Times New Roman" w:hAnsi="Times New Roman" w:cs="Times New Roman"/>
              </w:rPr>
              <w:t>11.43</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BI</w:t>
            </w:r>
          </w:p>
        </w:tc>
        <w:tc>
          <w:tcPr>
            <w:tcW w:w="426" w:type="pct"/>
            <w:vAlign w:val="center"/>
          </w:tcPr>
          <w:p>
            <w:pPr>
              <w:jc w:val="center"/>
              <w:rPr>
                <w:rFonts w:ascii="Times New Roman" w:hAnsi="Times New Roman" w:cs="Times New Roman"/>
              </w:rPr>
            </w:pPr>
            <w:r>
              <w:rPr>
                <w:rFonts w:ascii="Times New Roman" w:hAnsi="Times New Roman" w:cs="Times New Roman"/>
              </w:rPr>
              <w:t>8.33</w:t>
            </w:r>
          </w:p>
        </w:tc>
        <w:tc>
          <w:tcPr>
            <w:tcW w:w="683" w:type="pct"/>
            <w:vAlign w:val="center"/>
          </w:tcPr>
          <w:p>
            <w:pPr>
              <w:jc w:val="center"/>
              <w:rPr>
                <w:rFonts w:ascii="Times New Roman" w:hAnsi="Times New Roman" w:cs="Times New Roman"/>
              </w:rPr>
            </w:pPr>
            <w:r>
              <w:rPr>
                <w:rFonts w:ascii="Times New Roman" w:hAnsi="Times New Roman" w:cs="Times New Roman"/>
              </w:rPr>
              <w:t>0.64</w:t>
            </w:r>
          </w:p>
        </w:tc>
        <w:tc>
          <w:tcPr>
            <w:tcW w:w="625" w:type="pct"/>
            <w:vAlign w:val="center"/>
          </w:tcPr>
          <w:p>
            <w:pPr>
              <w:jc w:val="center"/>
              <w:rPr>
                <w:rFonts w:ascii="Times New Roman" w:hAnsi="Times New Roman" w:cs="Times New Roman"/>
              </w:rPr>
            </w:pPr>
            <w:r>
              <w:rPr>
                <w:rFonts w:ascii="Times New Roman" w:hAnsi="Times New Roman" w:cs="Times New Roman"/>
              </w:rPr>
              <w:t>0.21</w:t>
            </w:r>
          </w:p>
        </w:tc>
        <w:tc>
          <w:tcPr>
            <w:tcW w:w="570" w:type="pct"/>
            <w:vAlign w:val="center"/>
          </w:tcPr>
          <w:p>
            <w:pPr>
              <w:jc w:val="center"/>
              <w:rPr>
                <w:rFonts w:ascii="Times New Roman" w:hAnsi="Times New Roman" w:cs="Times New Roman"/>
              </w:rPr>
            </w:pPr>
            <w:r>
              <w:rPr>
                <w:rFonts w:ascii="Times New Roman" w:hAnsi="Times New Roman" w:cs="Times New Roman"/>
              </w:rPr>
              <w:t>2.23</w:t>
            </w:r>
          </w:p>
        </w:tc>
        <w:tc>
          <w:tcPr>
            <w:tcW w:w="597" w:type="pct"/>
            <w:vAlign w:val="center"/>
          </w:tcPr>
          <w:p>
            <w:pPr>
              <w:jc w:val="center"/>
              <w:rPr>
                <w:rFonts w:ascii="Times New Roman" w:hAnsi="Times New Roman" w:cs="Times New Roman"/>
              </w:rPr>
            </w:pPr>
            <w:r>
              <w:rPr>
                <w:rFonts w:ascii="Times New Roman" w:hAnsi="Times New Roman" w:cs="Times New Roman"/>
              </w:rPr>
              <w:t>3.45</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683" w:type="pct"/>
            <w:vAlign w:val="center"/>
          </w:tcPr>
          <w:p>
            <w:pPr>
              <w:jc w:val="center"/>
              <w:rPr>
                <w:rFonts w:ascii="Times New Roman" w:hAnsi="Times New Roman" w:cs="Times New Roman"/>
                <w:b/>
                <w:bCs/>
              </w:rPr>
            </w:pPr>
            <w:r>
              <w:rPr>
                <w:rFonts w:ascii="Times New Roman" w:hAnsi="Times New Roman" w:cs="Times New Roman"/>
                <w:b/>
                <w:bCs/>
              </w:rPr>
              <w:t>GT</w:t>
            </w:r>
          </w:p>
        </w:tc>
        <w:tc>
          <w:tcPr>
            <w:tcW w:w="426" w:type="pct"/>
            <w:vAlign w:val="center"/>
          </w:tcPr>
          <w:p>
            <w:pPr>
              <w:jc w:val="center"/>
              <w:rPr>
                <w:rFonts w:ascii="Times New Roman" w:hAnsi="Times New Roman" w:cs="Times New Roman"/>
              </w:rPr>
            </w:pPr>
            <w:r>
              <w:rPr>
                <w:rFonts w:ascii="Times New Roman" w:hAnsi="Times New Roman" w:cs="Times New Roman"/>
              </w:rPr>
              <w:t>42.07</w:t>
            </w:r>
          </w:p>
        </w:tc>
        <w:tc>
          <w:tcPr>
            <w:tcW w:w="683" w:type="pct"/>
            <w:vAlign w:val="center"/>
          </w:tcPr>
          <w:p>
            <w:pPr>
              <w:jc w:val="center"/>
              <w:rPr>
                <w:rFonts w:ascii="Times New Roman" w:hAnsi="Times New Roman" w:cs="Times New Roman"/>
              </w:rPr>
            </w:pPr>
            <w:r>
              <w:rPr>
                <w:rFonts w:ascii="Times New Roman" w:hAnsi="Times New Roman" w:cs="Times New Roman"/>
              </w:rPr>
              <w:t>11.10</w:t>
            </w:r>
          </w:p>
        </w:tc>
        <w:tc>
          <w:tcPr>
            <w:tcW w:w="625" w:type="pct"/>
            <w:vAlign w:val="center"/>
          </w:tcPr>
          <w:p>
            <w:pPr>
              <w:jc w:val="center"/>
              <w:rPr>
                <w:rFonts w:ascii="Times New Roman" w:hAnsi="Times New Roman" w:cs="Times New Roman"/>
              </w:rPr>
            </w:pPr>
            <w:r>
              <w:rPr>
                <w:rFonts w:ascii="Times New Roman" w:hAnsi="Times New Roman" w:cs="Times New Roman"/>
              </w:rPr>
              <w:t>0.44</w:t>
            </w:r>
          </w:p>
        </w:tc>
        <w:tc>
          <w:tcPr>
            <w:tcW w:w="570" w:type="pct"/>
            <w:vAlign w:val="center"/>
          </w:tcPr>
          <w:p>
            <w:pPr>
              <w:jc w:val="center"/>
              <w:rPr>
                <w:rFonts w:ascii="Times New Roman" w:hAnsi="Times New Roman" w:cs="Times New Roman"/>
              </w:rPr>
            </w:pPr>
            <w:r>
              <w:rPr>
                <w:rFonts w:ascii="Times New Roman" w:hAnsi="Times New Roman" w:cs="Times New Roman"/>
              </w:rPr>
              <w:t>2.32</w:t>
            </w:r>
          </w:p>
        </w:tc>
        <w:tc>
          <w:tcPr>
            <w:tcW w:w="597" w:type="pct"/>
            <w:vAlign w:val="center"/>
          </w:tcPr>
          <w:p>
            <w:pPr>
              <w:jc w:val="center"/>
              <w:rPr>
                <w:rFonts w:ascii="Times New Roman" w:hAnsi="Times New Roman" w:cs="Times New Roman"/>
              </w:rPr>
            </w:pPr>
            <w:r>
              <w:rPr>
                <w:rFonts w:ascii="Times New Roman" w:hAnsi="Times New Roman" w:cs="Times New Roman"/>
              </w:rPr>
              <w:t>5.67</w:t>
            </w:r>
          </w:p>
        </w:tc>
        <w:tc>
          <w:tcPr>
            <w:tcW w:w="597" w:type="pct"/>
            <w:vAlign w:val="center"/>
          </w:tcPr>
          <w:p>
            <w:pPr>
              <w:jc w:val="center"/>
              <w:rPr>
                <w:rFonts w:ascii="Times New Roman" w:hAnsi="Times New Roman" w:cs="Times New Roman"/>
              </w:rPr>
            </w:pPr>
            <w:r>
              <w:rPr>
                <w:rFonts w:ascii="Times New Roman" w:hAnsi="Times New Roman" w:cs="Times New Roman"/>
              </w:rPr>
              <w:t>0.00</w:t>
            </w:r>
          </w:p>
        </w:tc>
        <w:tc>
          <w:tcPr>
            <w:tcW w:w="819" w:type="pct"/>
            <w:vAlign w:val="center"/>
          </w:tcPr>
          <w:p>
            <w:pPr>
              <w:jc w:val="center"/>
              <w:rPr>
                <w:rFonts w:ascii="Times New Roman" w:hAnsi="Times New Roman" w:cs="Times New Roman"/>
              </w:rPr>
            </w:pPr>
            <w:r>
              <w:rPr>
                <w:rFonts w:ascii="Times New Roman" w:hAnsi="Times New Roman" w:cs="Times New Roman"/>
              </w:rPr>
              <w:t>109</w:t>
            </w:r>
          </w:p>
        </w:tc>
      </w:tr>
    </w:tbl>
    <w:p>
      <w:pPr>
        <w:rPr>
          <w:rFonts w:ascii="Times New Roman" w:hAnsi="Times New Roman" w:cs="Times New Roman"/>
        </w:rPr>
      </w:pP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sz w:val="24"/>
        </w:rPr>
        <w:t>L</w:t>
      </w:r>
      <w:r>
        <w:rPr>
          <w:rFonts w:hint="eastAsia" w:ascii="Times New Roman" w:hAnsi="Times New Roman" w:cs="Times New Roman"/>
          <w:sz w:val="24"/>
        </w:rPr>
        <w:t>ASSO</w:t>
      </w:r>
      <w:r>
        <w:rPr>
          <w:rFonts w:ascii="Times New Roman" w:hAnsi="Times New Roman" w:cs="Times New Roman"/>
          <w:sz w:val="24"/>
        </w:rPr>
        <w:t xml:space="preserve"> is used to select variables. Former 80% of data (</w:t>
      </w:r>
      <w:r>
        <w:rPr>
          <w:rFonts w:ascii="Times New Roman" w:hAnsi="Times New Roman" w:cs="Times New Roman"/>
          <w:color w:val="202122"/>
          <w:sz w:val="24"/>
          <w:shd w:val="clear" w:color="auto" w:fill="FFFFFF"/>
        </w:rPr>
        <w:t xml:space="preserve">from January 2011 to February 2020) are used to select variables. As a penalty is added to the residual sum of square, some variables’ coefficients shrink to zero, which can be illustrated in Figure 4. Eventually, six variables are selected: FER, DXY, S&amp;P, GEPU, CEPU, and BI. </w:t>
      </w:r>
    </w:p>
    <w:p>
      <w:pPr>
        <w:spacing w:line="360" w:lineRule="auto"/>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drawing>
          <wp:inline distT="0" distB="0" distL="0" distR="0">
            <wp:extent cx="4471670" cy="3238500"/>
            <wp:effectExtent l="0" t="0" r="508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pic:cNvPicPr>
                  </pic:nvPicPr>
                  <pic:blipFill>
                    <a:blip r:embed="rId9"/>
                    <a:stretch>
                      <a:fillRect/>
                    </a:stretch>
                  </pic:blipFill>
                  <pic:spPr>
                    <a:xfrm>
                      <a:off x="0" y="0"/>
                      <a:ext cx="4485552" cy="3248326"/>
                    </a:xfrm>
                    <a:prstGeom prst="rect">
                      <a:avLst/>
                    </a:prstGeom>
                  </pic:spPr>
                </pic:pic>
              </a:graphicData>
            </a:graphic>
          </wp:inline>
        </w:drawing>
      </w: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The coefficients of different variables for LASSO</w:t>
      </w:r>
    </w:p>
    <w:p/>
    <w:p>
      <w:pPr>
        <w:pStyle w:val="21"/>
        <w:spacing w:before="156" w:beforeLines="50" w:line="360" w:lineRule="auto"/>
        <w:ind w:left="0" w:leftChars="0"/>
        <w:outlineLvl w:val="1"/>
        <w:rPr>
          <w:rFonts w:ascii="Times New Roman" w:hAnsi="Times New Roman" w:cs="Times New Roman"/>
          <w:b/>
          <w:bCs/>
          <w:i/>
          <w:iCs/>
          <w:sz w:val="24"/>
        </w:rPr>
      </w:pPr>
      <w:bookmarkStart w:id="24" w:name="_Toc114151817"/>
      <w:r>
        <w:rPr>
          <w:rFonts w:ascii="Times New Roman" w:hAnsi="Times New Roman" w:cs="Times New Roman"/>
          <w:b/>
          <w:bCs/>
          <w:i/>
          <w:iCs/>
          <w:sz w:val="24"/>
        </w:rPr>
        <w:t>4.2 Evaluation Criteria</w:t>
      </w:r>
      <w:bookmarkEnd w:id="24"/>
    </w:p>
    <w:p>
      <w:pPr>
        <w:spacing w:line="360" w:lineRule="auto"/>
        <w:ind w:firstLine="420"/>
        <w:rPr>
          <w:rFonts w:ascii="Times New Roman" w:hAnsi="Times New Roman" w:cs="Times New Roman"/>
          <w:sz w:val="24"/>
        </w:rPr>
      </w:pPr>
      <w:r>
        <w:rPr>
          <w:rFonts w:ascii="Times New Roman" w:hAnsi="Times New Roman" w:cs="Times New Roman"/>
          <w:sz w:val="24"/>
        </w:rPr>
        <w:t xml:space="preserve">Five machine learning approaches are used to make comparisons, including SVR, ELM, LSTM, BiLSTM, and KELM to find a model with strong predictive power. </w:t>
      </w:r>
    </w:p>
    <w:p>
      <w:pPr>
        <w:spacing w:line="360" w:lineRule="auto"/>
        <w:ind w:firstLine="420"/>
        <w:rPr>
          <w:rFonts w:ascii="Times New Roman" w:hAnsi="Times New Roman" w:cs="Times New Roman"/>
          <w:sz w:val="24"/>
        </w:rPr>
      </w:pPr>
      <w:r>
        <w:rPr>
          <w:rFonts w:ascii="Times New Roman" w:hAnsi="Times New Roman" w:cs="Times New Roman"/>
          <w:sz w:val="24"/>
        </w:rPr>
        <w:t>Meanwhile, three methods are used to evaluate the level of forecasting accuracy, including MAE, RMSE, and MDA. Here are the following formulas:</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t>MAE=</w:t>
      </w:r>
      <m:oMath>
        <m:f>
          <m:fPr>
            <m:ctrlPr>
              <w:rPr>
                <w:rFonts w:ascii="Cambria Math" w:hAnsi="Cambria Math" w:cs="Times New Roman"/>
                <w:i/>
                <w:sz w:val="24"/>
              </w:rPr>
            </m:ctrlPr>
          </m:fPr>
          <m:num>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d>
                  <m:dPr>
                    <m:begChr m:val="|"/>
                    <m:endChr m:val="|"/>
                    <m:ctrlPr>
                      <w:rPr>
                        <w:rFonts w:ascii="Cambria Math" w:hAnsi="Cambria Math" w:cs="Times New Roman"/>
                        <w:i/>
                        <w:sz w:val="24"/>
                      </w:rPr>
                    </m:ctrlPr>
                  </m:dPr>
                  <m:e>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ctrlPr>
                          <w:rPr>
                            <w:rFonts w:ascii="Cambria Math" w:hAnsi="Cambria Math" w:cs="Times New Roman"/>
                            <w:i/>
                            <w:sz w:val="24"/>
                          </w:rPr>
                        </m:ctrlPr>
                      </m:e>
                    </m:acc>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(21)</w:t>
      </w:r>
    </w:p>
    <w:p>
      <w:pPr>
        <w:spacing w:line="360" w:lineRule="auto"/>
        <w:jc w:val="center"/>
        <w:rPr>
          <w:rFonts w:ascii="Times New Roman" w:hAnsi="Cambria Math" w:cs="Times New Roman"/>
          <w:sz w:val="24"/>
        </w:rPr>
      </w:pPr>
      <w:r>
        <w:rPr>
          <w:rFonts w:ascii="Times New Roman" w:hAnsi="Times New Roman" w:eastAsia="宋体" w:cs="Times New Roman"/>
          <w:sz w:val="24"/>
        </w:rPr>
        <w:t>RMSE=</w:t>
      </w:r>
      <m:oMath>
        <m:rad>
          <m:radPr>
            <m:degHide m:val="1"/>
            <m:ctrlPr>
              <w:rPr>
                <w:rFonts w:ascii="Cambria Math" w:hAnsi="Cambria Math" w:cs="Times New Roman"/>
                <w:i/>
                <w:sz w:val="24"/>
              </w:rPr>
            </m:ctrlPr>
          </m:radPr>
          <m:deg>
            <m:ctrlPr>
              <w:rPr>
                <w:rFonts w:ascii="Cambria Math" w:hAnsi="Cambria Math" w:cs="Times New Roman"/>
                <w:i/>
                <w:sz w:val="24"/>
              </w:rPr>
            </m:ctrlPr>
          </m:deg>
          <m:e>
            <m:f>
              <m:fPr>
                <m:ctrlPr>
                  <w:rPr>
                    <w:rFonts w:ascii="Cambria Math" w:hAnsi="Cambria Math" w:cs="Times New Roman"/>
                    <w:i/>
                    <w:sz w:val="24"/>
                  </w:rPr>
                </m:ctrlPr>
              </m:fPr>
              <m:num>
                <m:r>
                  <m:rPr/>
                  <w:rPr>
                    <w:rFonts w:ascii="Cambria Math" w:hAnsi="Cambria Math" w:eastAsia="宋体" w:cs="Times New Roman"/>
                    <w:sz w:val="24"/>
                  </w:rPr>
                  <m:t>1</m:t>
                </m:r>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cs="Times New Roman"/>
                        <w:i/>
                        <w:sz w:val="24"/>
                      </w:rPr>
                    </m:ctrlPr>
                  </m:e>
                  <m:sup>
                    <m:r>
                      <m:rPr/>
                      <w:rPr>
                        <w:rFonts w:ascii="Cambria Math" w:hAnsi="Cambria Math" w:eastAsia="宋体" w:cs="Times New Roman"/>
                        <w:sz w:val="24"/>
                      </w:rPr>
                      <m:t>2</m:t>
                    </m:r>
                    <m:ctrlPr>
                      <w:rPr>
                        <w:rFonts w:ascii="Cambria Math" w:hAnsi="Cambria Math" w:cs="Times New Roman"/>
                        <w:i/>
                        <w:sz w:val="24"/>
                      </w:rPr>
                    </m:ctrlPr>
                  </m:sup>
                </m:sSup>
                <m:ctrlPr>
                  <w:rPr>
                    <w:rFonts w:ascii="Cambria Math" w:hAnsi="Cambria Math" w:cs="Times New Roman"/>
                    <w:i/>
                    <w:sz w:val="24"/>
                  </w:rPr>
                </m:ctrlPr>
              </m:e>
            </m:nary>
            <m:ctrlPr>
              <w:rPr>
                <w:rFonts w:ascii="Cambria Math" w:hAnsi="Cambria Math" w:cs="Times New Roman"/>
                <w:i/>
                <w:sz w:val="24"/>
              </w:rPr>
            </m:ctrlPr>
          </m:e>
        </m:rad>
      </m:oMath>
      <w:r>
        <w:rPr>
          <w:rFonts w:ascii="Times New Roman" w:hAnsi="Cambria Math" w:cs="Times New Roman"/>
          <w:sz w:val="24"/>
        </w:rPr>
        <w:tab/>
      </w:r>
      <w:r>
        <w:rPr>
          <w:rFonts w:ascii="Times New Roman" w:hAnsi="Cambria Math" w:cs="Times New Roman"/>
          <w:sz w:val="24"/>
        </w:rPr>
        <w:t>(22)</w:t>
      </w:r>
    </w:p>
    <w:p>
      <w:pPr>
        <w:spacing w:line="360" w:lineRule="auto"/>
        <w:jc w:val="center"/>
        <w:rPr>
          <w:rFonts w:ascii="Times New Roman" w:hAnsi="Times New Roman" w:eastAsia="宋体" w:cs="Times New Roman"/>
          <w:color w:val="FF0000"/>
          <w:sz w:val="24"/>
        </w:rPr>
      </w:pPr>
      <m:oMath>
        <m:r>
          <m:rPr/>
          <w:rPr>
            <w:rFonts w:ascii="Cambria Math" w:hAnsi="Cambria Math" w:eastAsia="宋体" w:cs="Times New Roman"/>
            <w:color w:val="FF0000"/>
            <w:sz w:val="24"/>
          </w:rPr>
          <m:t>MDA=</m:t>
        </m:r>
        <m:f>
          <m:fPr>
            <m:ctrlPr>
              <w:rPr>
                <w:rFonts w:ascii="Cambria Math" w:hAnsi="Cambria Math" w:eastAsia="宋体" w:cs="Times New Roman"/>
                <w:i/>
                <w:color w:val="FF0000"/>
                <w:sz w:val="24"/>
              </w:rPr>
            </m:ctrlPr>
          </m:fPr>
          <m:num>
            <m:r>
              <m:rPr/>
              <w:rPr>
                <w:rFonts w:ascii="Cambria Math" w:hAnsi="Cambria Math" w:eastAsia="宋体" w:cs="Times New Roman"/>
                <w:color w:val="FF0000"/>
                <w:sz w:val="24"/>
              </w:rPr>
              <m:t>1</m:t>
            </m:r>
            <m:ctrlPr>
              <w:rPr>
                <w:rFonts w:ascii="Cambria Math" w:hAnsi="Cambria Math" w:eastAsia="宋体" w:cs="Times New Roman"/>
                <w:i/>
                <w:color w:val="FF0000"/>
                <w:sz w:val="24"/>
              </w:rPr>
            </m:ctrlPr>
          </m:num>
          <m:den>
            <m:r>
              <m:rPr/>
              <w:rPr>
                <w:rFonts w:ascii="Cambria Math" w:hAnsi="Cambria Math" w:eastAsia="宋体" w:cs="Times New Roman"/>
                <w:color w:val="FF0000"/>
                <w:sz w:val="24"/>
              </w:rPr>
              <m:t>n</m:t>
            </m:r>
            <m:ctrlPr>
              <w:rPr>
                <w:rFonts w:ascii="Cambria Math" w:hAnsi="Cambria Math" w:eastAsia="宋体" w:cs="Times New Roman"/>
                <w:i/>
                <w:color w:val="FF0000"/>
                <w:sz w:val="24"/>
              </w:rPr>
            </m:ctrlPr>
          </m:den>
        </m:f>
        <m:nary>
          <m:naryPr>
            <m:chr m:val="∑"/>
            <m:limLoc m:val="undOvr"/>
            <m:supHide m:val="1"/>
            <m:ctrlPr>
              <w:rPr>
                <w:rFonts w:ascii="Cambria Math" w:hAnsi="Cambria Math" w:eastAsia="宋体" w:cs="Times New Roman"/>
                <w:i/>
                <w:color w:val="FF0000"/>
                <w:sz w:val="24"/>
              </w:rPr>
            </m:ctrlPr>
          </m:naryPr>
          <m:sub>
            <m:r>
              <m:rPr/>
              <w:rPr>
                <w:rFonts w:ascii="Cambria Math" w:hAnsi="Cambria Math" w:eastAsia="宋体" w:cs="Times New Roman"/>
                <w:color w:val="FF0000"/>
                <w:sz w:val="24"/>
              </w:rPr>
              <m:t>t</m:t>
            </m:r>
            <m:ctrlPr>
              <w:rPr>
                <w:rFonts w:ascii="Cambria Math" w:hAnsi="Cambria Math" w:eastAsia="宋体" w:cs="Times New Roman"/>
                <w:i/>
                <w:color w:val="FF0000"/>
                <w:sz w:val="24"/>
              </w:rPr>
            </m:ctrlPr>
          </m:sub>
          <m:sup>
            <m:ctrlPr>
              <w:rPr>
                <w:rFonts w:ascii="Cambria Math" w:hAnsi="Cambria Math" w:eastAsia="宋体" w:cs="Times New Roman"/>
                <w:i/>
                <w:color w:val="FF0000"/>
                <w:sz w:val="24"/>
              </w:rPr>
            </m:ctrlPr>
          </m:sup>
          <m:e>
            <m:sSub>
              <m:sSubPr>
                <m:ctrlPr>
                  <w:rPr>
                    <w:rFonts w:ascii="Cambria Math" w:hAnsi="Cambria Math" w:eastAsia="宋体" w:cs="Times New Roman"/>
                    <w:i/>
                    <w:color w:val="FF0000"/>
                    <w:sz w:val="24"/>
                  </w:rPr>
                </m:ctrlPr>
              </m:sSubPr>
              <m:e>
                <m:r>
                  <m:rPr/>
                  <w:rPr>
                    <w:rFonts w:ascii="Cambria Math" w:hAnsi="Cambria Math" w:eastAsia="宋体" w:cs="Times New Roman"/>
                    <w:color w:val="FF0000"/>
                    <w:sz w:val="24"/>
                  </w:rPr>
                  <m:t>1</m:t>
                </m:r>
                <m:ctrlPr>
                  <w:rPr>
                    <w:rFonts w:ascii="Cambria Math" w:hAnsi="Cambria Math" w:eastAsia="宋体" w:cs="Times New Roman"/>
                    <w:i/>
                    <w:color w:val="FF0000"/>
                    <w:sz w:val="24"/>
                  </w:rPr>
                </m:ctrlPr>
              </m:e>
              <m:sub>
                <m:r>
                  <m:rPr/>
                  <w:rPr>
                    <w:rFonts w:ascii="Cambria Math" w:hAnsi="Cambria Math" w:eastAsia="宋体" w:cs="Times New Roman"/>
                    <w:color w:val="FF0000"/>
                    <w:sz w:val="24"/>
                  </w:rPr>
                  <m:t>sign</m:t>
                </m:r>
                <m:d>
                  <m:dPr>
                    <m:ctrlPr>
                      <w:rPr>
                        <w:rFonts w:ascii="Cambria Math" w:hAnsi="Cambria Math" w:eastAsia="宋体" w:cs="Times New Roman"/>
                        <w:i/>
                        <w:color w:val="FF0000"/>
                        <w:sz w:val="24"/>
                      </w:rPr>
                    </m:ctrlPr>
                  </m:dPr>
                  <m:e>
                    <m:sSub>
                      <m:sSubPr>
                        <m:ctrlPr>
                          <w:rPr>
                            <w:rFonts w:ascii="Cambria Math" w:hAnsi="Cambria Math" w:eastAsia="宋体" w:cs="Times New Roman"/>
                            <w:i/>
                            <w:color w:val="FF0000"/>
                            <w:sz w:val="24"/>
                          </w:rPr>
                        </m:ctrlPr>
                      </m:sSubPr>
                      <m:e>
                        <m:r>
                          <m:rPr/>
                          <w:rPr>
                            <w:rFonts w:ascii="Cambria Math" w:hAnsi="Cambria Math" w:eastAsia="宋体" w:cs="Times New Roman"/>
                            <w:color w:val="FF0000"/>
                            <w:sz w:val="24"/>
                          </w:rPr>
                          <m:t>Y</m:t>
                        </m:r>
                        <m:ctrlPr>
                          <w:rPr>
                            <w:rFonts w:ascii="Cambria Math" w:hAnsi="Cambria Math" w:eastAsia="宋体" w:cs="Times New Roman"/>
                            <w:i/>
                            <w:color w:val="FF0000"/>
                            <w:sz w:val="24"/>
                          </w:rPr>
                        </m:ctrlPr>
                      </m:e>
                      <m:sub>
                        <m:r>
                          <m:rPr/>
                          <w:rPr>
                            <w:rFonts w:ascii="Cambria Math" w:hAnsi="Cambria Math" w:eastAsia="宋体" w:cs="Times New Roman"/>
                            <w:color w:val="FF0000"/>
                            <w:sz w:val="24"/>
                          </w:rPr>
                          <m:t>t</m:t>
                        </m:r>
                        <m:ctrlPr>
                          <w:rPr>
                            <w:rFonts w:ascii="Cambria Math" w:hAnsi="Cambria Math" w:eastAsia="宋体" w:cs="Times New Roman"/>
                            <w:i/>
                            <w:color w:val="FF0000"/>
                            <w:sz w:val="24"/>
                          </w:rPr>
                        </m:ctrlPr>
                      </m:sub>
                    </m:sSub>
                    <m:r>
                      <m:rPr/>
                      <w:rPr>
                        <w:rFonts w:ascii="Cambria Math" w:hAnsi="Cambria Math" w:eastAsia="宋体" w:cs="Times New Roman"/>
                        <w:color w:val="FF0000"/>
                        <w:sz w:val="24"/>
                      </w:rPr>
                      <m:t>−</m:t>
                    </m:r>
                    <m:sSub>
                      <m:sSubPr>
                        <m:ctrlPr>
                          <w:rPr>
                            <w:rFonts w:ascii="Cambria Math" w:hAnsi="Cambria Math" w:eastAsia="宋体" w:cs="Times New Roman"/>
                            <w:i/>
                            <w:color w:val="FF0000"/>
                            <w:sz w:val="24"/>
                          </w:rPr>
                        </m:ctrlPr>
                      </m:sSubPr>
                      <m:e>
                        <m:r>
                          <m:rPr/>
                          <w:rPr>
                            <w:rFonts w:ascii="Cambria Math" w:hAnsi="Cambria Math" w:eastAsia="宋体" w:cs="Times New Roman"/>
                            <w:color w:val="FF0000"/>
                            <w:sz w:val="24"/>
                          </w:rPr>
                          <m:t>Y</m:t>
                        </m:r>
                        <m:ctrlPr>
                          <w:rPr>
                            <w:rFonts w:ascii="Cambria Math" w:hAnsi="Cambria Math" w:eastAsia="宋体" w:cs="Times New Roman"/>
                            <w:i/>
                            <w:color w:val="FF0000"/>
                            <w:sz w:val="24"/>
                          </w:rPr>
                        </m:ctrlPr>
                      </m:e>
                      <m:sub>
                        <m:r>
                          <m:rPr/>
                          <w:rPr>
                            <w:rFonts w:ascii="Cambria Math" w:hAnsi="Cambria Math" w:eastAsia="宋体" w:cs="Times New Roman"/>
                            <w:color w:val="FF0000"/>
                            <w:sz w:val="24"/>
                          </w:rPr>
                          <m:t>t−1</m:t>
                        </m:r>
                        <m:ctrlPr>
                          <w:rPr>
                            <w:rFonts w:ascii="Cambria Math" w:hAnsi="Cambria Math" w:eastAsia="宋体" w:cs="Times New Roman"/>
                            <w:i/>
                            <w:color w:val="FF0000"/>
                            <w:sz w:val="24"/>
                          </w:rPr>
                        </m:ctrlPr>
                      </m:sub>
                    </m:sSub>
                    <m:ctrlPr>
                      <w:rPr>
                        <w:rFonts w:ascii="Cambria Math" w:hAnsi="Cambria Math" w:eastAsia="宋体" w:cs="Times New Roman"/>
                        <w:i/>
                        <w:color w:val="FF0000"/>
                        <w:sz w:val="24"/>
                      </w:rPr>
                    </m:ctrlPr>
                  </m:e>
                </m:d>
                <m:r>
                  <m:rPr/>
                  <w:rPr>
                    <w:rFonts w:ascii="Cambria Math" w:hAnsi="Cambria Math" w:eastAsia="宋体" w:cs="Times New Roman"/>
                    <w:color w:val="FF0000"/>
                    <w:sz w:val="24"/>
                  </w:rPr>
                  <m:t>==sign(</m:t>
                </m:r>
                <m:acc>
                  <m:accPr>
                    <m:ctrlPr>
                      <w:rPr>
                        <w:rFonts w:ascii="Cambria Math" w:hAnsi="Cambria Math" w:eastAsia="宋体" w:cs="Times New Roman"/>
                        <w:i/>
                        <w:color w:val="FF0000"/>
                        <w:sz w:val="24"/>
                      </w:rPr>
                    </m:ctrlPr>
                  </m:accPr>
                  <m:e>
                    <m:sSub>
                      <m:sSubPr>
                        <m:ctrlPr>
                          <w:rPr>
                            <w:rFonts w:ascii="Cambria Math" w:hAnsi="Cambria Math" w:eastAsia="宋体" w:cs="Times New Roman"/>
                            <w:i/>
                            <w:color w:val="FF0000"/>
                            <w:sz w:val="24"/>
                          </w:rPr>
                        </m:ctrlPr>
                      </m:sSubPr>
                      <m:e>
                        <m:r>
                          <m:rPr/>
                          <w:rPr>
                            <w:rFonts w:ascii="Cambria Math" w:hAnsi="Cambria Math" w:eastAsia="宋体" w:cs="Times New Roman"/>
                            <w:color w:val="FF0000"/>
                            <w:sz w:val="24"/>
                          </w:rPr>
                          <m:t>Y</m:t>
                        </m:r>
                        <m:ctrlPr>
                          <w:rPr>
                            <w:rFonts w:ascii="Cambria Math" w:hAnsi="Cambria Math" w:eastAsia="宋体" w:cs="Times New Roman"/>
                            <w:i/>
                            <w:color w:val="FF0000"/>
                            <w:sz w:val="24"/>
                          </w:rPr>
                        </m:ctrlPr>
                      </m:e>
                      <m:sub>
                        <m:r>
                          <m:rPr/>
                          <w:rPr>
                            <w:rFonts w:ascii="Cambria Math" w:hAnsi="Cambria Math" w:eastAsia="宋体" w:cs="Times New Roman"/>
                            <w:color w:val="FF0000"/>
                            <w:sz w:val="24"/>
                          </w:rPr>
                          <m:t>t</m:t>
                        </m:r>
                        <m:ctrlPr>
                          <w:rPr>
                            <w:rFonts w:ascii="Cambria Math" w:hAnsi="Cambria Math" w:eastAsia="宋体" w:cs="Times New Roman"/>
                            <w:i/>
                            <w:color w:val="FF0000"/>
                            <w:sz w:val="24"/>
                          </w:rPr>
                        </m:ctrlPr>
                      </m:sub>
                    </m:sSub>
                    <m:ctrlPr>
                      <w:rPr>
                        <w:rFonts w:ascii="Cambria Math" w:hAnsi="Cambria Math" w:eastAsia="宋体" w:cs="Times New Roman"/>
                        <w:i/>
                        <w:color w:val="FF0000"/>
                        <w:sz w:val="24"/>
                      </w:rPr>
                    </m:ctrlPr>
                  </m:e>
                </m:acc>
                <m:r>
                  <m:rPr/>
                  <w:rPr>
                    <w:rFonts w:ascii="Cambria Math" w:hAnsi="Cambria Math" w:eastAsia="宋体" w:cs="Times New Roman"/>
                    <w:color w:val="FF0000"/>
                    <w:sz w:val="24"/>
                  </w:rPr>
                  <m:t>−</m:t>
                </m:r>
                <m:acc>
                  <m:accPr>
                    <m:ctrlPr>
                      <w:rPr>
                        <w:rFonts w:ascii="Cambria Math" w:hAnsi="Cambria Math" w:eastAsia="宋体" w:cs="Times New Roman"/>
                        <w:i/>
                        <w:color w:val="FF0000"/>
                        <w:sz w:val="24"/>
                      </w:rPr>
                    </m:ctrlPr>
                  </m:accPr>
                  <m:e>
                    <m:sSub>
                      <m:sSubPr>
                        <m:ctrlPr>
                          <w:rPr>
                            <w:rFonts w:ascii="Cambria Math" w:hAnsi="Cambria Math" w:eastAsia="宋体" w:cs="Times New Roman"/>
                            <w:i/>
                            <w:color w:val="FF0000"/>
                            <w:sz w:val="24"/>
                          </w:rPr>
                        </m:ctrlPr>
                      </m:sSubPr>
                      <m:e>
                        <m:r>
                          <m:rPr/>
                          <w:rPr>
                            <w:rFonts w:ascii="Cambria Math" w:hAnsi="Cambria Math" w:eastAsia="宋体" w:cs="Times New Roman"/>
                            <w:color w:val="FF0000"/>
                            <w:sz w:val="24"/>
                          </w:rPr>
                          <m:t>Y</m:t>
                        </m:r>
                        <m:ctrlPr>
                          <w:rPr>
                            <w:rFonts w:ascii="Cambria Math" w:hAnsi="Cambria Math" w:eastAsia="宋体" w:cs="Times New Roman"/>
                            <w:i/>
                            <w:color w:val="FF0000"/>
                            <w:sz w:val="24"/>
                          </w:rPr>
                        </m:ctrlPr>
                      </m:e>
                      <m:sub>
                        <m:r>
                          <m:rPr/>
                          <w:rPr>
                            <w:rFonts w:ascii="Cambria Math" w:hAnsi="Cambria Math" w:eastAsia="宋体" w:cs="Times New Roman"/>
                            <w:color w:val="FF0000"/>
                            <w:sz w:val="24"/>
                          </w:rPr>
                          <m:t>t−1</m:t>
                        </m:r>
                        <m:ctrlPr>
                          <w:rPr>
                            <w:rFonts w:ascii="Cambria Math" w:hAnsi="Cambria Math" w:eastAsia="宋体" w:cs="Times New Roman"/>
                            <w:i/>
                            <w:color w:val="FF0000"/>
                            <w:sz w:val="24"/>
                          </w:rPr>
                        </m:ctrlPr>
                      </m:sub>
                    </m:sSub>
                    <m:ctrlPr>
                      <w:rPr>
                        <w:rFonts w:ascii="Cambria Math" w:hAnsi="Cambria Math" w:eastAsia="宋体" w:cs="Times New Roman"/>
                        <w:i/>
                        <w:color w:val="FF0000"/>
                        <w:sz w:val="24"/>
                      </w:rPr>
                    </m:ctrlPr>
                  </m:e>
                </m:acc>
                <m:r>
                  <m:rPr/>
                  <w:rPr>
                    <w:rFonts w:ascii="Cambria Math" w:hAnsi="Cambria Math" w:eastAsia="宋体" w:cs="Times New Roman"/>
                    <w:color w:val="FF0000"/>
                    <w:sz w:val="24"/>
                  </w:rPr>
                  <m:t>)</m:t>
                </m:r>
                <m:ctrlPr>
                  <w:rPr>
                    <w:rFonts w:ascii="Cambria Math" w:hAnsi="Cambria Math" w:eastAsia="宋体" w:cs="Times New Roman"/>
                    <w:i/>
                    <w:color w:val="FF0000"/>
                    <w:sz w:val="24"/>
                  </w:rPr>
                </m:ctrlPr>
              </m:sub>
            </m:sSub>
            <m:ctrlPr>
              <w:rPr>
                <w:rFonts w:ascii="Cambria Math" w:hAnsi="Cambria Math" w:eastAsia="宋体" w:cs="Times New Roman"/>
                <w:i/>
                <w:color w:val="FF0000"/>
                <w:sz w:val="24"/>
              </w:rPr>
            </m:ctrlPr>
          </m:e>
        </m:nary>
      </m:oMath>
      <w:r>
        <w:rPr>
          <w:rFonts w:hint="eastAsia" w:ascii="Times New Roman" w:hAnsi="Times New Roman" w:eastAsia="宋体" w:cs="Times New Roman"/>
          <w:color w:val="FF0000"/>
          <w:sz w:val="24"/>
        </w:rPr>
        <w:t xml:space="preserve"> </w:t>
      </w:r>
      <w:r>
        <w:rPr>
          <w:rFonts w:ascii="Times New Roman" w:hAnsi="Times New Roman" w:eastAsia="宋体" w:cs="Times New Roman"/>
          <w:color w:val="FF0000"/>
          <w:sz w:val="24"/>
        </w:rPr>
        <w:t>(23)</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oMath>
      <w:r>
        <w:rPr>
          <w:rFonts w:ascii="Times New Roman" w:hAnsi="Times New Roman" w:cs="Times New Roman"/>
          <w:sz w:val="24"/>
        </w:rPr>
        <w:t xml:space="preserve"> and </w:t>
      </w:r>
      <m:oMath>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acc>
      </m:oMath>
      <w:r>
        <w:rPr>
          <w:rFonts w:ascii="Times New Roman" w:hAnsi="Times New Roman" w:eastAsia="宋体" w:cs="Times New Roman"/>
          <w:sz w:val="24"/>
        </w:rPr>
        <w:t xml:space="preserve"> </w:t>
      </w:r>
      <w:r>
        <w:rPr>
          <w:rFonts w:ascii="Times New Roman" w:hAnsi="Times New Roman" w:cs="Times New Roman"/>
          <w:sz w:val="24"/>
        </w:rPr>
        <w:t xml:space="preserve">stand for the actual value and forecast value at time t respectively, while n represents the number of observations. </w:t>
      </w:r>
      <w:r>
        <w:rPr>
          <w:rFonts w:hint="eastAsia" w:ascii="Times New Roman" w:hAnsi="Times New Roman" w:cs="Times New Roman"/>
          <w:color w:val="FF0000"/>
          <w:sz w:val="24"/>
        </w:rPr>
        <w:t xml:space="preserve">Smaller </w:t>
      </w:r>
      <w:r>
        <w:rPr>
          <w:rFonts w:ascii="Times New Roman" w:hAnsi="Times New Roman" w:cs="Times New Roman"/>
          <w:color w:val="FF0000"/>
          <w:sz w:val="24"/>
        </w:rPr>
        <w:t>MAE and RMSE</w:t>
      </w:r>
      <w:r>
        <w:rPr>
          <w:rFonts w:hint="eastAsia" w:ascii="Times New Roman" w:hAnsi="Times New Roman" w:cs="Times New Roman"/>
          <w:color w:val="FF0000"/>
          <w:sz w:val="24"/>
        </w:rPr>
        <w:t xml:space="preserve"> </w:t>
      </w:r>
      <w:r>
        <w:rPr>
          <w:rFonts w:ascii="Times New Roman" w:hAnsi="Times New Roman" w:cs="Times New Roman"/>
          <w:color w:val="FF0000"/>
          <w:sz w:val="24"/>
        </w:rPr>
        <w:t xml:space="preserve">values means less deviation between the actual value and the forecast value. </w:t>
      </w:r>
      <w:bookmarkStart w:id="25" w:name="_Toc114151818"/>
      <w:r>
        <w:rPr>
          <w:rFonts w:hint="eastAsia" w:ascii="Times New Roman" w:hAnsi="Times New Roman" w:cs="Times New Roman"/>
          <w:color w:val="FF0000"/>
          <w:sz w:val="24"/>
        </w:rPr>
        <w:t xml:space="preserve">Greater MDA means higher consistency between forecast and actual directions of the exchange rate. </w:t>
      </w:r>
    </w:p>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r>
        <w:rPr>
          <w:rFonts w:ascii="Times New Roman" w:hAnsi="Times New Roman" w:eastAsia="宋体"/>
          <w:b/>
          <w:bCs/>
          <w:color w:val="0E101A"/>
          <w:sz w:val="28"/>
          <w:szCs w:val="28"/>
        </w:rPr>
        <w:t>Performance comparison</w:t>
      </w:r>
      <w:bookmarkEnd w:id="25"/>
    </w:p>
    <w:p>
      <w:pPr>
        <w:pStyle w:val="21"/>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5.1 Forecasting Performance</w:t>
      </w:r>
    </w:p>
    <w:p>
      <w:pPr>
        <w:spacing w:line="360" w:lineRule="auto"/>
        <w:ind w:firstLine="420"/>
        <w:rPr>
          <w:rFonts w:ascii="Times New Roman" w:hAnsi="Times New Roman" w:cs="Times New Roman"/>
          <w:color w:val="FF0000"/>
          <w:sz w:val="24"/>
        </w:rPr>
      </w:pPr>
      <w:r>
        <w:rPr>
          <w:rFonts w:ascii="Times New Roman" w:hAnsi="Times New Roman" w:cs="Times New Roman"/>
          <w:sz w:val="24"/>
        </w:rPr>
        <w:t>This section discusses the forecasting accuracy of five machine learning approaches and LASSO-combining approaches. 1 step forecasting, 3 step forecasting, and 6 step forecasting are performed</w:t>
      </w:r>
      <w:r>
        <w:rPr>
          <w:rFonts w:hint="eastAsia" w:ascii="Times New Roman" w:hAnsi="Times New Roman" w:cs="Times New Roman"/>
          <w:sz w:val="24"/>
        </w:rPr>
        <w:t xml:space="preserve"> </w:t>
      </w:r>
      <w:r>
        <w:rPr>
          <w:rFonts w:ascii="Times New Roman" w:hAnsi="Times New Roman" w:cs="Times New Roman"/>
          <w:sz w:val="24"/>
        </w:rPr>
        <w:t xml:space="preserve">on </w:t>
      </w:r>
      <w:r>
        <w:rPr>
          <w:rFonts w:hint="eastAsia" w:ascii="Times New Roman" w:hAnsi="Times New Roman" w:cs="Times New Roman"/>
          <w:sz w:val="24"/>
        </w:rPr>
        <w:t>every</w:t>
      </w:r>
      <w:r>
        <w:rPr>
          <w:rFonts w:ascii="Times New Roman" w:hAnsi="Times New Roman" w:cs="Times New Roman"/>
          <w:sz w:val="24"/>
        </w:rPr>
        <w:t xml:space="preserve"> model.</w:t>
      </w:r>
      <w:r>
        <w:rPr>
          <w:rFonts w:ascii="Times New Roman" w:hAnsi="Times New Roman" w:cs="Times New Roman"/>
          <w:color w:val="FF0000"/>
          <w:sz w:val="24"/>
        </w:rPr>
        <w:t xml:space="preserve"> </w:t>
      </w:r>
      <w:r>
        <w:rPr>
          <w:rFonts w:hint="eastAsia" w:ascii="Times New Roman" w:hAnsi="Times New Roman" w:cs="Times New Roman"/>
          <w:color w:val="FF0000"/>
          <w:sz w:val="24"/>
        </w:rPr>
        <w:t>Performances are evaluated as below</w:t>
      </w:r>
      <w:r>
        <w:rPr>
          <w:rFonts w:ascii="Times New Roman" w:hAnsi="Times New Roman" w:cs="Times New Roman"/>
          <w:color w:val="FF0000"/>
          <w:sz w:val="24"/>
        </w:rPr>
        <w:t xml:space="preserve">. The runtime and memory usage for the 1-step forecasting </w:t>
      </w:r>
      <w:r>
        <w:rPr>
          <w:rFonts w:hint="eastAsia" w:ascii="Times New Roman" w:hAnsi="Times New Roman" w:cs="Times New Roman"/>
          <w:color w:val="FF0000"/>
          <w:sz w:val="24"/>
        </w:rPr>
        <w:t xml:space="preserve">are </w:t>
      </w:r>
      <w:r>
        <w:rPr>
          <w:rFonts w:ascii="Times New Roman" w:hAnsi="Times New Roman" w:cs="Times New Roman"/>
          <w:color w:val="FF0000"/>
          <w:sz w:val="24"/>
        </w:rPr>
        <w:t xml:space="preserve">shown in appendix 1 and appendix 2. </w:t>
      </w:r>
    </w:p>
    <w:p>
      <w:pPr>
        <w:spacing w:before="156" w:beforeLines="50" w:line="360" w:lineRule="auto"/>
        <w:ind w:firstLine="420"/>
        <w:rPr>
          <w:rFonts w:ascii="Times New Roman" w:hAnsi="Times New Roman" w:cs="Times New Roman"/>
          <w:color w:val="FF0000"/>
          <w:sz w:val="24"/>
          <w:szCs w:val="32"/>
        </w:rPr>
      </w:pPr>
      <w:r>
        <w:rPr>
          <w:rFonts w:ascii="Times New Roman" w:hAnsi="Times New Roman" w:cs="Times New Roman"/>
          <w:sz w:val="24"/>
        </w:rPr>
        <w:t xml:space="preserve">Table 5 illustrates the forecasting </w:t>
      </w:r>
      <w:r>
        <w:rPr>
          <w:rFonts w:hint="eastAsia" w:ascii="Times New Roman" w:hAnsi="Times New Roman" w:cs="Times New Roman"/>
          <w:sz w:val="24"/>
        </w:rPr>
        <w:t xml:space="preserve">error </w:t>
      </w:r>
      <w:r>
        <w:rPr>
          <w:rFonts w:ascii="Times New Roman" w:hAnsi="Times New Roman" w:cs="Times New Roman"/>
          <w:sz w:val="24"/>
        </w:rPr>
        <w:t xml:space="preserve">on 1-step forecasting. </w:t>
      </w:r>
      <w:r>
        <w:rPr>
          <w:rFonts w:hint="eastAsia" w:ascii="Times New Roman" w:hAnsi="Times New Roman" w:cs="Times New Roman"/>
          <w:sz w:val="24"/>
        </w:rPr>
        <w:t xml:space="preserve">Based on the table, </w:t>
      </w:r>
      <w:r>
        <w:rPr>
          <w:rFonts w:hint="eastAsia" w:ascii="Times New Roman" w:hAnsi="Times New Roman" w:cs="Times New Roman"/>
          <w:sz w:val="24"/>
          <w:szCs w:val="32"/>
        </w:rPr>
        <w:t xml:space="preserve">LASSO enhances the forecasting accuracy effectively </w:t>
      </w:r>
      <w:r>
        <w:rPr>
          <w:rFonts w:hint="eastAsia" w:ascii="Times New Roman" w:hAnsi="Times New Roman" w:cs="Times New Roman"/>
          <w:color w:val="FF0000"/>
          <w:sz w:val="24"/>
          <w:szCs w:val="32"/>
        </w:rPr>
        <w:t>since models with LASSO demonstrate significantly lower MAE and RMSE</w:t>
      </w:r>
      <w:r>
        <w:rPr>
          <w:rFonts w:hint="eastAsia" w:ascii="Times New Roman" w:hAnsi="Times New Roman" w:cs="Times New Roman"/>
          <w:sz w:val="24"/>
          <w:szCs w:val="32"/>
        </w:rPr>
        <w:t>.</w:t>
      </w:r>
      <w:r>
        <w:rPr>
          <w:rFonts w:ascii="Times New Roman" w:hAnsi="Times New Roman" w:cs="Times New Roman"/>
          <w:sz w:val="24"/>
          <w:szCs w:val="32"/>
        </w:rPr>
        <w:t xml:space="preserve"> </w:t>
      </w:r>
      <w:r>
        <w:rPr>
          <w:rFonts w:ascii="Times New Roman" w:hAnsi="Times New Roman" w:cs="Times New Roman"/>
          <w:color w:val="FF0000"/>
          <w:sz w:val="24"/>
          <w:szCs w:val="32"/>
        </w:rPr>
        <w:t xml:space="preserve">For instance, </w:t>
      </w:r>
      <w:r>
        <w:rPr>
          <w:rFonts w:hint="eastAsia" w:ascii="Times New Roman" w:hAnsi="Times New Roman" w:cs="Times New Roman"/>
          <w:color w:val="FF0000"/>
          <w:sz w:val="24"/>
          <w:szCs w:val="32"/>
        </w:rPr>
        <w:t>LSTM</w:t>
      </w:r>
      <w:r>
        <w:rPr>
          <w:rFonts w:ascii="Times New Roman" w:hAnsi="Times New Roman" w:cs="Times New Roman"/>
          <w:color w:val="FF0000"/>
          <w:sz w:val="24"/>
          <w:szCs w:val="32"/>
        </w:rPr>
        <w:t xml:space="preserve"> has </w:t>
      </w:r>
      <w:r>
        <w:rPr>
          <w:rFonts w:hint="eastAsia" w:ascii="Times New Roman" w:hAnsi="Times New Roman" w:cs="Times New Roman"/>
          <w:color w:val="FF0000"/>
          <w:sz w:val="24"/>
          <w:szCs w:val="32"/>
        </w:rPr>
        <w:t xml:space="preserve">0.337 </w:t>
      </w:r>
      <w:r>
        <w:rPr>
          <w:rFonts w:ascii="Times New Roman" w:hAnsi="Times New Roman" w:cs="Times New Roman"/>
          <w:color w:val="FF0000"/>
          <w:sz w:val="24"/>
          <w:szCs w:val="32"/>
        </w:rPr>
        <w:t xml:space="preserve">MAE and </w:t>
      </w:r>
      <w:r>
        <w:rPr>
          <w:rFonts w:hint="eastAsia" w:ascii="Times New Roman" w:hAnsi="Times New Roman" w:cs="Times New Roman"/>
          <w:color w:val="FF0000"/>
          <w:sz w:val="24"/>
          <w:szCs w:val="32"/>
        </w:rPr>
        <w:t xml:space="preserve">0.388 </w:t>
      </w:r>
      <w:r>
        <w:rPr>
          <w:rFonts w:ascii="Times New Roman" w:hAnsi="Times New Roman" w:cs="Times New Roman"/>
          <w:color w:val="FF0000"/>
          <w:sz w:val="24"/>
          <w:szCs w:val="32"/>
        </w:rPr>
        <w:t>RMSE</w:t>
      </w:r>
      <w:r>
        <w:rPr>
          <w:rFonts w:hint="eastAsia" w:ascii="Times New Roman" w:hAnsi="Times New Roman" w:cs="Times New Roman"/>
          <w:color w:val="FF0000"/>
          <w:sz w:val="24"/>
          <w:szCs w:val="32"/>
        </w:rPr>
        <w:t>, while</w:t>
      </w:r>
      <w:r>
        <w:rPr>
          <w:rFonts w:ascii="Times New Roman" w:hAnsi="Times New Roman" w:cs="Times New Roman"/>
          <w:color w:val="FF0000"/>
          <w:sz w:val="24"/>
          <w:szCs w:val="32"/>
        </w:rPr>
        <w:t xml:space="preserve"> </w:t>
      </w:r>
      <w:r>
        <w:rPr>
          <w:rFonts w:hint="eastAsia" w:ascii="Times New Roman" w:hAnsi="Times New Roman" w:cs="Times New Roman"/>
          <w:color w:val="FF0000"/>
          <w:sz w:val="24"/>
          <w:szCs w:val="32"/>
        </w:rPr>
        <w:t xml:space="preserve">after applying LASSO, MAE and RMSE decrease 0.23 and 0.237 respectively. </w:t>
      </w:r>
      <w:r>
        <w:rPr>
          <w:rFonts w:ascii="Times New Roman" w:hAnsi="Times New Roman" w:cs="Times New Roman"/>
          <w:color w:val="FF0000"/>
          <w:sz w:val="24"/>
        </w:rPr>
        <w:t xml:space="preserve">Moreover, </w:t>
      </w:r>
      <w:r>
        <w:rPr>
          <w:rFonts w:hint="eastAsia" w:ascii="Times New Roman" w:hAnsi="Times New Roman" w:cs="Times New Roman"/>
          <w:color w:val="FF0000"/>
          <w:sz w:val="24"/>
        </w:rPr>
        <w:t xml:space="preserve">BiLSTM-based model outperforms the other models. Without adopting LASSO, </w:t>
      </w:r>
      <w:r>
        <w:rPr>
          <w:rFonts w:ascii="Times New Roman" w:hAnsi="Times New Roman" w:cs="Times New Roman"/>
          <w:color w:val="FF0000"/>
          <w:sz w:val="24"/>
          <w:szCs w:val="32"/>
        </w:rPr>
        <w:t xml:space="preserve">BiLSTM obtains </w:t>
      </w:r>
      <w:r>
        <w:rPr>
          <w:rFonts w:hint="eastAsia" w:ascii="Times New Roman" w:hAnsi="Times New Roman" w:cs="Times New Roman"/>
          <w:color w:val="FF0000"/>
          <w:sz w:val="24"/>
          <w:szCs w:val="32"/>
        </w:rPr>
        <w:t>the smallest MAE and RMSE (</w:t>
      </w:r>
      <w:r>
        <w:rPr>
          <w:rFonts w:ascii="Times New Roman" w:hAnsi="Times New Roman" w:cs="Times New Roman"/>
          <w:color w:val="FF0000"/>
          <w:sz w:val="24"/>
          <w:szCs w:val="32"/>
        </w:rPr>
        <w:t>MAE</w:t>
      </w:r>
      <w:r>
        <w:rPr>
          <w:rFonts w:hint="eastAsia" w:ascii="Times New Roman" w:hAnsi="Times New Roman" w:cs="Times New Roman"/>
          <w:color w:val="FF0000"/>
          <w:sz w:val="24"/>
          <w:szCs w:val="32"/>
        </w:rPr>
        <w:t xml:space="preserve">:0.102, </w:t>
      </w:r>
      <w:r>
        <w:rPr>
          <w:rFonts w:ascii="Times New Roman" w:hAnsi="Times New Roman" w:cs="Times New Roman"/>
          <w:color w:val="FF0000"/>
          <w:sz w:val="24"/>
          <w:szCs w:val="32"/>
        </w:rPr>
        <w:t>RMSE</w:t>
      </w:r>
      <w:r>
        <w:rPr>
          <w:rFonts w:hint="eastAsia" w:ascii="Times New Roman" w:hAnsi="Times New Roman" w:cs="Times New Roman"/>
          <w:color w:val="FF0000"/>
          <w:sz w:val="24"/>
          <w:szCs w:val="32"/>
        </w:rPr>
        <w:t>:0.132)</w:t>
      </w:r>
      <w:r>
        <w:rPr>
          <w:rFonts w:ascii="Times New Roman" w:hAnsi="Times New Roman" w:cs="Times New Roman"/>
          <w:color w:val="FF0000"/>
          <w:sz w:val="24"/>
          <w:szCs w:val="32"/>
        </w:rPr>
        <w:t xml:space="preserve">. </w:t>
      </w:r>
      <w:r>
        <w:rPr>
          <w:rFonts w:hint="eastAsia" w:ascii="Times New Roman" w:hAnsi="Times New Roman" w:cs="Times New Roman"/>
          <w:color w:val="FF0000"/>
          <w:sz w:val="24"/>
          <w:szCs w:val="32"/>
        </w:rPr>
        <w:t xml:space="preserve">It </w:t>
      </w:r>
      <w:r>
        <w:rPr>
          <w:rFonts w:ascii="Times New Roman" w:hAnsi="Times New Roman" w:cs="Times New Roman"/>
          <w:color w:val="FF0000"/>
          <w:sz w:val="24"/>
          <w:szCs w:val="32"/>
        </w:rPr>
        <w:t xml:space="preserve">outperforms other models </w:t>
      </w:r>
      <w:r>
        <w:rPr>
          <w:rFonts w:hint="eastAsia" w:ascii="Times New Roman" w:hAnsi="Times New Roman" w:cs="Times New Roman"/>
          <w:color w:val="FF0000"/>
          <w:sz w:val="24"/>
          <w:szCs w:val="32"/>
        </w:rPr>
        <w:t xml:space="preserve">without feature selection, </w:t>
      </w:r>
      <w:r>
        <w:rPr>
          <w:rFonts w:ascii="Times New Roman" w:hAnsi="Times New Roman" w:cs="Times New Roman"/>
          <w:color w:val="FF0000"/>
          <w:sz w:val="24"/>
          <w:szCs w:val="32"/>
        </w:rPr>
        <w:t>such as SVR</w:t>
      </w:r>
      <w:r>
        <w:rPr>
          <w:rFonts w:hint="eastAsia" w:ascii="Times New Roman" w:hAnsi="Times New Roman" w:cs="Times New Roman"/>
          <w:color w:val="FF0000"/>
          <w:sz w:val="24"/>
          <w:szCs w:val="32"/>
        </w:rPr>
        <w:t xml:space="preserve"> (</w:t>
      </w:r>
      <w:r>
        <w:rPr>
          <w:rFonts w:ascii="Times New Roman" w:hAnsi="Times New Roman" w:cs="Times New Roman"/>
          <w:color w:val="FF0000"/>
          <w:sz w:val="24"/>
          <w:szCs w:val="32"/>
        </w:rPr>
        <w:t>MAE</w:t>
      </w:r>
      <w:r>
        <w:rPr>
          <w:rFonts w:hint="eastAsia" w:ascii="Times New Roman" w:hAnsi="Times New Roman" w:cs="Times New Roman"/>
          <w:color w:val="FF0000"/>
          <w:sz w:val="24"/>
          <w:szCs w:val="32"/>
        </w:rPr>
        <w:t>:</w:t>
      </w:r>
      <w:r>
        <w:rPr>
          <w:rFonts w:ascii="Times New Roman" w:hAnsi="Times New Roman" w:cs="Times New Roman"/>
          <w:color w:val="FF0000"/>
          <w:sz w:val="24"/>
          <w:szCs w:val="32"/>
        </w:rPr>
        <w:t>0.264</w:t>
      </w:r>
      <w:r>
        <w:rPr>
          <w:rFonts w:hint="eastAsia" w:ascii="Times New Roman" w:hAnsi="Times New Roman" w:cs="Times New Roman"/>
          <w:color w:val="FF0000"/>
          <w:sz w:val="24"/>
          <w:szCs w:val="32"/>
        </w:rPr>
        <w:t>,</w:t>
      </w:r>
      <w:r>
        <w:rPr>
          <w:rFonts w:ascii="Times New Roman" w:hAnsi="Times New Roman" w:cs="Times New Roman"/>
          <w:color w:val="FF0000"/>
          <w:sz w:val="24"/>
          <w:szCs w:val="32"/>
        </w:rPr>
        <w:t xml:space="preserve"> RMSE</w:t>
      </w:r>
      <w:r>
        <w:rPr>
          <w:rFonts w:hint="eastAsia" w:ascii="Times New Roman" w:hAnsi="Times New Roman" w:cs="Times New Roman"/>
          <w:color w:val="FF0000"/>
          <w:sz w:val="24"/>
          <w:szCs w:val="32"/>
        </w:rPr>
        <w:t>:</w:t>
      </w:r>
      <w:r>
        <w:rPr>
          <w:rFonts w:ascii="Times New Roman" w:hAnsi="Times New Roman" w:cs="Times New Roman"/>
          <w:color w:val="FF0000"/>
          <w:sz w:val="24"/>
          <w:szCs w:val="32"/>
        </w:rPr>
        <w:t>0.322</w:t>
      </w:r>
      <w:r>
        <w:rPr>
          <w:rFonts w:hint="eastAsia" w:ascii="Times New Roman" w:hAnsi="Times New Roman" w:cs="Times New Roman"/>
          <w:color w:val="FF0000"/>
          <w:sz w:val="24"/>
          <w:szCs w:val="32"/>
        </w:rPr>
        <w:t>)</w:t>
      </w:r>
      <w:r>
        <w:rPr>
          <w:rFonts w:ascii="Times New Roman" w:hAnsi="Times New Roman" w:cs="Times New Roman"/>
          <w:color w:val="FF0000"/>
          <w:sz w:val="24"/>
          <w:szCs w:val="32"/>
        </w:rPr>
        <w:t>.</w:t>
      </w:r>
      <w:r>
        <w:rPr>
          <w:rFonts w:hint="eastAsia" w:ascii="Times New Roman" w:hAnsi="Times New Roman" w:cs="Times New Roman"/>
          <w:color w:val="FF0000"/>
          <w:sz w:val="24"/>
          <w:szCs w:val="32"/>
        </w:rPr>
        <w:t xml:space="preserve"> After adopting LASSO, </w:t>
      </w:r>
      <w:r>
        <w:rPr>
          <w:rFonts w:ascii="Times New Roman" w:hAnsi="Times New Roman" w:cs="Times New Roman"/>
          <w:color w:val="FF0000"/>
          <w:sz w:val="24"/>
        </w:rPr>
        <w:t>the result illustrates that</w:t>
      </w:r>
      <w:r>
        <w:rPr>
          <w:rFonts w:hint="eastAsia" w:ascii="Times New Roman" w:hAnsi="Times New Roman" w:cs="Times New Roman"/>
          <w:color w:val="FF0000"/>
          <w:sz w:val="24"/>
          <w:szCs w:val="32"/>
        </w:rPr>
        <w:t xml:space="preserve"> LASSO-BiLSTM has the smallest </w:t>
      </w:r>
      <w:r>
        <w:rPr>
          <w:rFonts w:ascii="Times New Roman" w:hAnsi="Times New Roman" w:cs="Times New Roman"/>
          <w:color w:val="FF0000"/>
          <w:sz w:val="24"/>
          <w:szCs w:val="32"/>
        </w:rPr>
        <w:t>error</w:t>
      </w:r>
      <w:r>
        <w:rPr>
          <w:rFonts w:hint="eastAsia" w:ascii="Times New Roman" w:hAnsi="Times New Roman" w:cs="Times New Roman"/>
          <w:color w:val="FF0000"/>
          <w:sz w:val="24"/>
          <w:szCs w:val="32"/>
        </w:rPr>
        <w:t xml:space="preserve"> compared with 9 other models (MAE: 0.051,RMSE: 0.072). </w:t>
      </w:r>
      <w:r>
        <w:rPr>
          <w:rFonts w:ascii="Times New Roman" w:hAnsi="Times New Roman" w:cs="Times New Roman"/>
          <w:color w:val="FF0000"/>
          <w:sz w:val="24"/>
          <w:szCs w:val="32"/>
        </w:rPr>
        <w:t xml:space="preserve">Additionally, the MDA for LASSO-BiLSTM is also the highest to 0.777. This demonstrates that 77.7% of the predictions’ direction is same as the actual direction. </w:t>
      </w:r>
      <w:r>
        <w:rPr>
          <w:rFonts w:hint="eastAsia" w:ascii="Times New Roman" w:hAnsi="Times New Roman" w:cs="Times New Roman"/>
          <w:color w:val="FF0000"/>
          <w:sz w:val="24"/>
          <w:szCs w:val="32"/>
        </w:rPr>
        <w:t xml:space="preserve">Overall, </w:t>
      </w:r>
      <w:r>
        <w:rPr>
          <w:rFonts w:ascii="Times New Roman" w:hAnsi="Times New Roman" w:cs="Times New Roman"/>
          <w:color w:val="FF0000"/>
          <w:sz w:val="24"/>
          <w:szCs w:val="32"/>
        </w:rPr>
        <w:t xml:space="preserve">LASSO-BiLSTM </w:t>
      </w:r>
      <w:r>
        <w:rPr>
          <w:rFonts w:hint="eastAsia" w:ascii="Times New Roman" w:hAnsi="Times New Roman" w:cs="Times New Roman"/>
          <w:color w:val="FF0000"/>
          <w:sz w:val="24"/>
          <w:szCs w:val="32"/>
        </w:rPr>
        <w:t>forecasts with the greatest accuracy.</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5: Evaluated performance of 1-step forecasting</w:t>
      </w:r>
    </w:p>
    <w:tbl>
      <w:tblPr>
        <w:tblStyle w:val="1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3"/>
        <w:gridCol w:w="2073"/>
        <w:gridCol w:w="2073"/>
        <w:gridCol w:w="207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Borders>
              <w:bottom w:val="single" w:color="auto" w:sz="4" w:space="0"/>
            </w:tcBorders>
          </w:tcPr>
          <w:p>
            <w:pPr>
              <w:rPr>
                <w:rFonts w:ascii="Times New Roman" w:hAnsi="Times New Roman" w:cs="Times New Roman"/>
              </w:rPr>
            </w:pP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MAE</w:t>
            </w: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RMSE</w:t>
            </w:r>
          </w:p>
        </w:tc>
        <w:tc>
          <w:tcPr>
            <w:tcW w:w="2073"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Borders>
              <w:top w:val="single" w:color="auto" w:sz="4" w:space="0"/>
            </w:tcBorders>
          </w:tcPr>
          <w:p>
            <w:pPr>
              <w:jc w:val="center"/>
              <w:rPr>
                <w:rFonts w:ascii="Times New Roman" w:hAnsi="Times New Roman" w:cs="Times New Roman"/>
                <w:b/>
                <w:bCs/>
              </w:rPr>
            </w:pPr>
            <w:r>
              <w:rPr>
                <w:rFonts w:ascii="Times New Roman" w:hAnsi="Times New Roman" w:cs="Times New Roman"/>
                <w:b/>
                <w:bCs/>
              </w:rPr>
              <w:t>SVR</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eastAsia="MingLiU" w:cs="Times New Roman"/>
                <w:color w:val="000000"/>
                <w:kern w:val="0"/>
                <w:szCs w:val="21"/>
              </w:rPr>
              <w:t>0.264</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eastAsia="MingLiU" w:cs="Times New Roman"/>
                <w:color w:val="000000"/>
                <w:kern w:val="0"/>
                <w:szCs w:val="21"/>
              </w:rPr>
              <w:t>0.322</w:t>
            </w:r>
          </w:p>
        </w:tc>
        <w:tc>
          <w:tcPr>
            <w:tcW w:w="2073" w:type="dxa"/>
            <w:tcBorders>
              <w:top w:val="single" w:color="auto" w:sz="4" w:space="0"/>
            </w:tcBorders>
          </w:tcPr>
          <w:p>
            <w:pPr>
              <w:jc w:val="center"/>
              <w:rPr>
                <w:rFonts w:ascii="Times New Roman" w:hAnsi="Times New Roman" w:eastAsia="MingLiU" w:cs="Times New Roman"/>
                <w:color w:val="FF0000"/>
                <w:kern w:val="0"/>
                <w:szCs w:val="21"/>
              </w:rPr>
            </w:pPr>
            <w:r>
              <w:rPr>
                <w:rFonts w:ascii="Times New Roman" w:hAnsi="Times New Roman" w:eastAsia="MingLiU" w:cs="Times New Roman"/>
                <w:color w:val="FF0000"/>
                <w:kern w:val="0"/>
                <w:szCs w:val="21"/>
              </w:rPr>
              <w:t>0.407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ELM</w:t>
            </w:r>
          </w:p>
        </w:tc>
        <w:tc>
          <w:tcPr>
            <w:tcW w:w="2073" w:type="dxa"/>
          </w:tcPr>
          <w:p>
            <w:pPr>
              <w:jc w:val="center"/>
              <w:rPr>
                <w:rFonts w:ascii="Times New Roman" w:hAnsi="Times New Roman" w:cs="Times New Roman"/>
              </w:rPr>
            </w:pPr>
            <w:r>
              <w:rPr>
                <w:rFonts w:ascii="Times New Roman" w:hAnsi="Times New Roman" w:eastAsia="MingLiU" w:cs="Times New Roman"/>
                <w:color w:val="000000"/>
                <w:kern w:val="0"/>
                <w:szCs w:val="21"/>
              </w:rPr>
              <w:t>0.180</w:t>
            </w:r>
          </w:p>
        </w:tc>
        <w:tc>
          <w:tcPr>
            <w:tcW w:w="2073"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0.2</w:t>
            </w:r>
            <w:r>
              <w:rPr>
                <w:rFonts w:ascii="Times New Roman" w:hAnsi="Times New Roman" w:eastAsia="宋体" w:cs="Times New Roman"/>
                <w:color w:val="000000"/>
                <w:kern w:val="0"/>
                <w:szCs w:val="21"/>
              </w:rPr>
              <w:t>33</w:t>
            </w:r>
          </w:p>
        </w:tc>
        <w:tc>
          <w:tcPr>
            <w:tcW w:w="2073" w:type="dxa"/>
          </w:tcPr>
          <w:p>
            <w:pPr>
              <w:jc w:val="center"/>
              <w:rPr>
                <w:rFonts w:ascii="Times New Roman" w:hAnsi="Times New Roman" w:eastAsia="MingLiU" w:cs="Times New Roman"/>
                <w:color w:val="FF0000"/>
                <w:kern w:val="0"/>
                <w:szCs w:val="21"/>
              </w:rPr>
            </w:pPr>
            <w:r>
              <w:rPr>
                <w:rFonts w:ascii="Times New Roman" w:hAnsi="Times New Roman" w:eastAsia="MingLiU" w:cs="Times New Roman"/>
                <w:color w:val="FF0000"/>
                <w:kern w:val="0"/>
                <w:szCs w:val="21"/>
              </w:rPr>
              <w:t>0.444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LSTM</w:t>
            </w:r>
          </w:p>
        </w:tc>
        <w:tc>
          <w:tcPr>
            <w:tcW w:w="2073"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0.337</w:t>
            </w:r>
          </w:p>
        </w:tc>
        <w:tc>
          <w:tcPr>
            <w:tcW w:w="2073"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0.388</w:t>
            </w:r>
          </w:p>
        </w:tc>
        <w:tc>
          <w:tcPr>
            <w:tcW w:w="2073" w:type="dxa"/>
          </w:tcPr>
          <w:p>
            <w:pPr>
              <w:jc w:val="center"/>
              <w:rPr>
                <w:rFonts w:ascii="Times New Roman" w:hAnsi="Times New Roman" w:eastAsia="MingLiU" w:cs="Times New Roman"/>
                <w:color w:val="FF0000"/>
                <w:kern w:val="0"/>
                <w:szCs w:val="21"/>
              </w:rPr>
            </w:pPr>
            <w:r>
              <w:rPr>
                <w:rFonts w:ascii="Times New Roman" w:hAnsi="Times New Roman" w:eastAsia="MingLiU" w:cs="Times New Roman"/>
                <w:color w:val="FF0000"/>
                <w:kern w:val="0"/>
                <w:szCs w:val="21"/>
              </w:rPr>
              <w:t>0.407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BiLSTM</w:t>
            </w:r>
          </w:p>
        </w:tc>
        <w:tc>
          <w:tcPr>
            <w:tcW w:w="2073" w:type="dxa"/>
          </w:tcPr>
          <w:p>
            <w:pPr>
              <w:jc w:val="center"/>
              <w:rPr>
                <w:rFonts w:ascii="Times New Roman" w:hAnsi="Times New Roman" w:cs="Times New Roman"/>
                <w:b/>
                <w:bCs/>
              </w:rPr>
            </w:pPr>
            <w:r>
              <w:rPr>
                <w:rFonts w:ascii="Times New Roman" w:hAnsi="Times New Roman" w:eastAsia="MingLiU" w:cs="Times New Roman"/>
                <w:b/>
                <w:bCs/>
                <w:color w:val="000000"/>
                <w:kern w:val="0"/>
                <w:szCs w:val="21"/>
              </w:rPr>
              <w:t>0.102</w:t>
            </w:r>
          </w:p>
        </w:tc>
        <w:tc>
          <w:tcPr>
            <w:tcW w:w="2073" w:type="dxa"/>
          </w:tcPr>
          <w:p>
            <w:pPr>
              <w:jc w:val="center"/>
              <w:rPr>
                <w:rFonts w:ascii="Times New Roman" w:hAnsi="Times New Roman" w:cs="Times New Roman"/>
                <w:b/>
                <w:bCs/>
              </w:rPr>
            </w:pPr>
            <w:r>
              <w:rPr>
                <w:rFonts w:ascii="Times New Roman" w:hAnsi="Times New Roman" w:eastAsia="MingLiU" w:cs="Times New Roman"/>
                <w:b/>
                <w:bCs/>
                <w:color w:val="000000"/>
                <w:kern w:val="0"/>
                <w:szCs w:val="21"/>
              </w:rPr>
              <w:t>0.132</w:t>
            </w:r>
          </w:p>
        </w:tc>
        <w:tc>
          <w:tcPr>
            <w:tcW w:w="2073" w:type="dxa"/>
          </w:tcPr>
          <w:p>
            <w:pPr>
              <w:jc w:val="center"/>
              <w:rPr>
                <w:rFonts w:ascii="Times New Roman" w:hAnsi="Times New Roman" w:eastAsia="MingLiU" w:cs="Times New Roman"/>
                <w:b/>
                <w:bCs/>
                <w:color w:val="FF0000"/>
                <w:kern w:val="0"/>
                <w:szCs w:val="21"/>
              </w:rPr>
            </w:pPr>
            <w:r>
              <w:rPr>
                <w:rFonts w:ascii="Times New Roman" w:hAnsi="Times New Roman" w:eastAsia="MingLiU" w:cs="Times New Roman"/>
                <w:b/>
                <w:bCs/>
                <w:color w:val="FF0000"/>
                <w:kern w:val="0"/>
                <w:szCs w:val="21"/>
              </w:rPr>
              <w:t>0.630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KELM</w:t>
            </w:r>
          </w:p>
        </w:tc>
        <w:tc>
          <w:tcPr>
            <w:tcW w:w="2073" w:type="dxa"/>
          </w:tcPr>
          <w:p>
            <w:pPr>
              <w:jc w:val="center"/>
              <w:rPr>
                <w:rFonts w:ascii="Times New Roman" w:hAnsi="Times New Roman" w:cs="Times New Roman"/>
              </w:rPr>
            </w:pPr>
            <w:r>
              <w:rPr>
                <w:rFonts w:ascii="Times New Roman" w:hAnsi="Times New Roman" w:eastAsia="MingLiU" w:cs="Times New Roman"/>
                <w:color w:val="000000"/>
                <w:kern w:val="0"/>
                <w:szCs w:val="21"/>
              </w:rPr>
              <w:t>0.252</w:t>
            </w:r>
          </w:p>
        </w:tc>
        <w:tc>
          <w:tcPr>
            <w:tcW w:w="2073" w:type="dxa"/>
          </w:tcPr>
          <w:p>
            <w:pPr>
              <w:jc w:val="center"/>
              <w:rPr>
                <w:rFonts w:ascii="Times New Roman" w:hAnsi="Times New Roman" w:eastAsia="宋体" w:cs="Times New Roman"/>
              </w:rPr>
            </w:pPr>
            <w:r>
              <w:rPr>
                <w:rFonts w:ascii="Times New Roman" w:hAnsi="Times New Roman" w:eastAsia="MingLiU" w:cs="Times New Roman"/>
                <w:color w:val="000000"/>
                <w:kern w:val="0"/>
                <w:szCs w:val="21"/>
              </w:rPr>
              <w:t>0.277</w:t>
            </w:r>
          </w:p>
        </w:tc>
        <w:tc>
          <w:tcPr>
            <w:tcW w:w="2073" w:type="dxa"/>
          </w:tcPr>
          <w:p>
            <w:pPr>
              <w:jc w:val="center"/>
              <w:rPr>
                <w:rFonts w:ascii="Times New Roman" w:hAnsi="Times New Roman" w:eastAsia="MingLiU" w:cs="Times New Roman"/>
                <w:color w:val="FF0000"/>
                <w:kern w:val="0"/>
                <w:szCs w:val="21"/>
              </w:rPr>
            </w:pPr>
            <w:r>
              <w:rPr>
                <w:rFonts w:ascii="Times New Roman" w:hAnsi="Times New Roman" w:eastAsia="MingLiU" w:cs="Times New Roman"/>
                <w:color w:val="FF0000"/>
                <w:kern w:val="0"/>
                <w:szCs w:val="21"/>
              </w:rPr>
              <w:t>0.630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LASSO-SVR</w:t>
            </w:r>
          </w:p>
        </w:tc>
        <w:tc>
          <w:tcPr>
            <w:tcW w:w="2073" w:type="dxa"/>
          </w:tcPr>
          <w:p>
            <w:pPr>
              <w:jc w:val="center"/>
              <w:rPr>
                <w:rFonts w:ascii="Times New Roman" w:hAnsi="Times New Roman" w:cs="Times New Roman"/>
              </w:rPr>
            </w:pPr>
            <w:r>
              <w:rPr>
                <w:rFonts w:ascii="Times New Roman" w:hAnsi="Times New Roman" w:cs="Times New Roman"/>
                <w:color w:val="000000"/>
                <w:szCs w:val="21"/>
              </w:rPr>
              <w:t>0.190</w:t>
            </w:r>
          </w:p>
        </w:tc>
        <w:tc>
          <w:tcPr>
            <w:tcW w:w="2073" w:type="dxa"/>
          </w:tcPr>
          <w:p>
            <w:pPr>
              <w:jc w:val="center"/>
              <w:rPr>
                <w:rFonts w:ascii="Times New Roman" w:hAnsi="Times New Roman" w:cs="Times New Roman"/>
              </w:rPr>
            </w:pPr>
            <w:r>
              <w:rPr>
                <w:rFonts w:ascii="Times New Roman" w:hAnsi="Times New Roman" w:cs="Times New Roman"/>
                <w:color w:val="000000"/>
                <w:szCs w:val="21"/>
              </w:rPr>
              <w:t>0.227</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0.667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LASSO-ELM</w:t>
            </w:r>
          </w:p>
        </w:tc>
        <w:tc>
          <w:tcPr>
            <w:tcW w:w="2073" w:type="dxa"/>
          </w:tcPr>
          <w:p>
            <w:pPr>
              <w:jc w:val="center"/>
              <w:rPr>
                <w:rFonts w:ascii="Times New Roman" w:hAnsi="Times New Roman" w:cs="Times New Roman"/>
              </w:rPr>
            </w:pPr>
            <w:r>
              <w:rPr>
                <w:rFonts w:ascii="Times New Roman" w:hAnsi="Times New Roman" w:cs="Times New Roman"/>
                <w:color w:val="000000"/>
                <w:szCs w:val="21"/>
              </w:rPr>
              <w:t>0.164</w:t>
            </w:r>
          </w:p>
        </w:tc>
        <w:tc>
          <w:tcPr>
            <w:tcW w:w="2073" w:type="dxa"/>
          </w:tcPr>
          <w:p>
            <w:pPr>
              <w:jc w:val="center"/>
              <w:rPr>
                <w:rFonts w:ascii="Times New Roman" w:hAnsi="Times New Roman" w:cs="Times New Roman"/>
              </w:rPr>
            </w:pPr>
            <w:r>
              <w:rPr>
                <w:rFonts w:ascii="Times New Roman" w:hAnsi="Times New Roman" w:cs="Times New Roman"/>
                <w:color w:val="000000"/>
                <w:szCs w:val="21"/>
              </w:rPr>
              <w:t>0.208</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0.519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LASSO-LSTM</w:t>
            </w:r>
          </w:p>
        </w:tc>
        <w:tc>
          <w:tcPr>
            <w:tcW w:w="2073" w:type="dxa"/>
          </w:tcPr>
          <w:p>
            <w:pPr>
              <w:jc w:val="center"/>
              <w:rPr>
                <w:rFonts w:ascii="Times New Roman" w:hAnsi="Times New Roman" w:cs="Times New Roman"/>
              </w:rPr>
            </w:pPr>
            <w:r>
              <w:rPr>
                <w:rFonts w:ascii="Times New Roman" w:hAnsi="Times New Roman" w:cs="Times New Roman"/>
                <w:color w:val="000000"/>
                <w:szCs w:val="21"/>
              </w:rPr>
              <w:t>0.107</w:t>
            </w:r>
          </w:p>
        </w:tc>
        <w:tc>
          <w:tcPr>
            <w:tcW w:w="2073" w:type="dxa"/>
          </w:tcPr>
          <w:p>
            <w:pPr>
              <w:jc w:val="center"/>
              <w:rPr>
                <w:rFonts w:ascii="Times New Roman" w:hAnsi="Times New Roman" w:cs="Times New Roman"/>
              </w:rPr>
            </w:pPr>
            <w:r>
              <w:rPr>
                <w:rFonts w:ascii="Times New Roman" w:hAnsi="Times New Roman" w:cs="Times New Roman"/>
                <w:color w:val="000000"/>
                <w:szCs w:val="21"/>
              </w:rPr>
              <w:t>0.151</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0.630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LASSO-BiLSTM</w:t>
            </w:r>
          </w:p>
        </w:tc>
        <w:tc>
          <w:tcPr>
            <w:tcW w:w="2073" w:type="dxa"/>
          </w:tcPr>
          <w:p>
            <w:pPr>
              <w:jc w:val="center"/>
              <w:rPr>
                <w:rFonts w:ascii="Times New Roman" w:hAnsi="Times New Roman" w:cs="Times New Roman"/>
                <w:b/>
                <w:bCs/>
              </w:rPr>
            </w:pPr>
            <w:r>
              <w:rPr>
                <w:rFonts w:ascii="Times New Roman" w:hAnsi="Times New Roman" w:cs="Times New Roman"/>
                <w:b/>
                <w:bCs/>
                <w:color w:val="000000"/>
                <w:szCs w:val="21"/>
              </w:rPr>
              <w:t>0.051</w:t>
            </w:r>
          </w:p>
        </w:tc>
        <w:tc>
          <w:tcPr>
            <w:tcW w:w="2073" w:type="dxa"/>
          </w:tcPr>
          <w:p>
            <w:pPr>
              <w:jc w:val="center"/>
              <w:rPr>
                <w:rFonts w:ascii="Times New Roman" w:hAnsi="Times New Roman" w:cs="Times New Roman"/>
                <w:b/>
                <w:bCs/>
              </w:rPr>
            </w:pPr>
            <w:r>
              <w:rPr>
                <w:rFonts w:ascii="Times New Roman" w:hAnsi="Times New Roman" w:cs="Times New Roman"/>
                <w:b/>
                <w:bCs/>
                <w:color w:val="000000"/>
                <w:szCs w:val="21"/>
              </w:rPr>
              <w:t>0.072</w:t>
            </w:r>
          </w:p>
        </w:tc>
        <w:tc>
          <w:tcPr>
            <w:tcW w:w="2073" w:type="dxa"/>
          </w:tcPr>
          <w:p>
            <w:pPr>
              <w:jc w:val="center"/>
              <w:rPr>
                <w:rFonts w:ascii="Times New Roman" w:hAnsi="Times New Roman" w:cs="Times New Roman"/>
                <w:b/>
                <w:bCs/>
                <w:color w:val="FF0000"/>
                <w:szCs w:val="21"/>
              </w:rPr>
            </w:pPr>
            <w:r>
              <w:rPr>
                <w:rFonts w:ascii="Times New Roman" w:hAnsi="Times New Roman" w:cs="Times New Roman"/>
                <w:b/>
                <w:bCs/>
                <w:color w:val="FF0000"/>
                <w:szCs w:val="21"/>
              </w:rPr>
              <w:t>0.777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LASSO-KELM</w:t>
            </w:r>
          </w:p>
        </w:tc>
        <w:tc>
          <w:tcPr>
            <w:tcW w:w="2073" w:type="dxa"/>
          </w:tcPr>
          <w:p>
            <w:pPr>
              <w:jc w:val="center"/>
              <w:rPr>
                <w:rFonts w:ascii="Times New Roman" w:hAnsi="Times New Roman" w:cs="Times New Roman"/>
              </w:rPr>
            </w:pPr>
            <w:r>
              <w:rPr>
                <w:rFonts w:ascii="Times New Roman" w:hAnsi="Times New Roman" w:cs="Times New Roman"/>
                <w:color w:val="000000"/>
                <w:szCs w:val="21"/>
              </w:rPr>
              <w:t>0.095</w:t>
            </w:r>
          </w:p>
        </w:tc>
        <w:tc>
          <w:tcPr>
            <w:tcW w:w="2073" w:type="dxa"/>
          </w:tcPr>
          <w:p>
            <w:pPr>
              <w:jc w:val="center"/>
              <w:rPr>
                <w:rFonts w:ascii="Times New Roman" w:hAnsi="Times New Roman" w:cs="Times New Roman"/>
              </w:rPr>
            </w:pPr>
            <w:r>
              <w:rPr>
                <w:rFonts w:ascii="Times New Roman" w:hAnsi="Times New Roman" w:cs="Times New Roman"/>
                <w:color w:val="000000"/>
                <w:szCs w:val="21"/>
              </w:rPr>
              <w:t>0.125</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0.741</w:t>
            </w:r>
          </w:p>
        </w:tc>
      </w:tr>
    </w:tbl>
    <w:p>
      <w:pPr>
        <w:spacing w:before="156" w:beforeLines="50" w:line="360" w:lineRule="auto"/>
        <w:ind w:firstLine="420"/>
        <w:rPr>
          <w:rFonts w:ascii="Times New Roman" w:hAnsi="Times New Roman" w:cs="Times New Roman"/>
          <w:sz w:val="24"/>
          <w:szCs w:val="32"/>
        </w:rPr>
      </w:pPr>
      <w:r>
        <w:rPr>
          <w:rFonts w:ascii="Times New Roman" w:hAnsi="Times New Roman" w:cs="Times New Roman"/>
          <w:sz w:val="24"/>
          <w:szCs w:val="32"/>
        </w:rPr>
        <w:drawing>
          <wp:anchor distT="0" distB="0" distL="114300" distR="114300" simplePos="0" relativeHeight="251659264" behindDoc="1" locked="0" layoutInCell="1" allowOverlap="1">
            <wp:simplePos x="0" y="0"/>
            <wp:positionH relativeFrom="column">
              <wp:posOffset>-6350</wp:posOffset>
            </wp:positionH>
            <wp:positionV relativeFrom="paragraph">
              <wp:posOffset>1014095</wp:posOffset>
            </wp:positionV>
            <wp:extent cx="5892800" cy="1705610"/>
            <wp:effectExtent l="0" t="0" r="0" b="8890"/>
            <wp:wrapSquare wrapText="bothSides"/>
            <wp:docPr id="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2800" cy="1705610"/>
                    </a:xfrm>
                    <a:prstGeom prst="rect">
                      <a:avLst/>
                    </a:prstGeom>
                  </pic:spPr>
                </pic:pic>
              </a:graphicData>
            </a:graphic>
          </wp:anchor>
        </w:drawing>
      </w:r>
      <w:r>
        <w:rPr>
          <w:rFonts w:ascii="Times New Roman" w:hAnsi="Times New Roman" w:cs="Times New Roman"/>
          <w:sz w:val="24"/>
          <w:szCs w:val="32"/>
        </w:rPr>
        <w:t>Figure 5 (</w:t>
      </w:r>
      <w:r>
        <w:rPr>
          <w:rFonts w:ascii="Times New Roman" w:hAnsi="Times New Roman" w:cs="Times New Roman"/>
          <w:color w:val="FF0000"/>
          <w:sz w:val="24"/>
          <w:szCs w:val="32"/>
        </w:rPr>
        <w:t>high</w:t>
      </w:r>
      <w:r>
        <w:rPr>
          <w:rFonts w:hint="eastAsia" w:ascii="Times New Roman" w:hAnsi="Times New Roman" w:cs="Times New Roman"/>
          <w:color w:val="FF0000"/>
          <w:sz w:val="24"/>
          <w:szCs w:val="32"/>
        </w:rPr>
        <w:t>-resolution</w:t>
      </w:r>
      <w:r>
        <w:rPr>
          <w:rFonts w:ascii="Times New Roman" w:hAnsi="Times New Roman" w:cs="Times New Roman"/>
          <w:color w:val="FF0000"/>
          <w:sz w:val="24"/>
          <w:szCs w:val="32"/>
        </w:rPr>
        <w:t xml:space="preserve"> version</w:t>
      </w:r>
      <w:r>
        <w:rPr>
          <w:rFonts w:hint="eastAsia" w:ascii="Times New Roman" w:hAnsi="Times New Roman" w:cs="Times New Roman"/>
          <w:color w:val="FF0000"/>
          <w:sz w:val="24"/>
          <w:szCs w:val="32"/>
        </w:rPr>
        <w:t xml:space="preserve"> is </w:t>
      </w:r>
      <w:r>
        <w:rPr>
          <w:rFonts w:ascii="Times New Roman" w:hAnsi="Times New Roman" w:cs="Times New Roman"/>
          <w:color w:val="FF0000"/>
          <w:sz w:val="24"/>
          <w:szCs w:val="32"/>
        </w:rPr>
        <w:t>attached in Appendix 3</w:t>
      </w:r>
      <w:r>
        <w:rPr>
          <w:rFonts w:ascii="Times New Roman" w:hAnsi="Times New Roman" w:cs="Times New Roman"/>
          <w:sz w:val="24"/>
          <w:szCs w:val="32"/>
        </w:rPr>
        <w:t>)</w:t>
      </w:r>
      <w:r>
        <w:rPr>
          <w:rFonts w:hint="eastAsia" w:ascii="Times New Roman" w:hAnsi="Times New Roman" w:cs="Times New Roman"/>
          <w:sz w:val="24"/>
          <w:szCs w:val="32"/>
        </w:rPr>
        <w:t xml:space="preserve"> </w:t>
      </w:r>
      <w:r>
        <w:rPr>
          <w:rFonts w:ascii="Times New Roman" w:hAnsi="Times New Roman" w:cs="Times New Roman"/>
          <w:sz w:val="24"/>
          <w:szCs w:val="32"/>
        </w:rPr>
        <w:t>demonstrates the real exchange rate</w:t>
      </w:r>
      <w:r>
        <w:rPr>
          <w:rFonts w:hint="eastAsia" w:ascii="Times New Roman" w:hAnsi="Times New Roman" w:cs="Times New Roman"/>
          <w:sz w:val="24"/>
          <w:szCs w:val="32"/>
        </w:rPr>
        <w:t xml:space="preserve"> (red line)</w:t>
      </w:r>
      <w:r>
        <w:rPr>
          <w:rFonts w:ascii="Times New Roman" w:hAnsi="Times New Roman" w:cs="Times New Roman"/>
          <w:sz w:val="24"/>
          <w:szCs w:val="32"/>
        </w:rPr>
        <w:t xml:space="preserve"> and the predicted exchange rate </w:t>
      </w:r>
      <w:r>
        <w:rPr>
          <w:rFonts w:hint="eastAsia" w:ascii="Times New Roman" w:hAnsi="Times New Roman" w:cs="Times New Roman"/>
          <w:sz w:val="24"/>
          <w:szCs w:val="32"/>
        </w:rPr>
        <w:t xml:space="preserve">(blue line) </w:t>
      </w:r>
      <w:r>
        <w:rPr>
          <w:rFonts w:ascii="Times New Roman" w:hAnsi="Times New Roman" w:cs="Times New Roman"/>
          <w:sz w:val="24"/>
          <w:szCs w:val="32"/>
        </w:rPr>
        <w:t>in 1-step forecasting for all models. Graphically seen, LASSO-BiLSTM has the most accurate prediction</w:t>
      </w:r>
      <w:r>
        <w:rPr>
          <w:rFonts w:hint="eastAsia" w:ascii="Times New Roman" w:hAnsi="Times New Roman" w:cs="Times New Roman"/>
          <w:sz w:val="24"/>
          <w:szCs w:val="32"/>
        </w:rPr>
        <w:t>.</w:t>
      </w:r>
    </w:p>
    <w:p>
      <w:pPr>
        <w:spacing w:before="156" w:beforeLines="50" w:line="360" w:lineRule="auto"/>
        <w:jc w:val="center"/>
        <w:rPr>
          <w:rFonts w:ascii="Times New Roman" w:hAnsi="Times New Roman" w:cs="Times New Roman"/>
          <w:sz w:val="24"/>
          <w:szCs w:val="32"/>
        </w:rPr>
      </w:pPr>
      <w:r>
        <w:rPr>
          <w:rFonts w:hint="eastAsia" w:ascii="Times New Roman" w:hAnsi="Times New Roman" w:cs="Times New Roman"/>
          <w:sz w:val="20"/>
          <w:szCs w:val="20"/>
        </w:rPr>
        <w:t xml:space="preserve">Figure </w:t>
      </w:r>
      <w:r>
        <w:rPr>
          <w:rFonts w:ascii="Times New Roman" w:hAnsi="Times New Roman" w:cs="Times New Roman"/>
          <w:sz w:val="20"/>
          <w:szCs w:val="20"/>
        </w:rPr>
        <w:t>5</w:t>
      </w:r>
      <w:r>
        <w:rPr>
          <w:rFonts w:hint="eastAsia" w:ascii="Times New Roman" w:hAnsi="Times New Roman" w:cs="Times New Roman"/>
          <w:sz w:val="20"/>
          <w:szCs w:val="20"/>
        </w:rPr>
        <w:t>. Visualization of forecasting results</w:t>
      </w:r>
    </w:p>
    <w:p>
      <w:pPr>
        <w:spacing w:before="156" w:beforeLines="50" w:line="360" w:lineRule="auto"/>
        <w:ind w:firstLine="420"/>
        <w:rPr>
          <w:rFonts w:ascii="Times New Roman" w:hAnsi="Times New Roman" w:cs="Times New Roman"/>
          <w:sz w:val="24"/>
          <w:szCs w:val="32"/>
        </w:rPr>
      </w:pPr>
      <w:r>
        <w:rPr>
          <w:rFonts w:hint="eastAsia" w:ascii="Times New Roman" w:hAnsi="Times New Roman" w:cs="Times New Roman"/>
          <w:color w:val="FF0000"/>
          <w:sz w:val="24"/>
          <w:szCs w:val="32"/>
        </w:rPr>
        <w:t>Models</w:t>
      </w:r>
      <w:r>
        <w:rPr>
          <w:rFonts w:ascii="Times New Roman" w:hAnsi="Times New Roman" w:cs="Times New Roman"/>
          <w:color w:val="FF0000"/>
          <w:sz w:val="24"/>
          <w:szCs w:val="32"/>
        </w:rPr>
        <w:t>’</w:t>
      </w:r>
      <w:r>
        <w:rPr>
          <w:rFonts w:hint="eastAsia" w:ascii="Times New Roman" w:hAnsi="Times New Roman" w:cs="Times New Roman"/>
          <w:color w:val="FF0000"/>
          <w:sz w:val="24"/>
          <w:szCs w:val="32"/>
        </w:rPr>
        <w:t xml:space="preserve"> performances in </w:t>
      </w:r>
      <w:r>
        <w:rPr>
          <w:rFonts w:ascii="Times New Roman" w:hAnsi="Times New Roman" w:cs="Times New Roman"/>
          <w:color w:val="FF0000"/>
          <w:sz w:val="24"/>
          <w:szCs w:val="32"/>
        </w:rPr>
        <w:t>3-steps forecast and 6-steps forecas</w:t>
      </w:r>
      <w:r>
        <w:rPr>
          <w:rFonts w:hint="eastAsia" w:ascii="Times New Roman" w:hAnsi="Times New Roman" w:cs="Times New Roman"/>
          <w:color w:val="FF0000"/>
          <w:sz w:val="24"/>
          <w:szCs w:val="32"/>
        </w:rPr>
        <w:t>t are analyzed as follow</w:t>
      </w:r>
      <w:r>
        <w:rPr>
          <w:rFonts w:ascii="Times New Roman" w:hAnsi="Times New Roman" w:cs="Times New Roman"/>
          <w:color w:val="FF0000"/>
          <w:sz w:val="24"/>
          <w:szCs w:val="32"/>
        </w:rPr>
        <w:t xml:space="preserve">. </w:t>
      </w:r>
      <w:r>
        <w:rPr>
          <w:rFonts w:ascii="Times New Roman" w:hAnsi="Times New Roman" w:cs="Times New Roman"/>
          <w:sz w:val="24"/>
          <w:szCs w:val="32"/>
        </w:rPr>
        <w:t>Table 6 demonstrates the model performance errors in 3-steps forecasting</w:t>
      </w:r>
      <w:r>
        <w:rPr>
          <w:rFonts w:hint="eastAsia" w:ascii="Times New Roman" w:hAnsi="Times New Roman" w:cs="Times New Roman"/>
          <w:sz w:val="24"/>
          <w:szCs w:val="32"/>
        </w:rPr>
        <w:t xml:space="preserve">, and </w:t>
      </w:r>
      <w:r>
        <w:rPr>
          <w:rFonts w:ascii="Times New Roman" w:hAnsi="Times New Roman" w:cs="Times New Roman"/>
          <w:sz w:val="24"/>
          <w:szCs w:val="32"/>
        </w:rPr>
        <w:t>table 7 shows the errors for 6-steps forecasting.</w:t>
      </w:r>
    </w:p>
    <w:p>
      <w:pPr>
        <w:spacing w:before="156" w:beforeLines="50" w:line="360" w:lineRule="auto"/>
        <w:ind w:firstLine="420"/>
        <w:rPr>
          <w:rFonts w:ascii="Times New Roman" w:hAnsi="Times New Roman" w:cs="Times New Roman"/>
          <w:color w:val="FF0000"/>
          <w:sz w:val="24"/>
          <w:szCs w:val="32"/>
        </w:rPr>
      </w:pPr>
      <w:r>
        <w:rPr>
          <w:rFonts w:ascii="Times New Roman" w:hAnsi="Times New Roman" w:cs="Times New Roman"/>
          <w:color w:val="FF0000"/>
          <w:sz w:val="24"/>
          <w:szCs w:val="32"/>
        </w:rPr>
        <w:t xml:space="preserve">As shown in table 6 and 7, </w:t>
      </w:r>
      <w:r>
        <w:rPr>
          <w:rFonts w:hint="eastAsia" w:ascii="Times New Roman" w:hAnsi="Times New Roman" w:cs="Times New Roman"/>
          <w:color w:val="FF0000"/>
          <w:sz w:val="24"/>
          <w:szCs w:val="32"/>
        </w:rPr>
        <w:t xml:space="preserve">models with LASSO demonstrate significantly lower MAE and RMSE compared to models without. For instance, after adopting LASSO, MAE of LSTM decreases from 0.334 to 0.147 in 3-steps forecast and decreases from 0.325 to 0.237 in 6-steps forecast. </w:t>
      </w:r>
      <w:r>
        <w:rPr>
          <w:rFonts w:ascii="Times New Roman" w:hAnsi="Times New Roman" w:cs="Times New Roman"/>
          <w:color w:val="FF0000"/>
          <w:sz w:val="24"/>
          <w:szCs w:val="32"/>
        </w:rPr>
        <w:t xml:space="preserve">Therefore, LASSO selection is </w:t>
      </w:r>
      <w:r>
        <w:rPr>
          <w:rFonts w:hint="eastAsia" w:ascii="Times New Roman" w:hAnsi="Times New Roman" w:cs="Times New Roman"/>
          <w:color w:val="FF0000"/>
          <w:sz w:val="24"/>
          <w:szCs w:val="32"/>
        </w:rPr>
        <w:t xml:space="preserve">also </w:t>
      </w:r>
      <w:r>
        <w:rPr>
          <w:rFonts w:ascii="Times New Roman" w:hAnsi="Times New Roman" w:cs="Times New Roman"/>
          <w:color w:val="FF0000"/>
          <w:sz w:val="24"/>
          <w:szCs w:val="32"/>
        </w:rPr>
        <w:t xml:space="preserve">effective </w:t>
      </w:r>
      <w:r>
        <w:rPr>
          <w:rFonts w:hint="eastAsia" w:ascii="Times New Roman" w:hAnsi="Times New Roman" w:cs="Times New Roman"/>
          <w:color w:val="FF0000"/>
          <w:sz w:val="24"/>
          <w:szCs w:val="32"/>
        </w:rPr>
        <w:t>in</w:t>
      </w:r>
      <w:r>
        <w:rPr>
          <w:rFonts w:ascii="Times New Roman" w:hAnsi="Times New Roman" w:cs="Times New Roman"/>
          <w:color w:val="FF0000"/>
          <w:sz w:val="24"/>
          <w:szCs w:val="32"/>
        </w:rPr>
        <w:t xml:space="preserve"> multi-step </w:t>
      </w:r>
      <w:r>
        <w:rPr>
          <w:rFonts w:hint="eastAsia" w:ascii="Times New Roman" w:hAnsi="Times New Roman" w:cs="Times New Roman"/>
          <w:color w:val="FF0000"/>
          <w:sz w:val="24"/>
          <w:szCs w:val="32"/>
        </w:rPr>
        <w:t xml:space="preserve">exchange rate </w:t>
      </w:r>
      <w:r>
        <w:rPr>
          <w:rFonts w:ascii="Times New Roman" w:hAnsi="Times New Roman" w:cs="Times New Roman"/>
          <w:color w:val="FF0000"/>
          <w:sz w:val="24"/>
          <w:szCs w:val="32"/>
        </w:rPr>
        <w:t>forecast</w:t>
      </w:r>
      <w:r>
        <w:rPr>
          <w:rFonts w:hint="eastAsia" w:ascii="Times New Roman" w:hAnsi="Times New Roman" w:cs="Times New Roman"/>
          <w:color w:val="FF0000"/>
          <w:sz w:val="24"/>
          <w:szCs w:val="32"/>
        </w:rPr>
        <w:t xml:space="preserve">. Moreover, </w:t>
      </w:r>
      <w:r>
        <w:rPr>
          <w:rFonts w:ascii="Times New Roman" w:hAnsi="Times New Roman" w:cs="Times New Roman"/>
          <w:color w:val="FF0000"/>
          <w:sz w:val="24"/>
          <w:szCs w:val="32"/>
        </w:rPr>
        <w:t>LASSO-BiLSTM also</w:t>
      </w:r>
      <w:r>
        <w:rPr>
          <w:rFonts w:hint="eastAsia" w:ascii="Times New Roman" w:hAnsi="Times New Roman" w:cs="Times New Roman"/>
          <w:color w:val="FF0000"/>
          <w:sz w:val="24"/>
          <w:szCs w:val="32"/>
        </w:rPr>
        <w:t xml:space="preserve"> </w:t>
      </w:r>
      <w:r>
        <w:rPr>
          <w:rFonts w:ascii="Times New Roman" w:hAnsi="Times New Roman" w:cs="Times New Roman"/>
          <w:color w:val="FF0000"/>
          <w:sz w:val="24"/>
          <w:szCs w:val="32"/>
        </w:rPr>
        <w:t>achieved the best result in 3-steps forecasting and 6-steps forecasting</w:t>
      </w:r>
      <w:r>
        <w:rPr>
          <w:rFonts w:hint="eastAsia" w:ascii="Times New Roman" w:hAnsi="Times New Roman" w:cs="Times New Roman"/>
          <w:color w:val="FF0000"/>
          <w:sz w:val="24"/>
          <w:szCs w:val="32"/>
        </w:rPr>
        <w:t xml:space="preserve"> (MAE: 0.127, RMSE: 0.147)</w:t>
      </w:r>
      <w:r>
        <w:rPr>
          <w:rFonts w:ascii="Times New Roman" w:hAnsi="Times New Roman" w:cs="Times New Roman"/>
          <w:color w:val="FF0000"/>
          <w:sz w:val="24"/>
          <w:szCs w:val="32"/>
        </w:rPr>
        <w:t xml:space="preserve">. </w:t>
      </w:r>
      <w:r>
        <w:rPr>
          <w:rFonts w:hint="eastAsia" w:ascii="Times New Roman" w:hAnsi="Times New Roman" w:cs="Times New Roman"/>
          <w:color w:val="FF0000"/>
          <w:sz w:val="24"/>
          <w:szCs w:val="32"/>
        </w:rPr>
        <w:t>More specifically</w:t>
      </w:r>
      <w:r>
        <w:rPr>
          <w:rFonts w:ascii="Times New Roman" w:hAnsi="Times New Roman" w:cs="Times New Roman"/>
          <w:color w:val="FF0000"/>
          <w:sz w:val="24"/>
          <w:szCs w:val="32"/>
        </w:rPr>
        <w:t>,</w:t>
      </w:r>
      <w:r>
        <w:rPr>
          <w:rFonts w:hint="eastAsia" w:ascii="Times New Roman" w:hAnsi="Times New Roman" w:cs="Times New Roman"/>
          <w:color w:val="FF0000"/>
          <w:sz w:val="24"/>
          <w:szCs w:val="32"/>
        </w:rPr>
        <w:t xml:space="preserve"> the proposed model </w:t>
      </w:r>
      <w:r>
        <w:rPr>
          <w:rFonts w:ascii="Times New Roman" w:hAnsi="Times New Roman" w:cs="Times New Roman"/>
          <w:color w:val="FF0000"/>
          <w:sz w:val="24"/>
          <w:szCs w:val="32"/>
        </w:rPr>
        <w:t xml:space="preserve">outperforms other models by </w:t>
      </w:r>
      <w:r>
        <w:rPr>
          <w:rFonts w:hint="eastAsia" w:ascii="Times New Roman" w:hAnsi="Times New Roman" w:cs="Times New Roman"/>
          <w:color w:val="FF0000"/>
          <w:sz w:val="24"/>
          <w:szCs w:val="32"/>
        </w:rPr>
        <w:t xml:space="preserve">more than </w:t>
      </w:r>
      <w:r>
        <w:rPr>
          <w:rFonts w:ascii="Times New Roman" w:hAnsi="Times New Roman" w:cs="Times New Roman"/>
          <w:color w:val="FF0000"/>
          <w:sz w:val="24"/>
          <w:szCs w:val="32"/>
        </w:rPr>
        <w:t>0.019</w:t>
      </w:r>
      <w:r>
        <w:rPr>
          <w:rFonts w:hint="eastAsia" w:ascii="Times New Roman" w:hAnsi="Times New Roman" w:cs="Times New Roman"/>
          <w:color w:val="FF0000"/>
          <w:sz w:val="24"/>
          <w:szCs w:val="32"/>
        </w:rPr>
        <w:t xml:space="preserve"> MAE and 0.022 RMSE</w:t>
      </w:r>
      <w:r>
        <w:rPr>
          <w:rFonts w:ascii="Times New Roman" w:hAnsi="Times New Roman" w:cs="Times New Roman"/>
          <w:color w:val="FF0000"/>
          <w:sz w:val="24"/>
          <w:szCs w:val="32"/>
        </w:rPr>
        <w:t>. When the predicting horizon increased from 3</w:t>
      </w:r>
      <w:r>
        <w:rPr>
          <w:rFonts w:hint="eastAsia" w:ascii="Times New Roman" w:hAnsi="Times New Roman" w:cs="Times New Roman"/>
          <w:color w:val="FF0000"/>
          <w:sz w:val="24"/>
          <w:szCs w:val="32"/>
        </w:rPr>
        <w:t xml:space="preserve"> steps</w:t>
      </w:r>
      <w:r>
        <w:rPr>
          <w:rFonts w:ascii="Times New Roman" w:hAnsi="Times New Roman" w:cs="Times New Roman"/>
          <w:color w:val="FF0000"/>
          <w:sz w:val="24"/>
          <w:szCs w:val="32"/>
        </w:rPr>
        <w:t xml:space="preserve"> to 6</w:t>
      </w:r>
      <w:r>
        <w:rPr>
          <w:rFonts w:hint="eastAsia" w:ascii="Times New Roman" w:hAnsi="Times New Roman" w:cs="Times New Roman"/>
          <w:color w:val="FF0000"/>
          <w:sz w:val="24"/>
          <w:szCs w:val="32"/>
        </w:rPr>
        <w:t xml:space="preserve"> steps</w:t>
      </w:r>
      <w:r>
        <w:rPr>
          <w:rFonts w:ascii="Times New Roman" w:hAnsi="Times New Roman" w:cs="Times New Roman"/>
          <w:color w:val="FF0000"/>
          <w:sz w:val="24"/>
          <w:szCs w:val="32"/>
        </w:rPr>
        <w:t>,</w:t>
      </w:r>
      <w:r>
        <w:rPr>
          <w:rFonts w:hint="eastAsia" w:ascii="Times New Roman" w:hAnsi="Times New Roman" w:cs="Times New Roman"/>
          <w:color w:val="FF0000"/>
          <w:sz w:val="24"/>
          <w:szCs w:val="32"/>
        </w:rPr>
        <w:t xml:space="preserve"> </w:t>
      </w:r>
      <w:r>
        <w:rPr>
          <w:rFonts w:ascii="Times New Roman" w:hAnsi="Times New Roman" w:cs="Times New Roman"/>
          <w:color w:val="FF0000"/>
          <w:sz w:val="24"/>
          <w:szCs w:val="32"/>
        </w:rPr>
        <w:t xml:space="preserve">LASSO-BiLSTM outperforms other models by </w:t>
      </w:r>
      <w:r>
        <w:rPr>
          <w:rFonts w:hint="eastAsia" w:ascii="Times New Roman" w:hAnsi="Times New Roman" w:cs="Times New Roman"/>
          <w:color w:val="FF0000"/>
          <w:sz w:val="24"/>
          <w:szCs w:val="32"/>
        </w:rPr>
        <w:t>more than 0.022</w:t>
      </w:r>
      <w:r>
        <w:rPr>
          <w:rFonts w:ascii="Times New Roman" w:hAnsi="Times New Roman" w:cs="Times New Roman"/>
          <w:color w:val="FF0000"/>
          <w:sz w:val="24"/>
          <w:szCs w:val="32"/>
        </w:rPr>
        <w:t xml:space="preserve"> MAE</w:t>
      </w:r>
      <w:r>
        <w:rPr>
          <w:rFonts w:hint="eastAsia" w:ascii="Times New Roman" w:hAnsi="Times New Roman" w:cs="Times New Roman"/>
          <w:color w:val="FF0000"/>
          <w:sz w:val="24"/>
          <w:szCs w:val="32"/>
        </w:rPr>
        <w:t xml:space="preserve"> </w:t>
      </w:r>
      <w:r>
        <w:rPr>
          <w:rFonts w:ascii="Times New Roman" w:hAnsi="Times New Roman" w:cs="Times New Roman"/>
          <w:color w:val="FF0000"/>
          <w:sz w:val="24"/>
          <w:szCs w:val="32"/>
        </w:rPr>
        <w:t xml:space="preserve">and </w:t>
      </w:r>
      <w:r>
        <w:rPr>
          <w:rFonts w:hint="eastAsia" w:ascii="Times New Roman" w:hAnsi="Times New Roman" w:cs="Times New Roman"/>
          <w:color w:val="FF0000"/>
          <w:sz w:val="24"/>
          <w:szCs w:val="32"/>
        </w:rPr>
        <w:t xml:space="preserve">0.032 </w:t>
      </w:r>
      <w:r>
        <w:rPr>
          <w:rFonts w:ascii="Times New Roman" w:hAnsi="Times New Roman" w:cs="Times New Roman"/>
          <w:color w:val="FF0000"/>
          <w:sz w:val="24"/>
          <w:szCs w:val="32"/>
        </w:rPr>
        <w:t>RMSE.</w:t>
      </w:r>
      <w:r>
        <w:rPr>
          <w:rFonts w:hint="eastAsia" w:ascii="Times New Roman" w:hAnsi="Times New Roman" w:cs="Times New Roman"/>
          <w:color w:val="FF0000"/>
          <w:sz w:val="24"/>
          <w:szCs w:val="32"/>
        </w:rPr>
        <w:t xml:space="preserve"> Therefore, </w:t>
      </w:r>
      <w:r>
        <w:rPr>
          <w:rFonts w:ascii="Times New Roman" w:hAnsi="Times New Roman" w:cs="Times New Roman"/>
          <w:color w:val="FF0000"/>
          <w:sz w:val="24"/>
          <w:szCs w:val="32"/>
        </w:rPr>
        <w:t>LASSO-BiLSTM has the lowest error</w:t>
      </w:r>
      <w:r>
        <w:rPr>
          <w:rFonts w:hint="eastAsia" w:ascii="Times New Roman" w:hAnsi="Times New Roman" w:cs="Times New Roman"/>
          <w:color w:val="FF0000"/>
          <w:sz w:val="24"/>
          <w:szCs w:val="32"/>
        </w:rPr>
        <w:t xml:space="preserve"> in both 3-steps and 6-steps forecasting</w:t>
      </w:r>
      <w:r>
        <w:rPr>
          <w:rFonts w:ascii="Times New Roman" w:hAnsi="Times New Roman" w:cs="Times New Roman"/>
          <w:color w:val="FF0000"/>
          <w:sz w:val="24"/>
          <w:szCs w:val="32"/>
        </w:rPr>
        <w:t xml:space="preserve">. </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6: Evaluated performance of 3-steps forecast</w:t>
      </w:r>
    </w:p>
    <w:tbl>
      <w:tblPr>
        <w:tblStyle w:val="15"/>
        <w:tblW w:w="829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3"/>
        <w:gridCol w:w="2073"/>
        <w:gridCol w:w="2073"/>
        <w:gridCol w:w="207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top w:val="single" w:color="auto" w:sz="4" w:space="0"/>
              <w:bottom w:val="single" w:color="auto" w:sz="4" w:space="0"/>
            </w:tcBorders>
          </w:tcPr>
          <w:p>
            <w:pPr>
              <w:jc w:val="center"/>
              <w:rPr>
                <w:rFonts w:ascii="Times New Roman" w:hAnsi="Times New Roman" w:cs="Times New Roman"/>
                <w:b/>
                <w:bCs/>
              </w:rPr>
            </w:pPr>
          </w:p>
        </w:tc>
        <w:tc>
          <w:tcPr>
            <w:tcW w:w="2073" w:type="dxa"/>
            <w:tcBorders>
              <w:top w:val="single" w:color="auto" w:sz="4" w:space="0"/>
              <w:bottom w:val="single" w:color="auto" w:sz="4" w:space="0"/>
            </w:tcBorders>
          </w:tcPr>
          <w:p>
            <w:pPr>
              <w:jc w:val="center"/>
              <w:rPr>
                <w:rFonts w:ascii="Times New Roman" w:hAnsi="Times New Roman" w:cs="Times New Roman"/>
                <w:b/>
                <w:bCs/>
              </w:rPr>
            </w:pPr>
            <w:r>
              <w:rPr>
                <w:rFonts w:ascii="Times New Roman" w:hAnsi="Times New Roman" w:cs="Times New Roman"/>
                <w:b/>
                <w:bCs/>
              </w:rPr>
              <w:t>MAE</w:t>
            </w:r>
          </w:p>
        </w:tc>
        <w:tc>
          <w:tcPr>
            <w:tcW w:w="2073" w:type="dxa"/>
            <w:tcBorders>
              <w:top w:val="single" w:color="auto" w:sz="4" w:space="0"/>
              <w:bottom w:val="single" w:color="auto" w:sz="4" w:space="0"/>
            </w:tcBorders>
          </w:tcPr>
          <w:p>
            <w:pPr>
              <w:jc w:val="center"/>
              <w:rPr>
                <w:rFonts w:ascii="Times New Roman" w:hAnsi="Times New Roman" w:cs="Times New Roman"/>
                <w:b/>
                <w:bCs/>
              </w:rPr>
            </w:pPr>
            <w:r>
              <w:rPr>
                <w:rFonts w:ascii="Times New Roman" w:hAnsi="Times New Roman" w:cs="Times New Roman"/>
                <w:b/>
                <w:bCs/>
              </w:rPr>
              <w:t>RMSE</w:t>
            </w:r>
          </w:p>
        </w:tc>
        <w:tc>
          <w:tcPr>
            <w:tcW w:w="2073" w:type="dxa"/>
            <w:tcBorders>
              <w:top w:val="single" w:color="auto" w:sz="4" w:space="0"/>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top w:val="single" w:color="auto" w:sz="4" w:space="0"/>
            </w:tcBorders>
          </w:tcPr>
          <w:p>
            <w:pPr>
              <w:jc w:val="center"/>
              <w:rPr>
                <w:rFonts w:ascii="Times New Roman" w:hAnsi="Times New Roman" w:cs="Times New Roman"/>
                <w:b/>
                <w:bCs/>
              </w:rPr>
            </w:pPr>
            <w:r>
              <w:rPr>
                <w:rFonts w:ascii="Times New Roman" w:hAnsi="Times New Roman" w:cs="Times New Roman"/>
                <w:b/>
                <w:bCs/>
              </w:rPr>
              <w:t>SVR</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0.278</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0.418</w:t>
            </w:r>
          </w:p>
        </w:tc>
        <w:tc>
          <w:tcPr>
            <w:tcW w:w="2073"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0.346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ELM</w:t>
            </w:r>
          </w:p>
        </w:tc>
        <w:tc>
          <w:tcPr>
            <w:tcW w:w="2073" w:type="dxa"/>
          </w:tcPr>
          <w:p>
            <w:pPr>
              <w:jc w:val="center"/>
              <w:rPr>
                <w:rFonts w:ascii="Times New Roman" w:hAnsi="Times New Roman" w:cs="Times New Roman"/>
              </w:rPr>
            </w:pPr>
            <w:r>
              <w:rPr>
                <w:rFonts w:ascii="Times New Roman" w:hAnsi="Times New Roman" w:cs="Times New Roman"/>
              </w:rPr>
              <w:t>0.265</w:t>
            </w:r>
          </w:p>
        </w:tc>
        <w:tc>
          <w:tcPr>
            <w:tcW w:w="2073" w:type="dxa"/>
          </w:tcPr>
          <w:p>
            <w:pPr>
              <w:jc w:val="center"/>
              <w:rPr>
                <w:rFonts w:ascii="Times New Roman" w:hAnsi="Times New Roman" w:cs="Times New Roman"/>
              </w:rPr>
            </w:pPr>
            <w:r>
              <w:rPr>
                <w:rFonts w:ascii="Times New Roman" w:hAnsi="Times New Roman" w:cs="Times New Roman"/>
              </w:rPr>
              <w:t>0.321</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LSTM</w:t>
            </w:r>
          </w:p>
        </w:tc>
        <w:tc>
          <w:tcPr>
            <w:tcW w:w="2073" w:type="dxa"/>
          </w:tcPr>
          <w:p>
            <w:pPr>
              <w:jc w:val="center"/>
              <w:rPr>
                <w:rFonts w:ascii="Times New Roman" w:hAnsi="Times New Roman" w:cs="Times New Roman"/>
              </w:rPr>
            </w:pPr>
            <w:r>
              <w:rPr>
                <w:rFonts w:ascii="Times New Roman" w:hAnsi="Times New Roman" w:cs="Times New Roman"/>
              </w:rPr>
              <w:t>0.334</w:t>
            </w:r>
          </w:p>
        </w:tc>
        <w:tc>
          <w:tcPr>
            <w:tcW w:w="2073" w:type="dxa"/>
          </w:tcPr>
          <w:p>
            <w:pPr>
              <w:jc w:val="center"/>
              <w:rPr>
                <w:rFonts w:ascii="Times New Roman" w:hAnsi="Times New Roman" w:cs="Times New Roman"/>
              </w:rPr>
            </w:pPr>
            <w:r>
              <w:rPr>
                <w:rFonts w:ascii="Times New Roman" w:hAnsi="Times New Roman" w:cs="Times New Roman"/>
              </w:rPr>
              <w:t>0.401</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0.577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BiLSTM</w:t>
            </w:r>
          </w:p>
        </w:tc>
        <w:tc>
          <w:tcPr>
            <w:tcW w:w="2073" w:type="dxa"/>
          </w:tcPr>
          <w:p>
            <w:pPr>
              <w:jc w:val="center"/>
              <w:rPr>
                <w:rFonts w:ascii="Times New Roman" w:hAnsi="Times New Roman" w:cs="Times New Roman"/>
              </w:rPr>
            </w:pPr>
            <w:r>
              <w:rPr>
                <w:rFonts w:ascii="Times New Roman" w:hAnsi="Times New Roman" w:cs="Times New Roman"/>
              </w:rPr>
              <w:t>0.186</w:t>
            </w:r>
          </w:p>
        </w:tc>
        <w:tc>
          <w:tcPr>
            <w:tcW w:w="2073" w:type="dxa"/>
          </w:tcPr>
          <w:p>
            <w:pPr>
              <w:jc w:val="center"/>
              <w:rPr>
                <w:rFonts w:ascii="Times New Roman" w:hAnsi="Times New Roman" w:cs="Times New Roman"/>
              </w:rPr>
            </w:pPr>
            <w:r>
              <w:rPr>
                <w:rFonts w:ascii="Times New Roman" w:hAnsi="Times New Roman" w:cs="Times New Roman"/>
              </w:rPr>
              <w:t>0.245</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0.423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KELM</w:t>
            </w:r>
          </w:p>
        </w:tc>
        <w:tc>
          <w:tcPr>
            <w:tcW w:w="2073" w:type="dxa"/>
          </w:tcPr>
          <w:p>
            <w:pPr>
              <w:jc w:val="center"/>
              <w:rPr>
                <w:rFonts w:ascii="Times New Roman" w:hAnsi="Times New Roman" w:cs="Times New Roman"/>
              </w:rPr>
            </w:pPr>
            <w:r>
              <w:rPr>
                <w:rFonts w:ascii="Times New Roman" w:hAnsi="Times New Roman" w:cs="Times New Roman"/>
              </w:rPr>
              <w:t>0.240</w:t>
            </w:r>
          </w:p>
        </w:tc>
        <w:tc>
          <w:tcPr>
            <w:tcW w:w="2073" w:type="dxa"/>
          </w:tcPr>
          <w:p>
            <w:pPr>
              <w:jc w:val="center"/>
              <w:rPr>
                <w:rFonts w:ascii="Times New Roman" w:hAnsi="Times New Roman" w:cs="Times New Roman"/>
              </w:rPr>
            </w:pPr>
            <w:r>
              <w:rPr>
                <w:rFonts w:ascii="Times New Roman" w:hAnsi="Times New Roman" w:cs="Times New Roman"/>
              </w:rPr>
              <w:t>0.260</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LASSO-SVR</w:t>
            </w:r>
          </w:p>
        </w:tc>
        <w:tc>
          <w:tcPr>
            <w:tcW w:w="2073" w:type="dxa"/>
          </w:tcPr>
          <w:p>
            <w:pPr>
              <w:jc w:val="center"/>
              <w:rPr>
                <w:rFonts w:ascii="Times New Roman" w:hAnsi="Times New Roman" w:cs="Times New Roman"/>
              </w:rPr>
            </w:pPr>
            <w:r>
              <w:rPr>
                <w:rFonts w:ascii="Times New Roman" w:hAnsi="Times New Roman" w:cs="Times New Roman"/>
              </w:rPr>
              <w:t>0.221</w:t>
            </w:r>
          </w:p>
        </w:tc>
        <w:tc>
          <w:tcPr>
            <w:tcW w:w="2073" w:type="dxa"/>
          </w:tcPr>
          <w:p>
            <w:pPr>
              <w:jc w:val="center"/>
              <w:rPr>
                <w:rFonts w:ascii="Times New Roman" w:hAnsi="Times New Roman" w:cs="Times New Roman"/>
              </w:rPr>
            </w:pPr>
            <w:r>
              <w:rPr>
                <w:rFonts w:ascii="Times New Roman" w:hAnsi="Times New Roman" w:cs="Times New Roman"/>
              </w:rPr>
              <w:t>0.284</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0.481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LASSO-ELM</w:t>
            </w:r>
          </w:p>
        </w:tc>
        <w:tc>
          <w:tcPr>
            <w:tcW w:w="2073" w:type="dxa"/>
          </w:tcPr>
          <w:p>
            <w:pPr>
              <w:jc w:val="center"/>
              <w:rPr>
                <w:rFonts w:ascii="Times New Roman" w:hAnsi="Times New Roman" w:cs="Times New Roman"/>
              </w:rPr>
            </w:pPr>
            <w:r>
              <w:rPr>
                <w:rFonts w:ascii="Times New Roman" w:hAnsi="Times New Roman" w:cs="Times New Roman"/>
              </w:rPr>
              <w:t>0.183</w:t>
            </w:r>
          </w:p>
        </w:tc>
        <w:tc>
          <w:tcPr>
            <w:tcW w:w="2073" w:type="dxa"/>
          </w:tcPr>
          <w:p>
            <w:pPr>
              <w:jc w:val="center"/>
              <w:rPr>
                <w:rFonts w:ascii="Times New Roman" w:hAnsi="Times New Roman" w:cs="Times New Roman"/>
              </w:rPr>
            </w:pPr>
            <w:r>
              <w:rPr>
                <w:rFonts w:ascii="Times New Roman" w:hAnsi="Times New Roman" w:cs="Times New Roman"/>
              </w:rPr>
              <w:t>0.218</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0.481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LASSO-LSTM</w:t>
            </w:r>
          </w:p>
        </w:tc>
        <w:tc>
          <w:tcPr>
            <w:tcW w:w="2073" w:type="dxa"/>
          </w:tcPr>
          <w:p>
            <w:pPr>
              <w:jc w:val="center"/>
              <w:rPr>
                <w:rFonts w:ascii="Times New Roman" w:hAnsi="Times New Roman" w:cs="Times New Roman"/>
              </w:rPr>
            </w:pPr>
            <w:r>
              <w:rPr>
                <w:rFonts w:ascii="Times New Roman" w:hAnsi="Times New Roman" w:cs="Times New Roman"/>
              </w:rPr>
              <w:t>0.147</w:t>
            </w:r>
          </w:p>
        </w:tc>
        <w:tc>
          <w:tcPr>
            <w:tcW w:w="2073" w:type="dxa"/>
          </w:tcPr>
          <w:p>
            <w:pPr>
              <w:jc w:val="center"/>
              <w:rPr>
                <w:rFonts w:ascii="Times New Roman" w:hAnsi="Times New Roman" w:cs="Times New Roman"/>
              </w:rPr>
            </w:pPr>
            <w:r>
              <w:rPr>
                <w:rFonts w:ascii="Times New Roman" w:hAnsi="Times New Roman" w:cs="Times New Roman"/>
              </w:rPr>
              <w:t>0.195</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0.556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LASSO-BiLSTM</w:t>
            </w:r>
          </w:p>
        </w:tc>
        <w:tc>
          <w:tcPr>
            <w:tcW w:w="2073" w:type="dxa"/>
          </w:tcPr>
          <w:p>
            <w:pPr>
              <w:jc w:val="center"/>
              <w:rPr>
                <w:rFonts w:ascii="Times New Roman" w:hAnsi="Times New Roman" w:cs="Times New Roman"/>
                <w:b/>
                <w:bCs/>
              </w:rPr>
            </w:pPr>
            <w:r>
              <w:rPr>
                <w:rFonts w:ascii="Times New Roman" w:hAnsi="Times New Roman" w:cs="Times New Roman"/>
                <w:b/>
                <w:bCs/>
              </w:rPr>
              <w:t>0.127</w:t>
            </w:r>
          </w:p>
        </w:tc>
        <w:tc>
          <w:tcPr>
            <w:tcW w:w="2073" w:type="dxa"/>
          </w:tcPr>
          <w:p>
            <w:pPr>
              <w:jc w:val="center"/>
              <w:rPr>
                <w:rFonts w:ascii="Times New Roman" w:hAnsi="Times New Roman" w:cs="Times New Roman"/>
                <w:b/>
                <w:bCs/>
              </w:rPr>
            </w:pPr>
            <w:r>
              <w:rPr>
                <w:rFonts w:ascii="Times New Roman" w:hAnsi="Times New Roman" w:cs="Times New Roman"/>
                <w:b/>
                <w:bCs/>
              </w:rPr>
              <w:t>0.147</w:t>
            </w:r>
          </w:p>
        </w:tc>
        <w:tc>
          <w:tcPr>
            <w:tcW w:w="2073" w:type="dxa"/>
          </w:tcPr>
          <w:p>
            <w:pPr>
              <w:jc w:val="center"/>
              <w:rPr>
                <w:rFonts w:ascii="Times New Roman" w:hAnsi="Times New Roman" w:cs="Times New Roman"/>
                <w:b/>
                <w:bCs/>
                <w:color w:val="FF0000"/>
              </w:rPr>
            </w:pPr>
            <w:r>
              <w:rPr>
                <w:rFonts w:ascii="Times New Roman" w:hAnsi="Times New Roman" w:cs="Times New Roman"/>
                <w:b/>
                <w:bCs/>
                <w:color w:val="FF0000"/>
              </w:rPr>
              <w:t>0.592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LASSO-KELM</w:t>
            </w:r>
          </w:p>
        </w:tc>
        <w:tc>
          <w:tcPr>
            <w:tcW w:w="2073" w:type="dxa"/>
            <w:tcBorders>
              <w:bottom w:val="single" w:color="auto" w:sz="4" w:space="0"/>
            </w:tcBorders>
          </w:tcPr>
          <w:p>
            <w:pPr>
              <w:jc w:val="center"/>
              <w:rPr>
                <w:rFonts w:ascii="Times New Roman" w:hAnsi="Times New Roman" w:cs="Times New Roman"/>
              </w:rPr>
            </w:pPr>
            <w:r>
              <w:rPr>
                <w:rFonts w:ascii="Times New Roman" w:hAnsi="Times New Roman" w:cs="Times New Roman"/>
              </w:rPr>
              <w:t>0.146</w:t>
            </w:r>
          </w:p>
        </w:tc>
        <w:tc>
          <w:tcPr>
            <w:tcW w:w="2073" w:type="dxa"/>
            <w:tcBorders>
              <w:bottom w:val="single" w:color="auto" w:sz="4" w:space="0"/>
            </w:tcBorders>
          </w:tcPr>
          <w:p>
            <w:pPr>
              <w:jc w:val="center"/>
              <w:rPr>
                <w:rFonts w:ascii="Times New Roman" w:hAnsi="Times New Roman" w:cs="Times New Roman"/>
              </w:rPr>
            </w:pPr>
            <w:r>
              <w:rPr>
                <w:rFonts w:ascii="Times New Roman" w:hAnsi="Times New Roman" w:cs="Times New Roman"/>
              </w:rPr>
              <w:t>0.169</w:t>
            </w:r>
          </w:p>
        </w:tc>
        <w:tc>
          <w:tcPr>
            <w:tcW w:w="2073" w:type="dxa"/>
            <w:tcBorders>
              <w:bottom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0.481</w:t>
            </w:r>
          </w:p>
        </w:tc>
      </w:tr>
    </w:tbl>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7: Evaluated performance of 6-steps forecast</w:t>
      </w:r>
    </w:p>
    <w:tbl>
      <w:tblPr>
        <w:tblStyle w:val="15"/>
        <w:tblW w:w="829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3"/>
        <w:gridCol w:w="2073"/>
        <w:gridCol w:w="2073"/>
        <w:gridCol w:w="207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bottom w:val="single" w:color="auto" w:sz="4" w:space="0"/>
            </w:tcBorders>
          </w:tcPr>
          <w:p>
            <w:pPr>
              <w:jc w:val="center"/>
              <w:rPr>
                <w:rFonts w:ascii="Times New Roman" w:hAnsi="Times New Roman" w:cs="Times New Roman"/>
                <w:b/>
                <w:bCs/>
              </w:rPr>
            </w:pP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MAE</w:t>
            </w: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RMSE</w:t>
            </w:r>
          </w:p>
        </w:tc>
        <w:tc>
          <w:tcPr>
            <w:tcW w:w="2073"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top w:val="single" w:color="auto" w:sz="4" w:space="0"/>
            </w:tcBorders>
          </w:tcPr>
          <w:p>
            <w:pPr>
              <w:jc w:val="center"/>
              <w:rPr>
                <w:rFonts w:ascii="Times New Roman" w:hAnsi="Times New Roman" w:cs="Times New Roman"/>
                <w:b/>
                <w:bCs/>
              </w:rPr>
            </w:pPr>
            <w:r>
              <w:rPr>
                <w:rFonts w:ascii="Times New Roman" w:hAnsi="Times New Roman" w:cs="Times New Roman"/>
                <w:b/>
                <w:bCs/>
              </w:rPr>
              <w:t>SVR</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0.465</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0.671</w:t>
            </w:r>
          </w:p>
        </w:tc>
        <w:tc>
          <w:tcPr>
            <w:tcW w:w="2073"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0.346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ELM</w:t>
            </w:r>
          </w:p>
        </w:tc>
        <w:tc>
          <w:tcPr>
            <w:tcW w:w="2073" w:type="dxa"/>
          </w:tcPr>
          <w:p>
            <w:pPr>
              <w:jc w:val="center"/>
              <w:rPr>
                <w:rFonts w:ascii="Times New Roman" w:hAnsi="Times New Roman" w:cs="Times New Roman"/>
              </w:rPr>
            </w:pPr>
            <w:r>
              <w:rPr>
                <w:rFonts w:ascii="Times New Roman" w:hAnsi="Times New Roman" w:cs="Times New Roman"/>
              </w:rPr>
              <w:t>0.252</w:t>
            </w:r>
          </w:p>
        </w:tc>
        <w:tc>
          <w:tcPr>
            <w:tcW w:w="2073" w:type="dxa"/>
          </w:tcPr>
          <w:p>
            <w:pPr>
              <w:jc w:val="center"/>
              <w:rPr>
                <w:rFonts w:ascii="Times New Roman" w:hAnsi="Times New Roman" w:cs="Times New Roman"/>
              </w:rPr>
            </w:pPr>
            <w:r>
              <w:rPr>
                <w:rFonts w:ascii="Times New Roman" w:hAnsi="Times New Roman" w:cs="Times New Roman"/>
              </w:rPr>
              <w:t>0.283</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0.307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LSTM</w:t>
            </w:r>
          </w:p>
        </w:tc>
        <w:tc>
          <w:tcPr>
            <w:tcW w:w="2073" w:type="dxa"/>
          </w:tcPr>
          <w:p>
            <w:pPr>
              <w:jc w:val="center"/>
              <w:rPr>
                <w:rFonts w:ascii="Times New Roman" w:hAnsi="Times New Roman" w:cs="Times New Roman"/>
              </w:rPr>
            </w:pPr>
            <w:r>
              <w:rPr>
                <w:rFonts w:ascii="Times New Roman" w:hAnsi="Times New Roman" w:cs="Times New Roman"/>
              </w:rPr>
              <w:t>0.325</w:t>
            </w:r>
          </w:p>
        </w:tc>
        <w:tc>
          <w:tcPr>
            <w:tcW w:w="2073" w:type="dxa"/>
          </w:tcPr>
          <w:p>
            <w:pPr>
              <w:jc w:val="center"/>
              <w:rPr>
                <w:rFonts w:ascii="Times New Roman" w:hAnsi="Times New Roman" w:cs="Times New Roman"/>
              </w:rPr>
            </w:pPr>
            <w:r>
              <w:rPr>
                <w:rFonts w:ascii="Times New Roman" w:hAnsi="Times New Roman" w:cs="Times New Roman"/>
              </w:rPr>
              <w:t>0.356</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BiLSTM</w:t>
            </w:r>
          </w:p>
        </w:tc>
        <w:tc>
          <w:tcPr>
            <w:tcW w:w="2073" w:type="dxa"/>
          </w:tcPr>
          <w:p>
            <w:pPr>
              <w:jc w:val="center"/>
              <w:rPr>
                <w:rFonts w:ascii="Times New Roman" w:hAnsi="Times New Roman" w:cs="Times New Roman"/>
              </w:rPr>
            </w:pPr>
            <w:r>
              <w:rPr>
                <w:rFonts w:ascii="Times New Roman" w:hAnsi="Times New Roman" w:cs="Times New Roman"/>
              </w:rPr>
              <w:t>0.333</w:t>
            </w:r>
          </w:p>
        </w:tc>
        <w:tc>
          <w:tcPr>
            <w:tcW w:w="2073" w:type="dxa"/>
          </w:tcPr>
          <w:p>
            <w:pPr>
              <w:jc w:val="center"/>
              <w:rPr>
                <w:rFonts w:ascii="Times New Roman" w:hAnsi="Times New Roman" w:cs="Times New Roman"/>
              </w:rPr>
            </w:pPr>
            <w:r>
              <w:rPr>
                <w:rFonts w:ascii="Times New Roman" w:hAnsi="Times New Roman" w:cs="Times New Roman"/>
              </w:rPr>
              <w:t>0.363</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0.385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KELM</w:t>
            </w:r>
          </w:p>
        </w:tc>
        <w:tc>
          <w:tcPr>
            <w:tcW w:w="2073" w:type="dxa"/>
          </w:tcPr>
          <w:p>
            <w:pPr>
              <w:jc w:val="center"/>
              <w:rPr>
                <w:rFonts w:ascii="Times New Roman" w:hAnsi="Times New Roman" w:cs="Times New Roman"/>
              </w:rPr>
            </w:pPr>
            <w:r>
              <w:rPr>
                <w:rFonts w:ascii="Times New Roman" w:hAnsi="Times New Roman" w:cs="Times New Roman"/>
              </w:rPr>
              <w:t>0.275</w:t>
            </w:r>
          </w:p>
        </w:tc>
        <w:tc>
          <w:tcPr>
            <w:tcW w:w="2073" w:type="dxa"/>
          </w:tcPr>
          <w:p>
            <w:pPr>
              <w:jc w:val="center"/>
              <w:rPr>
                <w:rFonts w:ascii="Times New Roman" w:hAnsi="Times New Roman" w:cs="Times New Roman"/>
              </w:rPr>
            </w:pPr>
            <w:r>
              <w:rPr>
                <w:rFonts w:ascii="Times New Roman" w:hAnsi="Times New Roman" w:cs="Times New Roman"/>
              </w:rPr>
              <w:t>0.297</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LASSO-SVR</w:t>
            </w:r>
          </w:p>
        </w:tc>
        <w:tc>
          <w:tcPr>
            <w:tcW w:w="2073" w:type="dxa"/>
          </w:tcPr>
          <w:p>
            <w:pPr>
              <w:jc w:val="center"/>
              <w:rPr>
                <w:rFonts w:ascii="Times New Roman" w:hAnsi="Times New Roman" w:cs="Times New Roman"/>
              </w:rPr>
            </w:pPr>
            <w:r>
              <w:rPr>
                <w:rFonts w:ascii="Times New Roman" w:hAnsi="Times New Roman" w:cs="Times New Roman"/>
              </w:rPr>
              <w:t>0.211</w:t>
            </w:r>
          </w:p>
        </w:tc>
        <w:tc>
          <w:tcPr>
            <w:tcW w:w="2073" w:type="dxa"/>
          </w:tcPr>
          <w:p>
            <w:pPr>
              <w:jc w:val="center"/>
              <w:rPr>
                <w:rFonts w:ascii="Times New Roman" w:hAnsi="Times New Roman" w:cs="Times New Roman"/>
              </w:rPr>
            </w:pPr>
            <w:r>
              <w:rPr>
                <w:rFonts w:ascii="Times New Roman" w:hAnsi="Times New Roman" w:cs="Times New Roman"/>
              </w:rPr>
              <w:t>0.293</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LASSO-ELM</w:t>
            </w:r>
          </w:p>
        </w:tc>
        <w:tc>
          <w:tcPr>
            <w:tcW w:w="2073" w:type="dxa"/>
          </w:tcPr>
          <w:p>
            <w:pPr>
              <w:jc w:val="center"/>
              <w:rPr>
                <w:rFonts w:ascii="Times New Roman" w:hAnsi="Times New Roman" w:cs="Times New Roman"/>
              </w:rPr>
            </w:pPr>
            <w:r>
              <w:rPr>
                <w:rFonts w:ascii="Times New Roman" w:hAnsi="Times New Roman" w:cs="Times New Roman"/>
              </w:rPr>
              <w:t>0.212</w:t>
            </w:r>
          </w:p>
        </w:tc>
        <w:tc>
          <w:tcPr>
            <w:tcW w:w="2073" w:type="dxa"/>
          </w:tcPr>
          <w:p>
            <w:pPr>
              <w:jc w:val="center"/>
              <w:rPr>
                <w:rFonts w:ascii="Times New Roman" w:hAnsi="Times New Roman" w:cs="Times New Roman"/>
              </w:rPr>
            </w:pPr>
            <w:r>
              <w:rPr>
                <w:rFonts w:ascii="Times New Roman" w:hAnsi="Times New Roman" w:cs="Times New Roman"/>
              </w:rPr>
              <w:t>0.248</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LASSO-LSTM</w:t>
            </w:r>
          </w:p>
        </w:tc>
        <w:tc>
          <w:tcPr>
            <w:tcW w:w="2073" w:type="dxa"/>
          </w:tcPr>
          <w:p>
            <w:pPr>
              <w:jc w:val="center"/>
              <w:rPr>
                <w:rFonts w:ascii="Times New Roman" w:hAnsi="Times New Roman" w:cs="Times New Roman"/>
              </w:rPr>
            </w:pPr>
            <w:r>
              <w:rPr>
                <w:rFonts w:ascii="Times New Roman" w:hAnsi="Times New Roman" w:cs="Times New Roman"/>
              </w:rPr>
              <w:t>0.237</w:t>
            </w:r>
          </w:p>
        </w:tc>
        <w:tc>
          <w:tcPr>
            <w:tcW w:w="2073" w:type="dxa"/>
          </w:tcPr>
          <w:p>
            <w:pPr>
              <w:jc w:val="center"/>
              <w:rPr>
                <w:rFonts w:ascii="Times New Roman" w:hAnsi="Times New Roman" w:cs="Times New Roman"/>
              </w:rPr>
            </w:pPr>
            <w:r>
              <w:rPr>
                <w:rFonts w:ascii="Times New Roman" w:hAnsi="Times New Roman" w:cs="Times New Roman"/>
              </w:rPr>
              <w:t>0.287</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0.519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LASSO-BiLSTM</w:t>
            </w:r>
          </w:p>
        </w:tc>
        <w:tc>
          <w:tcPr>
            <w:tcW w:w="2073" w:type="dxa"/>
          </w:tcPr>
          <w:p>
            <w:pPr>
              <w:jc w:val="center"/>
              <w:rPr>
                <w:rFonts w:ascii="Times New Roman" w:hAnsi="Times New Roman" w:cs="Times New Roman"/>
                <w:b/>
                <w:bCs/>
              </w:rPr>
            </w:pPr>
            <w:r>
              <w:rPr>
                <w:rFonts w:ascii="Times New Roman" w:hAnsi="Times New Roman" w:cs="Times New Roman"/>
                <w:b/>
                <w:bCs/>
              </w:rPr>
              <w:t>0.189</w:t>
            </w:r>
          </w:p>
        </w:tc>
        <w:tc>
          <w:tcPr>
            <w:tcW w:w="2073" w:type="dxa"/>
          </w:tcPr>
          <w:p>
            <w:pPr>
              <w:jc w:val="center"/>
              <w:rPr>
                <w:rFonts w:ascii="Times New Roman" w:hAnsi="Times New Roman" w:cs="Times New Roman"/>
                <w:b/>
                <w:bCs/>
              </w:rPr>
            </w:pPr>
            <w:r>
              <w:rPr>
                <w:rFonts w:ascii="Times New Roman" w:hAnsi="Times New Roman" w:cs="Times New Roman"/>
                <w:b/>
                <w:bCs/>
              </w:rPr>
              <w:t>0.204</w:t>
            </w:r>
          </w:p>
        </w:tc>
        <w:tc>
          <w:tcPr>
            <w:tcW w:w="2073" w:type="dxa"/>
          </w:tcPr>
          <w:p>
            <w:pPr>
              <w:jc w:val="center"/>
              <w:rPr>
                <w:rFonts w:ascii="Times New Roman" w:hAnsi="Times New Roman" w:cs="Times New Roman"/>
                <w:b/>
                <w:bCs/>
                <w:color w:val="FF0000"/>
              </w:rPr>
            </w:pPr>
            <w:r>
              <w:rPr>
                <w:rFonts w:ascii="Times New Roman" w:hAnsi="Times New Roman" w:cs="Times New Roman"/>
                <w:b/>
                <w:bCs/>
                <w:color w:val="FF0000"/>
              </w:rPr>
              <w:t>0.519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LASSO-KELM</w:t>
            </w:r>
          </w:p>
        </w:tc>
        <w:tc>
          <w:tcPr>
            <w:tcW w:w="2073" w:type="dxa"/>
          </w:tcPr>
          <w:p>
            <w:pPr>
              <w:jc w:val="center"/>
              <w:rPr>
                <w:rFonts w:ascii="Times New Roman" w:hAnsi="Times New Roman" w:cs="Times New Roman"/>
              </w:rPr>
            </w:pPr>
            <w:r>
              <w:rPr>
                <w:rFonts w:ascii="Times New Roman" w:hAnsi="Times New Roman" w:cs="Times New Roman"/>
              </w:rPr>
              <w:t>0.226</w:t>
            </w:r>
          </w:p>
        </w:tc>
        <w:tc>
          <w:tcPr>
            <w:tcW w:w="2073" w:type="dxa"/>
          </w:tcPr>
          <w:p>
            <w:pPr>
              <w:jc w:val="center"/>
              <w:rPr>
                <w:rFonts w:ascii="Times New Roman" w:hAnsi="Times New Roman" w:cs="Times New Roman"/>
              </w:rPr>
            </w:pPr>
            <w:r>
              <w:rPr>
                <w:rFonts w:ascii="Times New Roman" w:hAnsi="Times New Roman" w:cs="Times New Roman"/>
              </w:rPr>
              <w:t>0.236</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0.481</w:t>
            </w:r>
          </w:p>
        </w:tc>
      </w:tr>
    </w:tbl>
    <w:p>
      <w:pPr>
        <w:spacing w:line="360" w:lineRule="auto"/>
        <w:ind w:firstLine="420"/>
        <w:rPr>
          <w:rFonts w:ascii="Times New Roman" w:hAnsi="Times New Roman" w:cs="Times New Roman"/>
          <w:color w:val="FF0000"/>
          <w:sz w:val="24"/>
          <w:szCs w:val="32"/>
        </w:rPr>
      </w:pPr>
      <w:r>
        <w:rPr>
          <w:rFonts w:hint="eastAsia" w:ascii="Times New Roman" w:hAnsi="Times New Roman" w:cs="Times New Roman"/>
          <w:color w:val="FF0000"/>
          <w:sz w:val="24"/>
        </w:rPr>
        <w:t xml:space="preserve">In conclusion, LASSO and BiLSTM-based models can effectively increase forecasting accuracy. LASSO plays an essential role in enhancing accuracy since it selects the most correlated variables and thus artificial intelligence models can </w:t>
      </w:r>
      <w:r>
        <w:rPr>
          <w:rFonts w:ascii="Times New Roman" w:hAnsi="Times New Roman" w:cs="Times New Roman"/>
          <w:color w:val="FF0000"/>
          <w:sz w:val="24"/>
          <w:szCs w:val="32"/>
        </w:rPr>
        <w:t xml:space="preserve">emphasize </w:t>
      </w:r>
      <w:r>
        <w:rPr>
          <w:rFonts w:hint="eastAsia" w:ascii="Times New Roman" w:hAnsi="Times New Roman" w:cs="Times New Roman"/>
          <w:color w:val="FF0000"/>
          <w:sz w:val="24"/>
          <w:szCs w:val="32"/>
        </w:rPr>
        <w:t xml:space="preserve">on </w:t>
      </w:r>
      <w:r>
        <w:rPr>
          <w:rFonts w:ascii="Times New Roman" w:hAnsi="Times New Roman" w:cs="Times New Roman"/>
          <w:color w:val="FF0000"/>
          <w:sz w:val="24"/>
          <w:szCs w:val="32"/>
        </w:rPr>
        <w:t xml:space="preserve">them. Whereas non-LASSO models </w:t>
      </w:r>
      <w:r>
        <w:rPr>
          <w:rFonts w:hint="eastAsia" w:ascii="Times New Roman" w:hAnsi="Times New Roman" w:cs="Times New Roman"/>
          <w:color w:val="FF0000"/>
          <w:sz w:val="24"/>
          <w:szCs w:val="32"/>
        </w:rPr>
        <w:t xml:space="preserve">emphasize 29 </w:t>
      </w:r>
      <w:r>
        <w:rPr>
          <w:rFonts w:ascii="Times New Roman" w:hAnsi="Times New Roman" w:cs="Times New Roman"/>
          <w:color w:val="FF0000"/>
          <w:sz w:val="24"/>
          <w:szCs w:val="32"/>
        </w:rPr>
        <w:t>variables equally</w:t>
      </w:r>
      <w:r>
        <w:rPr>
          <w:rFonts w:hint="eastAsia" w:ascii="Times New Roman" w:hAnsi="Times New Roman" w:cs="Times New Roman"/>
          <w:color w:val="FF0000"/>
          <w:sz w:val="24"/>
          <w:szCs w:val="32"/>
        </w:rPr>
        <w:t xml:space="preserve">, which means less </w:t>
      </w:r>
      <w:r>
        <w:rPr>
          <w:rFonts w:ascii="Times New Roman" w:hAnsi="Times New Roman" w:cs="Times New Roman"/>
          <w:color w:val="FF0000"/>
          <w:sz w:val="24"/>
          <w:szCs w:val="32"/>
        </w:rPr>
        <w:t xml:space="preserve">correlated variables </w:t>
      </w:r>
      <w:r>
        <w:rPr>
          <w:rFonts w:hint="eastAsia" w:ascii="Times New Roman" w:hAnsi="Times New Roman" w:cs="Times New Roman"/>
          <w:color w:val="FF0000"/>
          <w:sz w:val="24"/>
          <w:szCs w:val="32"/>
        </w:rPr>
        <w:t>may not contribute to forecasting accuracy but instead create noises</w:t>
      </w:r>
      <w:r>
        <w:rPr>
          <w:rFonts w:ascii="Times New Roman" w:hAnsi="Times New Roman" w:cs="Times New Roman"/>
          <w:color w:val="FF0000"/>
          <w:sz w:val="24"/>
          <w:szCs w:val="32"/>
        </w:rPr>
        <w:t>.</w:t>
      </w:r>
      <w:r>
        <w:rPr>
          <w:rFonts w:hint="eastAsia" w:ascii="Times New Roman" w:hAnsi="Times New Roman" w:cs="Times New Roman"/>
          <w:color w:val="FF0000"/>
          <w:sz w:val="24"/>
          <w:szCs w:val="32"/>
        </w:rPr>
        <w:t xml:space="preserve"> Moreover, LASSO-BiLSTM out</w:t>
      </w:r>
      <w:r>
        <w:rPr>
          <w:rFonts w:ascii="Times New Roman" w:hAnsi="Times New Roman" w:cs="Times New Roman"/>
          <w:color w:val="FF0000"/>
          <w:sz w:val="24"/>
          <w:szCs w:val="32"/>
        </w:rPr>
        <w:t>perform</w:t>
      </w:r>
      <w:r>
        <w:rPr>
          <w:rFonts w:hint="eastAsia" w:ascii="Times New Roman" w:hAnsi="Times New Roman" w:cs="Times New Roman"/>
          <w:color w:val="FF0000"/>
          <w:sz w:val="24"/>
          <w:szCs w:val="32"/>
        </w:rPr>
        <w:t>s</w:t>
      </w:r>
      <w:r>
        <w:rPr>
          <w:rFonts w:ascii="Times New Roman" w:hAnsi="Times New Roman" w:cs="Times New Roman"/>
          <w:color w:val="FF0000"/>
          <w:sz w:val="24"/>
          <w:szCs w:val="32"/>
        </w:rPr>
        <w:t xml:space="preserve"> the other</w:t>
      </w:r>
      <w:r>
        <w:rPr>
          <w:rFonts w:hint="eastAsia" w:ascii="Times New Roman" w:hAnsi="Times New Roman" w:cs="Times New Roman"/>
          <w:color w:val="FF0000"/>
          <w:sz w:val="24"/>
          <w:szCs w:val="32"/>
        </w:rPr>
        <w:t xml:space="preserve"> models since it has strong capacity to train numerical time series data twice and learn from the future as well as past (Siami-Namini et al. 2019). With 29 variables that reflect economic status, LASSO-BiLSTM selects data that contribute to forecasting accuracy and thus respond to high volatility effectively.</w:t>
      </w:r>
    </w:p>
    <w:p>
      <w:pPr>
        <w:spacing w:line="360" w:lineRule="auto"/>
        <w:ind w:firstLine="420"/>
        <w:rPr>
          <w:rFonts w:ascii="Times New Roman" w:hAnsi="Times New Roman" w:cs="Times New Roman"/>
          <w:sz w:val="24"/>
        </w:rPr>
      </w:pPr>
      <w:r>
        <w:rPr>
          <w:rFonts w:ascii="Times New Roman" w:hAnsi="Times New Roman" w:cs="Times New Roman"/>
          <w:color w:val="FF0000"/>
          <w:sz w:val="24"/>
        </w:rPr>
        <w:t>Furthermore, the 29 variables have been selected from various dimensions to predict the exchange rate of USD/CNY,</w:t>
      </w:r>
      <w:r>
        <w:rPr>
          <w:rFonts w:ascii="Times New Roman" w:hAnsi="Times New Roman" w:cs="Times New Roman"/>
          <w:sz w:val="24"/>
        </w:rPr>
        <w:t xml:space="preserve"> </w:t>
      </w:r>
      <w:r>
        <w:rPr>
          <w:rFonts w:ascii="Times New Roman" w:hAnsi="Times New Roman" w:cs="Times New Roman"/>
          <w:color w:val="FF0000"/>
          <w:sz w:val="24"/>
        </w:rPr>
        <w:t>our result gives new implications of what variables are significantly related to the exchange rate forecast.</w:t>
      </w:r>
      <w:r>
        <w:rPr>
          <w:rFonts w:ascii="Times New Roman" w:hAnsi="Times New Roman" w:cs="Times New Roman"/>
          <w:sz w:val="24"/>
        </w:rPr>
        <w:t xml:space="preserve"> More specifically, 6 variables have the highest relevance with the forecast, which are: FER, DXY, S&amp;P, GEPU, CEPU, and BI.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Foreign exchange reserves (FER) are foreign assets held by the central bank, which may be in the form of foreign currency, bonds, treasury bills, and other government securities. The explicit relationship between the exchange rate and foreign exchange reserves is that as CNY depreciated, a trade surplus would occur and thus the foreign exchange reserve would be accumulated. However, in the long run, the correlation between China’s foreign exchange reserves and the exchange rate has been found positive (Narayan &amp; Smyth, 2006).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The U.S. Dollar Index (DXY) is used to evaluate the value of the dollar against a basket of six foreign currencies, which are the Euro, Swiss Franc, Japanese Yen, Canadian Dollar, British Pound, and Swedish Krona. An increase in DXY means that the Dollar is gaining strength compared to the currencies of other countries, and thus the market sentiment would be influenced. Then, the transaction in the international market would further affect the exchange rate of the dollar against the CNY. Even though the interactions between DXY and the exchange rate are relatively intermediate, DXY still has a relatively significant effect on the response variable as this research shows. We induce that DXY incorporates the international market’s situations and sentiments greatly, and thus enhances forecasting accuracy.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S&amp;P 500 is a stock market index that reflects the stock performance of 500 leading companies in the U.S. The overall trend of the S&amp;P 500 reflects investors’ sentiments toward the U.S. stock market and affects investors’ decisions on fund purchases since the index can be used as a benchmark. Moreover, Lilley and Rinaldi (2018) have first illustrated that S&amp;P 500 and exchange rate began to move synchronously since the financial crisis, which is tightly related to proxies’ risk preference. Based on this research, Lilley et al. (2020) have further discovered that the U.S. dollar is likely to depreciate when risk appetite is high. Since BiLSTM is highly sensitive to market sentiment, the forecasting accuracy would be relatively ideal as S&amp;P 500 is adopted.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The measurement of economic policy uncertainties (EPU) incorporates three components: quantification of policy-related economic uncertainty as shown by the newspaper, index reported by the Congressional Budget Office (CBO), and the uncertainty index drawn from Federal Reserve Bank of Philadelphia’s Survey of Professional Forecasters (Economic Policy Uncertainty Index, 2012). Since the newspaper-based measurement is adopted, the capture of uncertainty would incorporate textual sentiment. This shows a high consistency with BiLSTM’s characteristic, which adopts a bidirectional prediction of texts and shows high sensitivity to emotion. Other sentiment analyses have also been done based on BiLSTM (Xu et al., 2019). Moreover, since the sample data of exchange rates are selected from a long-term scale, they would be more volatile. Liming et al. (2019) illustrate that as the volatility of exchange rates increases, the positive shock of EPU would also increase. This positive feedback loop illustrates the tight positive relationship between EPU and the exchange rate under uncertainty. Thus, if two indexes show consistency, the forecasting result brought by BiLSTM would also be more accurate. </w:t>
      </w:r>
    </w:p>
    <w:p>
      <w:pPr>
        <w:spacing w:line="360" w:lineRule="auto"/>
        <w:ind w:firstLine="420"/>
        <w:rPr>
          <w:rFonts w:ascii="Times New Roman" w:hAnsi="Times New Roman" w:cs="Times New Roman"/>
          <w:sz w:val="24"/>
        </w:rPr>
      </w:pPr>
      <w:r>
        <w:rPr>
          <w:rFonts w:ascii="Times New Roman" w:hAnsi="Times New Roman" w:cs="Times New Roman"/>
          <w:sz w:val="24"/>
        </w:rPr>
        <w:t>Baidu Index (BI) illustrates the search volume of 5 keywords, which are: RMB to US dollar exchange rate, RMB exchange rate, RMB to US dollar, Dollar RMB exchange rate, and Dollar renminbi exchange. High search volume may reveal the public’s attention to the exchange rate and foreign exchange market over a period of time, and thus reflect the fluctuation of market sentiments. Lin et al. (2022) have found that BI is effective for the exchange rate forecast by using the BiLSTM model, which is consistent with this research’s result.</w:t>
      </w:r>
    </w:p>
    <w:p>
      <w:pPr>
        <w:pStyle w:val="21"/>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5.2 Diebold-Mariano Test</w:t>
      </w:r>
    </w:p>
    <w:p>
      <w:pPr>
        <w:spacing w:before="156" w:beforeLines="50" w:line="360" w:lineRule="auto"/>
        <w:rPr>
          <w:rFonts w:ascii="Times New Roman" w:hAnsi="Times New Roman" w:cs="Times New Roman"/>
          <w:sz w:val="24"/>
        </w:rPr>
      </w:pPr>
      <w:r>
        <w:rPr>
          <w:rFonts w:ascii="Times New Roman" w:hAnsi="Times New Roman" w:cs="Times New Roman"/>
          <w:sz w:val="24"/>
        </w:rPr>
        <w:tab/>
      </w:r>
      <w:r>
        <w:rPr>
          <w:rFonts w:hint="eastAsia" w:ascii="Times New Roman" w:hAnsi="Times New Roman" w:cs="Times New Roman"/>
          <w:sz w:val="24"/>
        </w:rPr>
        <w:t>Diebold-Mariano (DM) test is utilized to test the statistical superiority of LASSO-BiLSTM</w:t>
      </w:r>
      <w:r>
        <w:rPr>
          <w:rFonts w:ascii="Times New Roman" w:hAnsi="Times New Roman" w:cs="Times New Roman"/>
          <w:sz w:val="24"/>
        </w:rPr>
        <w:t>.</w:t>
      </w:r>
      <w:bookmarkStart w:id="26" w:name="_Hlk143377889"/>
      <w:r>
        <w:rPr>
          <w:rFonts w:ascii="Times New Roman" w:hAnsi="Times New Roman" w:cs="Times New Roman"/>
          <w:color w:val="FF0000"/>
          <w:sz w:val="24"/>
        </w:rPr>
        <w:t xml:space="preserve"> </w:t>
      </w:r>
      <w:r>
        <w:rPr>
          <w:rFonts w:hint="eastAsia" w:ascii="Times New Roman" w:hAnsi="Times New Roman" w:cs="Times New Roman"/>
          <w:color w:val="FF0000"/>
          <w:sz w:val="24"/>
        </w:rPr>
        <w:t>T</w:t>
      </w:r>
      <w:r>
        <w:rPr>
          <w:rFonts w:ascii="Times New Roman" w:hAnsi="Times New Roman" w:cs="Times New Roman"/>
          <w:color w:val="FF0000"/>
          <w:sz w:val="24"/>
        </w:rPr>
        <w:t xml:space="preserve">he DM test is performed by checking the loss differential expectation score. </w:t>
      </w:r>
      <w:r>
        <w:rPr>
          <w:rFonts w:hint="eastAsia" w:ascii="Times New Roman" w:hAnsi="Times New Roman" w:cs="Times New Roman"/>
          <w:color w:val="FF0000"/>
          <w:sz w:val="24"/>
        </w:rPr>
        <w:t>N</w:t>
      </w:r>
      <w:r>
        <w:rPr>
          <w:rFonts w:ascii="Times New Roman" w:hAnsi="Times New Roman" w:cs="Times New Roman"/>
          <w:color w:val="FF0000"/>
          <w:sz w:val="24"/>
        </w:rPr>
        <w:t>ull hypothesis (</w:t>
      </w:r>
      <m:oMath>
        <m:sSub>
          <m:sSubPr>
            <m:ctrlPr>
              <w:rPr>
                <w:rFonts w:ascii="Cambria Math" w:hAnsi="Cambria Math" w:cs="Times New Roman"/>
                <w:i/>
                <w:color w:val="FF0000"/>
                <w:sz w:val="24"/>
              </w:rPr>
            </m:ctrlPr>
          </m:sSubPr>
          <m:e>
            <m:r>
              <m:rPr/>
              <w:rPr>
                <w:rFonts w:ascii="Cambria Math" w:hAnsi="Cambria Math" w:cs="Times New Roman"/>
                <w:color w:val="FF0000"/>
                <w:sz w:val="24"/>
              </w:rPr>
              <m:t>H</m:t>
            </m:r>
            <m:ctrlPr>
              <w:rPr>
                <w:rFonts w:ascii="Cambria Math" w:hAnsi="Cambria Math" w:cs="Times New Roman"/>
                <w:i/>
                <w:color w:val="FF0000"/>
                <w:sz w:val="24"/>
              </w:rPr>
            </m:ctrlPr>
          </m:e>
          <m:sub>
            <m:r>
              <m:rPr/>
              <w:rPr>
                <w:rFonts w:ascii="Cambria Math" w:hAnsi="Cambria Math" w:cs="Times New Roman"/>
                <w:color w:val="FF0000"/>
                <w:sz w:val="24"/>
              </w:rPr>
              <m:t>0</m:t>
            </m:r>
            <m:ctrlPr>
              <w:rPr>
                <w:rFonts w:ascii="Cambria Math" w:hAnsi="Cambria Math" w:cs="Times New Roman"/>
                <w:i/>
                <w:color w:val="FF0000"/>
                <w:sz w:val="24"/>
              </w:rPr>
            </m:ctrlPr>
          </m:sub>
        </m:sSub>
      </m:oMath>
      <w:r>
        <w:rPr>
          <w:rFonts w:ascii="Times New Roman" w:hAnsi="Times New Roman" w:cs="Times New Roman"/>
          <w:color w:val="FF0000"/>
          <w:sz w:val="24"/>
        </w:rPr>
        <w:t xml:space="preserve">) is two forecasts have equal predicting accuracy. </w:t>
      </w:r>
      <w:r>
        <w:rPr>
          <w:rFonts w:hint="eastAsia" w:ascii="Times New Roman" w:hAnsi="Times New Roman" w:cs="Times New Roman"/>
          <w:color w:val="FF0000"/>
          <w:sz w:val="24"/>
        </w:rPr>
        <w:t>To reject H</w:t>
      </w:r>
      <w:r>
        <w:rPr>
          <w:rFonts w:hint="eastAsia" w:ascii="Times New Roman" w:hAnsi="Times New Roman" w:cs="Times New Roman"/>
          <w:color w:val="FF0000"/>
          <w:sz w:val="24"/>
          <w:vertAlign w:val="subscript"/>
        </w:rPr>
        <w:t>0</w:t>
      </w:r>
      <w:r>
        <w:rPr>
          <w:rFonts w:hint="eastAsia" w:ascii="Times New Roman" w:hAnsi="Times New Roman" w:cs="Times New Roman"/>
          <w:color w:val="FF0000"/>
          <w:sz w:val="24"/>
        </w:rPr>
        <w:t>,</w:t>
      </w:r>
      <w:r>
        <w:rPr>
          <w:rFonts w:ascii="Times New Roman" w:hAnsi="Times New Roman" w:cs="Times New Roman"/>
          <w:color w:val="FF0000"/>
          <w:sz w:val="24"/>
        </w:rPr>
        <w:t xml:space="preserve"> the significance level </w:t>
      </w:r>
      <w:r>
        <w:rPr>
          <w:rFonts w:hint="eastAsia" w:ascii="Times New Roman" w:hAnsi="Times New Roman" w:cs="Times New Roman"/>
          <w:color w:val="FF0000"/>
          <w:sz w:val="24"/>
        </w:rPr>
        <w:t>should</w:t>
      </w:r>
      <w:r>
        <w:rPr>
          <w:rFonts w:ascii="Times New Roman" w:hAnsi="Times New Roman" w:cs="Times New Roman"/>
          <w:color w:val="FF0000"/>
          <w:sz w:val="24"/>
        </w:rPr>
        <w:t xml:space="preserve"> lower than 10%. </w:t>
      </w:r>
      <w:r>
        <w:rPr>
          <w:rFonts w:ascii="Times New Roman" w:hAnsi="Times New Roman" w:cs="Times New Roman"/>
          <w:sz w:val="24"/>
        </w:rPr>
        <w:t>The loss differential is calculated according to the root mean squared error (RMSE).</w:t>
      </w:r>
    </w:p>
    <w:bookmarkEnd w:id="26"/>
    <w:p>
      <w:pPr>
        <w:spacing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8: Diebold-Mariano test on results performance</w:t>
      </w:r>
    </w:p>
    <w:tbl>
      <w:tblPr>
        <w:tblStyle w:val="15"/>
        <w:tblW w:w="852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1"/>
        <w:gridCol w:w="659"/>
        <w:gridCol w:w="704"/>
        <w:gridCol w:w="697"/>
        <w:gridCol w:w="709"/>
        <w:gridCol w:w="772"/>
        <w:gridCol w:w="959"/>
        <w:gridCol w:w="982"/>
        <w:gridCol w:w="1058"/>
        <w:gridCol w:w="1081"/>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Borders>
              <w:bottom w:val="single" w:color="auto" w:sz="4" w:space="0"/>
            </w:tcBorders>
          </w:tcPr>
          <w:p>
            <w:pPr>
              <w:spacing w:before="156" w:beforeLines="50"/>
              <w:rPr>
                <w:rFonts w:ascii="Times New Roman" w:hAnsi="Times New Roman" w:cs="Times New Roman"/>
                <w:sz w:val="18"/>
                <w:szCs w:val="18"/>
              </w:rPr>
            </w:pPr>
          </w:p>
        </w:tc>
        <w:tc>
          <w:tcPr>
            <w:tcW w:w="659"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04"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697"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709"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772"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959"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982"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1058"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1081"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ASSO-KELM</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ASSO-BiLSTM</w:t>
            </w:r>
          </w:p>
        </w:tc>
        <w:tc>
          <w:tcPr>
            <w:tcW w:w="659"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3.921***</w:t>
            </w:r>
          </w:p>
        </w:tc>
        <w:tc>
          <w:tcPr>
            <w:tcW w:w="704"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3.490***</w:t>
            </w:r>
          </w:p>
        </w:tc>
        <w:tc>
          <w:tcPr>
            <w:tcW w:w="697"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3.807***</w:t>
            </w:r>
          </w:p>
        </w:tc>
        <w:tc>
          <w:tcPr>
            <w:tcW w:w="709"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2.108**</w:t>
            </w:r>
          </w:p>
        </w:tc>
        <w:tc>
          <w:tcPr>
            <w:tcW w:w="772"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5.394***</w:t>
            </w:r>
          </w:p>
        </w:tc>
        <w:tc>
          <w:tcPr>
            <w:tcW w:w="959"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4.291***</w:t>
            </w:r>
          </w:p>
        </w:tc>
        <w:tc>
          <w:tcPr>
            <w:tcW w:w="982"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4.120***</w:t>
            </w:r>
          </w:p>
        </w:tc>
        <w:tc>
          <w:tcPr>
            <w:tcW w:w="1058"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2.949***</w:t>
            </w:r>
          </w:p>
        </w:tc>
        <w:tc>
          <w:tcPr>
            <w:tcW w:w="1081"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3.019***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0.732</w:t>
            </w:r>
          </w:p>
        </w:tc>
        <w:tc>
          <w:tcPr>
            <w:tcW w:w="697"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1.264</w:t>
            </w:r>
          </w:p>
        </w:tc>
        <w:tc>
          <w:tcPr>
            <w:tcW w:w="70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.479***</w:t>
            </w: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.590</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.795*</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.122**</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.905***</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0.306</w:t>
            </w:r>
          </w:p>
        </w:tc>
        <w:tc>
          <w:tcPr>
            <w:tcW w:w="70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.226***</w:t>
            </w: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.322</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.444**</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.432**</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.746**</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.997***</w:t>
            </w: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.559</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.723**</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.919***</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.152***</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.600***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4.059*</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3.185***</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2.776***</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0.618</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0</w:t>
            </w:r>
            <w:r>
              <w:rPr>
                <w:rFonts w:ascii="Times New Roman" w:hAnsi="Times New Roman" w:cs="Times New Roman"/>
                <w:sz w:val="18"/>
                <w:szCs w:val="18"/>
              </w:rPr>
              <w:t>.288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.231</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.815**</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.248***</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.402</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.755**</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.067***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p>
        </w:tc>
        <w:tc>
          <w:tcPr>
            <w:tcW w:w="982" w:type="dxa"/>
          </w:tcPr>
          <w:p>
            <w:pPr>
              <w:spacing w:before="156" w:beforeLines="50"/>
              <w:rPr>
                <w:rFonts w:ascii="Times New Roman" w:hAnsi="Times New Roman" w:cs="Times New Roman"/>
                <w:sz w:val="18"/>
                <w:szCs w:val="18"/>
              </w:rPr>
            </w:pP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.931***</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p>
        </w:tc>
        <w:tc>
          <w:tcPr>
            <w:tcW w:w="982" w:type="dxa"/>
          </w:tcPr>
          <w:p>
            <w:pPr>
              <w:spacing w:before="156" w:beforeLines="50"/>
              <w:rPr>
                <w:rFonts w:ascii="Times New Roman" w:hAnsi="Times New Roman" w:cs="Times New Roman"/>
                <w:sz w:val="18"/>
                <w:szCs w:val="18"/>
              </w:rPr>
            </w:pPr>
          </w:p>
        </w:tc>
        <w:tc>
          <w:tcPr>
            <w:tcW w:w="1058" w:type="dxa"/>
          </w:tcPr>
          <w:p>
            <w:pPr>
              <w:spacing w:before="156" w:beforeLines="50"/>
              <w:rPr>
                <w:rFonts w:ascii="Times New Roman" w:hAnsi="Times New Roman" w:cs="Times New Roman"/>
                <w:sz w:val="18"/>
                <w:szCs w:val="18"/>
              </w:rPr>
            </w:pP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.117</w:t>
            </w:r>
          </w:p>
        </w:tc>
      </w:tr>
    </w:tbl>
    <w:p>
      <w:pPr>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1% Significance Level</w:t>
      </w:r>
    </w:p>
    <w:p>
      <w:pPr>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5% Significance Level</w:t>
      </w:r>
    </w:p>
    <w:p>
      <w:pPr>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xml:space="preserve"> 10% Significance Level</w:t>
      </w:r>
    </w:p>
    <w:p>
      <w:pPr>
        <w:spacing w:before="156" w:beforeLines="50" w:line="360" w:lineRule="auto"/>
        <w:rPr>
          <w:rFonts w:ascii="Times New Roman" w:hAnsi="Times New Roman" w:cs="Times New Roman"/>
          <w:sz w:val="24"/>
        </w:rPr>
      </w:pPr>
      <w:r>
        <w:rPr>
          <w:rFonts w:ascii="Times New Roman" w:hAnsi="Times New Roman" w:cs="Times New Roman"/>
          <w:sz w:val="24"/>
        </w:rPr>
        <w:tab/>
      </w:r>
      <w:bookmarkStart w:id="27" w:name="_Hlk143469661"/>
      <w:bookmarkStart w:id="28" w:name="_Hlk143377905"/>
      <w:r>
        <w:rPr>
          <w:rFonts w:ascii="Times New Roman" w:hAnsi="Times New Roman" w:cs="Times New Roman"/>
          <w:color w:val="FF0000"/>
          <w:sz w:val="24"/>
        </w:rPr>
        <w:t>As shown in table 8, all of the DM statistics for LASSO-BiLSTM are negative and p values are smaller than 5%</w:t>
      </w:r>
      <w:r>
        <w:rPr>
          <w:rFonts w:hint="eastAsia" w:ascii="Times New Roman" w:hAnsi="Times New Roman" w:cs="Times New Roman"/>
          <w:color w:val="FF0000"/>
          <w:sz w:val="24"/>
        </w:rPr>
        <w:t>.</w:t>
      </w:r>
      <w:bookmarkEnd w:id="27"/>
      <w:bookmarkStart w:id="29" w:name="_Hlk143469718"/>
      <w:r>
        <w:rPr>
          <w:rFonts w:hint="eastAsia" w:ascii="Times New Roman" w:hAnsi="Times New Roman" w:cs="Times New Roman"/>
          <w:color w:val="FF0000"/>
          <w:sz w:val="24"/>
        </w:rPr>
        <w:t xml:space="preserve"> Therefore, </w:t>
      </w:r>
      <w:r>
        <w:rPr>
          <w:rFonts w:ascii="Times New Roman" w:hAnsi="Times New Roman" w:cs="Times New Roman"/>
          <w:color w:val="FF0000"/>
          <w:sz w:val="24"/>
        </w:rPr>
        <w:t>the null hypothesis is rejected. It is revealed that the LASSO-BiLSTM approach is far superior to the other benchmarks under 95% confiden</w:t>
      </w:r>
      <w:r>
        <w:rPr>
          <w:rFonts w:hint="eastAsia" w:ascii="Times New Roman" w:hAnsi="Times New Roman" w:cs="Times New Roman"/>
          <w:color w:val="FF0000"/>
          <w:sz w:val="24"/>
        </w:rPr>
        <w:t>c</w:t>
      </w:r>
      <w:r>
        <w:rPr>
          <w:rFonts w:ascii="Times New Roman" w:hAnsi="Times New Roman" w:cs="Times New Roman"/>
          <w:color w:val="FF0000"/>
          <w:sz w:val="24"/>
        </w:rPr>
        <w:t>e level.</w:t>
      </w:r>
      <w:bookmarkEnd w:id="28"/>
      <w:bookmarkEnd w:id="29"/>
    </w:p>
    <w:p>
      <w:pPr>
        <w:pStyle w:val="21"/>
        <w:spacing w:before="156" w:beforeLines="50" w:line="360" w:lineRule="auto"/>
        <w:ind w:left="0" w:leftChars="0"/>
        <w:outlineLvl w:val="1"/>
        <w:rPr>
          <w:rFonts w:ascii="Times New Roman" w:hAnsi="Times New Roman" w:cs="Times New Roman"/>
          <w:color w:val="FF0000"/>
          <w:sz w:val="24"/>
        </w:rPr>
      </w:pPr>
      <w:bookmarkStart w:id="30" w:name="_Hlk143470662"/>
      <w:r>
        <w:rPr>
          <w:rFonts w:ascii="Times New Roman" w:hAnsi="Times New Roman" w:cs="Times New Roman"/>
          <w:b/>
          <w:bCs/>
          <w:i/>
          <w:iCs/>
          <w:color w:val="FF0000"/>
          <w:sz w:val="24"/>
        </w:rPr>
        <w:t>5.3 Further Verification</w:t>
      </w:r>
    </w:p>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The LASSO-BiLSTM method is also tested on datasets other than USD-CNY, in order to demonstrate its effectiveness. After deleting the variables that related to China’s economic status, the rest of the variables are used to test Dollar (USD) to Pound (GBP). The result from this additional test also indicates that LASSO-BiLSTM is the best method for exchange rate forecasting.</w:t>
      </w:r>
    </w:p>
    <w:p>
      <w:pPr>
        <w:spacing w:line="360" w:lineRule="auto"/>
        <w:jc w:val="center"/>
        <w:rPr>
          <w:rFonts w:ascii="Times New Roman" w:hAnsi="Times New Roman" w:cs="Times New Roman"/>
          <w:color w:val="FF0000"/>
          <w:sz w:val="24"/>
        </w:rPr>
      </w:pPr>
      <w:r>
        <w:rPr>
          <w:rFonts w:hint="eastAsia" w:ascii="Times New Roman" w:hAnsi="Times New Roman" w:cs="Times New Roman"/>
          <w:color w:val="FF0000"/>
        </w:rPr>
        <w:t>Ta</w:t>
      </w:r>
      <w:r>
        <w:rPr>
          <w:rFonts w:ascii="Times New Roman" w:hAnsi="Times New Roman" w:cs="Times New Roman"/>
          <w:color w:val="FF0000"/>
        </w:rPr>
        <w:t xml:space="preserve">ble 9: </w:t>
      </w:r>
      <w:bookmarkStart w:id="31" w:name="_Hlk143371604"/>
      <w:r>
        <w:rPr>
          <w:rFonts w:ascii="Times New Roman" w:hAnsi="Times New Roman" w:cs="Times New Roman"/>
          <w:color w:val="FF0000"/>
        </w:rPr>
        <w:t>USD-GBP</w:t>
      </w:r>
      <w:bookmarkEnd w:id="31"/>
      <w:r>
        <w:rPr>
          <w:rFonts w:ascii="Times New Roman" w:hAnsi="Times New Roman" w:cs="Times New Roman"/>
          <w:color w:val="FF0000"/>
        </w:rPr>
        <w:t xml:space="preserve"> forecasting performance</w:t>
      </w:r>
    </w:p>
    <w:tbl>
      <w:tblPr>
        <w:tblStyle w:val="1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bottom w:val="single" w:color="auto" w:sz="4" w:space="0"/>
            </w:tcBorders>
          </w:tcPr>
          <w:p>
            <w:pPr>
              <w:jc w:val="center"/>
              <w:rPr>
                <w:rFonts w:ascii="Times New Roman" w:hAnsi="Times New Roman" w:cs="Times New Roman"/>
                <w:b/>
                <w:bCs/>
                <w:color w:val="FF0000"/>
              </w:rPr>
            </w:pPr>
          </w:p>
        </w:tc>
        <w:tc>
          <w:tcPr>
            <w:tcW w:w="2765"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MAE</w:t>
            </w:r>
          </w:p>
        </w:tc>
        <w:tc>
          <w:tcPr>
            <w:tcW w:w="2766"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RMSE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top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SVR</w:t>
            </w:r>
          </w:p>
        </w:tc>
        <w:tc>
          <w:tcPr>
            <w:tcW w:w="2765"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0.135</w:t>
            </w:r>
          </w:p>
        </w:tc>
        <w:tc>
          <w:tcPr>
            <w:tcW w:w="2766"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0.151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0.078</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0.100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LSTM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0.145</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0.155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BiLSTM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0.041</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0.043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KELM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0.064</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0.076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LASSO-SVR</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0.034</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0.038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0.063</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0.078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LASSO-LSTM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0.035</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0.043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LASSO-BiLSTM</w:t>
            </w:r>
          </w:p>
        </w:tc>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0.025</w:t>
            </w:r>
          </w:p>
        </w:tc>
        <w:tc>
          <w:tcPr>
            <w:tcW w:w="2766" w:type="dxa"/>
          </w:tcPr>
          <w:p>
            <w:pPr>
              <w:jc w:val="center"/>
              <w:rPr>
                <w:rFonts w:ascii="Times New Roman" w:hAnsi="Times New Roman" w:cs="Times New Roman"/>
                <w:b/>
                <w:bCs/>
                <w:color w:val="FF0000"/>
              </w:rPr>
            </w:pPr>
            <w:r>
              <w:rPr>
                <w:rFonts w:ascii="Times New Roman" w:hAnsi="Times New Roman" w:cs="Times New Roman"/>
                <w:b/>
                <w:bCs/>
                <w:color w:val="FF0000"/>
              </w:rPr>
              <w:t>0.030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LASSO-KELM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0.044</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0.050</w:t>
            </w:r>
          </w:p>
        </w:tc>
      </w:tr>
    </w:tbl>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As shown in table 9, for a completely different dataset, the MAE and RMSE for LASSO-BiLSTM are still the smallest among all of the models. This further demonstrates that for exchange rate forecasting, LASSO-BiLSTM currently provides the best result and the smallest error possible.</w:t>
      </w:r>
    </w:p>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To further verify the effectiveness of LASSO-BiLSTM model comparing to more up to date models, Gated Recurrent Unit (GRU) and Temporal Convolutional Network (TCN) and its LASSO selection version are performed. The dataset used is still USD-CNY dataset. The parameters are the same as above parameters. To make the result consistent, parameters in all following models are kept consistent with the BiLSTM parameters in table 2. The result is shown in the following table.</w:t>
      </w:r>
    </w:p>
    <w:p>
      <w:pPr>
        <w:spacing w:line="360" w:lineRule="auto"/>
        <w:jc w:val="center"/>
        <w:rPr>
          <w:rFonts w:ascii="Times New Roman" w:hAnsi="Times New Roman" w:cs="Times New Roman"/>
          <w:color w:val="FF0000"/>
          <w:sz w:val="24"/>
        </w:rPr>
      </w:pPr>
      <w:r>
        <w:rPr>
          <w:rFonts w:hint="eastAsia" w:ascii="Times New Roman" w:hAnsi="Times New Roman" w:cs="Times New Roman"/>
          <w:color w:val="FF0000"/>
        </w:rPr>
        <w:t>Ta</w:t>
      </w:r>
      <w:r>
        <w:rPr>
          <w:rFonts w:ascii="Times New Roman" w:hAnsi="Times New Roman" w:cs="Times New Roman"/>
          <w:color w:val="FF0000"/>
        </w:rPr>
        <w:t>ble 10: New models comparison</w:t>
      </w:r>
    </w:p>
    <w:tbl>
      <w:tblPr>
        <w:tblStyle w:val="1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bottom w:val="single" w:color="auto" w:sz="4" w:space="0"/>
            </w:tcBorders>
          </w:tcPr>
          <w:p>
            <w:pPr>
              <w:jc w:val="center"/>
              <w:rPr>
                <w:rFonts w:ascii="Times New Roman" w:hAnsi="Times New Roman" w:cs="Times New Roman"/>
                <w:b/>
                <w:bCs/>
                <w:color w:val="FF0000"/>
              </w:rPr>
            </w:pPr>
          </w:p>
        </w:tc>
        <w:tc>
          <w:tcPr>
            <w:tcW w:w="2765"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MAE</w:t>
            </w:r>
          </w:p>
        </w:tc>
        <w:tc>
          <w:tcPr>
            <w:tcW w:w="2766"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RMSE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top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LASSO-BiLSTM</w:t>
            </w:r>
          </w:p>
        </w:tc>
        <w:tc>
          <w:tcPr>
            <w:tcW w:w="2765"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0.051</w:t>
            </w:r>
          </w:p>
        </w:tc>
        <w:tc>
          <w:tcPr>
            <w:tcW w:w="2766"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0.072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GRU</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0.346</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0.374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TCN</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0.347</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0.482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LASSO-GRU</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0.067</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0.091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LASSO-TCN</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0.073</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0.094</w:t>
            </w:r>
          </w:p>
        </w:tc>
      </w:tr>
    </w:tbl>
    <w:p>
      <w:pPr>
        <w:spacing w:before="156" w:beforeLines="50" w:line="360" w:lineRule="auto"/>
        <w:ind w:firstLine="420"/>
        <w:rPr>
          <w:rFonts w:ascii="Times New Roman" w:hAnsi="Times New Roman" w:cs="Times New Roman"/>
          <w:color w:val="FF0000"/>
          <w:sz w:val="24"/>
        </w:rPr>
      </w:pPr>
      <w:r>
        <w:rPr>
          <w:rFonts w:ascii="Times New Roman" w:hAnsi="Times New Roman" w:cs="Times New Roman"/>
          <w:color w:val="FF0000"/>
          <w:sz w:val="24"/>
        </w:rPr>
        <w:t>Even comparing with more state-of-the-art models, as illustrated in table 10, LASSO-BiLSTM still yields the lowest error, the highest forecasting accuracy. Therefore, this paper concludes that LASSO-BiLSTM is shown to be the most effective model in exchange rate forecasting.</w:t>
      </w:r>
    </w:p>
    <w:bookmarkEnd w:id="30"/>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32" w:name="_Toc114151819"/>
      <w:bookmarkStart w:id="33" w:name="_Hlk143378328"/>
      <w:r>
        <w:rPr>
          <w:rFonts w:ascii="Times New Roman" w:hAnsi="Times New Roman" w:eastAsia="宋体"/>
          <w:b/>
          <w:bCs/>
          <w:color w:val="0E101A"/>
          <w:sz w:val="28"/>
          <w:szCs w:val="28"/>
        </w:rPr>
        <w:t>Conclusion</w:t>
      </w:r>
      <w:bookmarkEnd w:id="32"/>
      <w:r>
        <w:rPr>
          <w:rFonts w:ascii="Times New Roman" w:hAnsi="Times New Roman" w:eastAsia="宋体"/>
          <w:b/>
          <w:bCs/>
          <w:color w:val="0E101A"/>
          <w:sz w:val="28"/>
          <w:szCs w:val="28"/>
        </w:rPr>
        <w:t xml:space="preserve"> and Discussions</w:t>
      </w:r>
    </w:p>
    <w:bookmarkEnd w:id="33"/>
    <w:p>
      <w:pPr>
        <w:spacing w:line="360" w:lineRule="auto"/>
        <w:ind w:firstLine="420"/>
        <w:rPr>
          <w:rFonts w:ascii="Times New Roman" w:hAnsi="Times New Roman" w:eastAsia="宋体" w:cs="Times New Roman"/>
          <w:color w:val="FF0000"/>
          <w:sz w:val="24"/>
        </w:rPr>
      </w:pPr>
      <w:r>
        <w:rPr>
          <w:rFonts w:ascii="Times New Roman" w:hAnsi="Times New Roman" w:eastAsia="宋体" w:cs="Times New Roman"/>
          <w:color w:val="FF0000"/>
          <w:sz w:val="24"/>
          <w:lang w:bidi="ar"/>
        </w:rPr>
        <w:t>The main purpose of this study is to improve the accuracy of exchange rate forecast.</w:t>
      </w:r>
      <w:r>
        <w:rPr>
          <w:rFonts w:hint="eastAsia" w:ascii="Times New Roman" w:hAnsi="Times New Roman" w:eastAsia="宋体" w:cs="Times New Roman"/>
          <w:color w:val="FF0000"/>
          <w:sz w:val="24"/>
          <w:lang w:bidi="ar"/>
        </w:rPr>
        <w:t xml:space="preserve"> </w:t>
      </w:r>
      <w:r>
        <w:rPr>
          <w:rFonts w:ascii="Times New Roman" w:hAnsi="Times New Roman" w:eastAsia="宋体" w:cs="Times New Roman"/>
          <w:sz w:val="24"/>
          <w:lang w:bidi="ar"/>
        </w:rPr>
        <w:t xml:space="preserve">To achieve, 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 </w:t>
      </w:r>
      <w:bookmarkStart w:id="34" w:name="_Hlk143470392"/>
      <w:r>
        <w:rPr>
          <w:rFonts w:ascii="Times New Roman" w:hAnsi="Times New Roman" w:eastAsia="宋体" w:cs="Times New Roman"/>
          <w:color w:val="FF0000"/>
          <w:sz w:val="24"/>
          <w:lang w:bidi="ar"/>
        </w:rPr>
        <w:t>Overall, LASSO plays a significant role in forecast accuracy and LASSO-BiLSTM has the best performance</w:t>
      </w:r>
      <w:r>
        <w:rPr>
          <w:rFonts w:hint="eastAsia" w:ascii="Times New Roman" w:hAnsi="Times New Roman" w:eastAsia="宋体" w:cs="Times New Roman"/>
          <w:color w:val="FF0000"/>
          <w:sz w:val="24"/>
          <w:lang w:bidi="ar"/>
        </w:rPr>
        <w:t xml:space="preserve"> </w:t>
      </w:r>
      <w:r>
        <w:rPr>
          <w:rFonts w:ascii="Times New Roman" w:hAnsi="Times New Roman" w:eastAsia="宋体" w:cs="Times New Roman"/>
          <w:color w:val="FF0000"/>
          <w:sz w:val="24"/>
          <w:lang w:bidi="ar"/>
        </w:rPr>
        <w:t>in 1 step forecasting, 3 steps forecasting and 6 steps forecasting. To verify the robustness of LASSO-BiLSTM, same test has applied to the forecast of USD/GBP and LASSO-BiLSTM still outperformed the other models.</w:t>
      </w:r>
    </w:p>
    <w:p>
      <w:pPr>
        <w:spacing w:line="360" w:lineRule="auto"/>
        <w:ind w:firstLine="420"/>
        <w:rPr>
          <w:rFonts w:ascii="Times New Roman" w:hAnsi="Times New Roman" w:eastAsia="宋体" w:cs="Times New Roman"/>
          <w:color w:val="FF0000"/>
          <w:sz w:val="24"/>
        </w:rPr>
      </w:pPr>
      <w:bookmarkStart w:id="35" w:name="_Hlk143469024"/>
      <w:r>
        <w:rPr>
          <w:rFonts w:ascii="Times New Roman" w:hAnsi="Times New Roman" w:eastAsia="宋体" w:cs="Times New Roman"/>
          <w:color w:val="FF0000"/>
          <w:sz w:val="24"/>
          <w:lang w:bidi="ar"/>
        </w:rPr>
        <w:t>This study has four major implications: (1)LASSO-BiLSTM has outstanding potential to forecast exchange rate (2) Adopting LASSO as feature selection can reduce overfitting effectively and thus improve the result (3) BiLSTM-based model can effectively process information from both direction and thus outperforms other models (4) Considering different types of variables before forecast can better understand economic situation. These conclusions can apply to further study and help improve forecasting performance.</w:t>
      </w:r>
    </w:p>
    <w:p>
      <w:pPr>
        <w:spacing w:line="360" w:lineRule="auto"/>
        <w:ind w:firstLine="420"/>
        <w:rPr>
          <w:rFonts w:ascii="Times New Roman" w:hAnsi="Times New Roman" w:eastAsia="宋体" w:cs="Times New Roman"/>
          <w:color w:val="FF0000"/>
          <w:sz w:val="24"/>
        </w:rPr>
      </w:pPr>
      <w:r>
        <w:rPr>
          <w:rFonts w:ascii="Times New Roman" w:hAnsi="Times New Roman" w:eastAsia="宋体" w:cs="Times New Roman"/>
          <w:color w:val="FF0000"/>
          <w:sz w:val="24"/>
          <w:lang w:bidi="ar"/>
        </w:rPr>
        <w:t>Since exchange rate is tightly related countries economic status, financial transaction and enterprise decisions, exchange rate forecasting would be highly essential. Therefore, the newly raised methodology will provide two management implications. First, the proposed model can help policy makers make decisions and thus ensure countries’</w:t>
      </w:r>
      <w:r>
        <w:rPr>
          <w:rFonts w:hint="eastAsia" w:ascii="Times New Roman" w:hAnsi="Times New Roman" w:eastAsia="宋体" w:cs="Times New Roman"/>
          <w:color w:val="FF0000"/>
          <w:sz w:val="24"/>
          <w:lang w:bidi="ar"/>
        </w:rPr>
        <w:t xml:space="preserve"> </w:t>
      </w:r>
      <w:r>
        <w:rPr>
          <w:rFonts w:ascii="Times New Roman" w:hAnsi="Times New Roman" w:eastAsia="宋体" w:cs="Times New Roman"/>
          <w:color w:val="FF0000"/>
          <w:sz w:val="24"/>
          <w:lang w:bidi="ar"/>
        </w:rPr>
        <w:t>economic development and security. Second, individual transactors can learn from the signals and thus manage their assets effectively.</w:t>
      </w:r>
    </w:p>
    <w:p>
      <w:pPr>
        <w:spacing w:line="360" w:lineRule="auto"/>
        <w:ind w:firstLine="420"/>
        <w:rPr>
          <w:rFonts w:ascii="Times New Roman" w:hAnsi="Times New Roman" w:eastAsia="宋体" w:cs="Times New Roman"/>
          <w:color w:val="FF0000"/>
          <w:sz w:val="24"/>
        </w:rPr>
      </w:pPr>
      <w:bookmarkStart w:id="36" w:name="_Hlk143469450"/>
      <w:r>
        <w:rPr>
          <w:rFonts w:ascii="Times New Roman" w:hAnsi="Times New Roman" w:eastAsia="宋体" w:cs="Times New Roman"/>
          <w:color w:val="FF0000"/>
          <w:sz w:val="24"/>
          <w:lang w:bidi="ar"/>
        </w:rPr>
        <w:t xml:space="preserve">Although the proposed framework has obtained an outstanding forecasting performance, it still has certain limitations. Firstly, LASSO-BiLSTM has only applied to Forex market but not applied to other markets. Since variables in other financial markets also have high volatility, LASSO-BiLSTM may also have strong potential to forecast those variables. Secondly, this study mainly focuses on short-run forecast. To apply the model in more situations, LASSO-BiLSTM can also be tested in long-run forecast in future study. Lastly, to capture data characteristic more comprehensively, further study can extract features of other models and adopt BiLSTM-based ensemble learning approach to forecast. </w:t>
      </w:r>
      <w:bookmarkEnd w:id="34"/>
    </w:p>
    <w:bookmarkEnd w:id="35"/>
    <w:bookmarkEnd w:id="36"/>
    <w:p>
      <w:pPr>
        <w:pStyle w:val="12"/>
        <w:spacing w:before="312" w:beforeLines="100" w:beforeAutospacing="0" w:afterAutospacing="0" w:line="360" w:lineRule="auto"/>
        <w:outlineLvl w:val="0"/>
        <w:rPr>
          <w:rFonts w:ascii="Times New Roman" w:hAnsi="Times New Roman"/>
          <w:color w:val="FF0000"/>
          <w:sz w:val="28"/>
          <w:szCs w:val="28"/>
          <w:shd w:val="clear" w:color="auto" w:fill="FFFFFF"/>
        </w:rPr>
      </w:pPr>
      <w:r>
        <w:rPr>
          <w:rFonts w:ascii="Times New Roman" w:hAnsi="Times New Roman"/>
          <w:color w:val="FF0000"/>
          <w:sz w:val="28"/>
          <w:szCs w:val="28"/>
          <w:shd w:val="clear" w:color="auto" w:fill="FFFFFF"/>
        </w:rPr>
        <w:t>Reference</w:t>
      </w:r>
    </w:p>
    <w:p>
      <w:pPr>
        <w:pStyle w:val="12"/>
        <w:widowControl/>
        <w:autoSpaceDE w:val="0"/>
        <w:spacing w:beforeAutospacing="0" w:afterAutospacing="0" w:line="360" w:lineRule="auto"/>
        <w:rPr>
          <w:rFonts w:ascii="Calibri" w:hAnsi="Calibri" w:eastAsia="宋体"/>
          <w:color w:val="FF0000"/>
          <w:kern w:val="0"/>
          <w:szCs w:val="21"/>
        </w:rPr>
      </w:pPr>
      <w:r>
        <w:rPr>
          <w:rFonts w:ascii="Times New Roman" w:hAnsi="Times New Roman" w:eastAsia="宋体"/>
          <w:color w:val="FF0000"/>
          <w:kern w:val="0"/>
          <w:szCs w:val="21"/>
          <w:lang w:bidi="ar"/>
        </w:rPr>
        <w:t xml:space="preserve">Akusok, A., Bjork, K.-M., Miche, Y., &amp; Lendasse, A. (2015). High-Performance </w:t>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 xml:space="preserve">Extreme Learning Machines: A Complete Toolbox for Big Data Applications. </w:t>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ab/>
      </w:r>
      <w:r>
        <w:rPr>
          <w:rFonts w:ascii="Times New Roman" w:hAnsi="Times New Roman" w:eastAsia="宋体"/>
          <w:i/>
          <w:iCs/>
          <w:color w:val="FF0000"/>
          <w:kern w:val="0"/>
          <w:szCs w:val="21"/>
          <w:lang w:bidi="ar"/>
        </w:rPr>
        <w:t>IEEE Access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3</w:t>
      </w:r>
      <w:r>
        <w:rPr>
          <w:rFonts w:ascii="Times New Roman" w:hAnsi="Times New Roman" w:eastAsia="宋体"/>
          <w:color w:val="FF0000"/>
          <w:kern w:val="0"/>
          <w:szCs w:val="21"/>
          <w:lang w:bidi="ar"/>
        </w:rPr>
        <w:t>, 1011–1025. https://doi.org/10.1109/access.2015.2450498</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Altan, A., &amp; Karasu, S. (2019). The Effect of Kernel Values in Support Vector Machine to Forecasting Performance of Financial Time Series. </w:t>
      </w:r>
      <w:r>
        <w:rPr>
          <w:rFonts w:ascii="Times New Roman" w:hAnsi="Times New Roman" w:eastAsia="宋体"/>
          <w:i/>
          <w:iCs/>
          <w:color w:val="FF0000"/>
          <w:kern w:val="0"/>
          <w:szCs w:val="21"/>
          <w:lang w:bidi="ar"/>
        </w:rPr>
        <w:t>The Journal of Cognitive Systems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4</w:t>
      </w:r>
      <w:r>
        <w:rPr>
          <w:rFonts w:ascii="Times New Roman" w:hAnsi="Times New Roman" w:eastAsia="宋体"/>
          <w:color w:val="FF0000"/>
          <w:kern w:val="0"/>
          <w:szCs w:val="21"/>
          <w:lang w:bidi="ar"/>
        </w:rPr>
        <w:t>(1), 17–21. https://dergipark.org.tr/en/pub/jcs/issue/44276/570863</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Amelot, L. M. M., Subadar Agathee, U., &amp; Sunecher, Y. (2020). Time series modelling, NARX neural network and hybrid KPCA–SVR approach to forecast the foreign exchange market in Mauritius. </w:t>
      </w:r>
      <w:r>
        <w:rPr>
          <w:rFonts w:ascii="Times New Roman" w:hAnsi="Times New Roman" w:eastAsia="宋体"/>
          <w:i/>
          <w:iCs/>
          <w:color w:val="FF0000"/>
          <w:kern w:val="0"/>
          <w:szCs w:val="21"/>
          <w:lang w:bidi="ar"/>
        </w:rPr>
        <w:t>African Journal of Economic and Management Studies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12</w:t>
      </w:r>
      <w:r>
        <w:rPr>
          <w:rFonts w:ascii="Times New Roman" w:hAnsi="Times New Roman" w:eastAsia="宋体"/>
          <w:color w:val="FF0000"/>
          <w:kern w:val="0"/>
          <w:szCs w:val="21"/>
          <w:lang w:bidi="ar"/>
        </w:rPr>
        <w:t>(1), 18–54. https://doi.org/10.1108/ajems-04-2019-0161</w:t>
      </w:r>
    </w:p>
    <w:p>
      <w:pPr>
        <w:pStyle w:val="12"/>
        <w:widowControl/>
        <w:autoSpaceDE w:val="0"/>
        <w:snapToGrid w:val="0"/>
        <w:spacing w:beforeAutospacing="0" w:afterAutospacing="0" w:line="360" w:lineRule="auto"/>
        <w:ind w:left="420" w:hanging="420" w:hangingChars="200"/>
        <w:jc w:val="left"/>
        <w:rPr>
          <w:rFonts w:ascii="Times New Roman" w:hAnsi="Times New Roman" w:eastAsia="宋体"/>
          <w:color w:val="FF0000"/>
          <w:szCs w:val="21"/>
          <w:shd w:val="clear" w:color="auto" w:fill="FFFFFF"/>
        </w:rPr>
      </w:pPr>
      <w:r>
        <w:rPr>
          <w:rFonts w:ascii="Times New Roman" w:hAnsi="Times New Roman" w:eastAsia="宋体"/>
          <w:color w:val="FF0000"/>
          <w:szCs w:val="21"/>
          <w:shd w:val="clear" w:color="auto" w:fill="FFFFFF"/>
          <w:lang w:bidi="ar"/>
        </w:rPr>
        <w:t xml:space="preserve">Aslan, M. F., Unlersen, M. F., Sabanci, K., &amp; Durdu, A. (2021). CNN-based transfer learning–BiLSTM network: A novel approach for COVID-19 infection detection. </w:t>
      </w:r>
      <w:r>
        <w:rPr>
          <w:rFonts w:ascii="Times New Roman" w:hAnsi="Times New Roman" w:eastAsia="宋体"/>
          <w:i/>
          <w:iCs/>
          <w:color w:val="FF0000"/>
          <w:szCs w:val="21"/>
          <w:lang w:bidi="ar"/>
        </w:rPr>
        <w:t>Applied Soft Computing</w:t>
      </w:r>
      <w:r>
        <w:rPr>
          <w:rFonts w:ascii="Times New Roman" w:hAnsi="Times New Roman" w:eastAsia="宋体"/>
          <w:color w:val="FF0000"/>
          <w:szCs w:val="21"/>
          <w:shd w:val="clear" w:color="auto" w:fill="FFFFFF"/>
          <w:lang w:bidi="ar"/>
        </w:rPr>
        <w:t xml:space="preserve">, </w:t>
      </w:r>
      <w:r>
        <w:rPr>
          <w:rFonts w:ascii="Times New Roman" w:hAnsi="Times New Roman" w:eastAsia="宋体"/>
          <w:i/>
          <w:iCs/>
          <w:color w:val="FF0000"/>
          <w:szCs w:val="21"/>
          <w:lang w:bidi="ar"/>
        </w:rPr>
        <w:t>98</w:t>
      </w:r>
      <w:r>
        <w:rPr>
          <w:rFonts w:ascii="Times New Roman" w:hAnsi="Times New Roman" w:eastAsia="宋体"/>
          <w:color w:val="FF0000"/>
          <w:szCs w:val="21"/>
          <w:shd w:val="clear" w:color="auto" w:fill="FFFFFF"/>
          <w:lang w:bidi="ar"/>
        </w:rPr>
        <w:t>, 106912.</w:t>
      </w:r>
    </w:p>
    <w:p>
      <w:pPr>
        <w:pStyle w:val="12"/>
        <w:widowControl/>
        <w:autoSpaceDE w:val="0"/>
        <w:snapToGrid w:val="0"/>
        <w:spacing w:beforeAutospacing="0" w:afterAutospacing="0" w:line="360" w:lineRule="auto"/>
        <w:ind w:left="420" w:hanging="420" w:hangingChars="200"/>
        <w:jc w:val="left"/>
        <w:rPr>
          <w:rFonts w:ascii="Times New Roman" w:hAnsi="Times New Roman" w:eastAsia="宋体"/>
          <w:color w:val="FF0000"/>
          <w:szCs w:val="21"/>
          <w:shd w:val="clear" w:color="auto" w:fill="FFFFFF"/>
        </w:rPr>
      </w:pPr>
      <w:r>
        <w:rPr>
          <w:rFonts w:ascii="Times New Roman" w:hAnsi="Times New Roman" w:eastAsia="宋体"/>
          <w:color w:val="FF0000"/>
          <w:szCs w:val="21"/>
          <w:shd w:val="clear" w:color="auto" w:fill="FFFFFF"/>
          <w:lang w:bidi="ar"/>
        </w:rPr>
        <w:t>Baffour, A. A., Feng, J., &amp; Taylor, E. K. (2019). A hybrid artificial neural network-GJR modeling approach to forecasting currency exchange rate volatility. Neurocomputing, 365, 285-301.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Beckmann, J., &amp; Czudaj, R. (2017). Exchange rate expectations and economic policy uncertainty. </w:t>
      </w:r>
      <w:r>
        <w:rPr>
          <w:rFonts w:ascii="Times New Roman" w:hAnsi="Times New Roman" w:eastAsia="宋体"/>
          <w:i/>
          <w:iCs/>
          <w:color w:val="FF0000"/>
          <w:kern w:val="0"/>
          <w:szCs w:val="21"/>
          <w:lang w:bidi="ar"/>
        </w:rPr>
        <w:t>European Journal of Political Economy</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47</w:t>
      </w:r>
      <w:r>
        <w:rPr>
          <w:rFonts w:ascii="Times New Roman" w:hAnsi="Times New Roman" w:eastAsia="宋体"/>
          <w:color w:val="FF0000"/>
          <w:kern w:val="0"/>
          <w:szCs w:val="21"/>
          <w:lang w:bidi="ar"/>
        </w:rPr>
        <w:t>, 148–162. https://doi.org/10.1016/j.ejpoleco.2016.06.003</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Beckmann, J., &amp; Schüssler, R. (2016). Forecasting exchange rates under parameter and model uncertainty. </w:t>
      </w:r>
      <w:r>
        <w:rPr>
          <w:rFonts w:ascii="Times New Roman" w:hAnsi="Times New Roman" w:eastAsia="宋体"/>
          <w:i/>
          <w:iCs/>
          <w:color w:val="FF0000"/>
          <w:kern w:val="0"/>
          <w:szCs w:val="21"/>
          <w:lang w:bidi="ar"/>
        </w:rPr>
        <w:t>Journal of International Money and Finance</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60</w:t>
      </w:r>
      <w:r>
        <w:rPr>
          <w:rFonts w:ascii="Times New Roman" w:hAnsi="Times New Roman" w:eastAsia="宋体"/>
          <w:color w:val="FF0000"/>
          <w:kern w:val="0"/>
          <w:szCs w:val="21"/>
          <w:lang w:bidi="ar"/>
        </w:rPr>
        <w:t>, 267–288. https://doi.org/10.1016/j.jimonfin.2015.07.001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Brownlees, C. T., &amp; Gallo, G. M. (2009). Comparison of Volatility Measures: a Risk Management Perspective. </w:t>
      </w:r>
      <w:r>
        <w:rPr>
          <w:rFonts w:ascii="Times New Roman" w:hAnsi="Times New Roman" w:eastAsia="宋体"/>
          <w:i/>
          <w:iCs/>
          <w:color w:val="FF0000"/>
          <w:kern w:val="0"/>
          <w:szCs w:val="21"/>
          <w:lang w:bidi="ar"/>
        </w:rPr>
        <w:t>Journal of Financial Econometrics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8</w:t>
      </w:r>
      <w:r>
        <w:rPr>
          <w:rFonts w:ascii="Times New Roman" w:hAnsi="Times New Roman" w:eastAsia="宋体"/>
          <w:color w:val="FF0000"/>
          <w:kern w:val="0"/>
          <w:szCs w:val="21"/>
          <w:lang w:bidi="ar"/>
        </w:rPr>
        <w:t>(1), 29–56. https://doi.org/10.1093/jjfinec/nbp009</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Bulut, L. (2017). Google Trends and the forecasting performance of exchange rate models. </w:t>
      </w:r>
      <w:r>
        <w:rPr>
          <w:rFonts w:ascii="Times New Roman" w:hAnsi="Times New Roman" w:eastAsia="宋体"/>
          <w:i/>
          <w:iCs/>
          <w:color w:val="FF0000"/>
          <w:kern w:val="0"/>
          <w:szCs w:val="21"/>
          <w:lang w:bidi="ar"/>
        </w:rPr>
        <w:t>Journal of Forecasting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37</w:t>
      </w:r>
      <w:r>
        <w:rPr>
          <w:rFonts w:ascii="Times New Roman" w:hAnsi="Times New Roman" w:eastAsia="宋体"/>
          <w:color w:val="FF0000"/>
          <w:kern w:val="0"/>
          <w:szCs w:val="21"/>
          <w:lang w:bidi="ar"/>
        </w:rPr>
        <w:t>(3), 303–315. https://doi.org/10.1002/for.2500</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Bulut, L. (2018). Google Trends and the forecasting performance of exchange rate models. Journal of Forecasting, 37(3), 303-315.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Ca’ Zorzi, M., Kolasa, M., &amp; Rubaszek, M. (2017). Exchange rate forecasting with DSGE models. </w:t>
      </w:r>
      <w:r>
        <w:rPr>
          <w:rFonts w:ascii="Times New Roman" w:hAnsi="Times New Roman" w:eastAsia="宋体"/>
          <w:i/>
          <w:iCs/>
          <w:color w:val="FF0000"/>
          <w:kern w:val="0"/>
          <w:szCs w:val="21"/>
          <w:lang w:bidi="ar"/>
        </w:rPr>
        <w:t>Journal of International Economics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107</w:t>
      </w:r>
      <w:r>
        <w:rPr>
          <w:rFonts w:ascii="Times New Roman" w:hAnsi="Times New Roman" w:eastAsia="宋体"/>
          <w:color w:val="FF0000"/>
          <w:kern w:val="0"/>
          <w:szCs w:val="21"/>
          <w:lang w:bidi="ar"/>
        </w:rPr>
        <w:t>, 127–146. https://doi.org/10.1016/j.jinteco.2017.03.011</w:t>
      </w:r>
    </w:p>
    <w:p>
      <w:pPr>
        <w:pStyle w:val="12"/>
        <w:widowControl/>
        <w:autoSpaceDE w:val="0"/>
        <w:snapToGrid w:val="0"/>
        <w:spacing w:beforeAutospacing="0" w:afterAutospacing="0" w:line="360" w:lineRule="auto"/>
        <w:ind w:left="420" w:hanging="420" w:hangingChars="200"/>
        <w:jc w:val="left"/>
        <w:rPr>
          <w:rFonts w:ascii="Times New Roman" w:hAnsi="Times New Roman" w:eastAsia="宋体"/>
          <w:color w:val="FF0000"/>
          <w:szCs w:val="21"/>
        </w:rPr>
      </w:pPr>
      <w:r>
        <w:rPr>
          <w:rFonts w:ascii="Times New Roman" w:hAnsi="Times New Roman" w:eastAsia="宋体"/>
          <w:color w:val="FF0000"/>
          <w:szCs w:val="21"/>
          <w:lang w:bidi="ar"/>
        </w:rPr>
        <w:t>Cashin, P., Céspedes, L. F., &amp; Sahay, R. (2004). Commodity currencies and the real exchange rate. Journal of Development Economics, 75(1), 239-268.</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Chaudhuri, T. D., &amp; Ghosh, I. (2016, July 3). </w:t>
      </w:r>
      <w:r>
        <w:rPr>
          <w:rFonts w:ascii="Times New Roman" w:hAnsi="Times New Roman" w:eastAsia="宋体"/>
          <w:i/>
          <w:iCs/>
          <w:color w:val="FF0000"/>
          <w:kern w:val="0"/>
          <w:szCs w:val="21"/>
          <w:lang w:bidi="ar"/>
        </w:rPr>
        <w:t>Artificial Neural Network and Time Series Modeling Based Approach to Forecasting the Exchange Rate in a Multivariate Framework</w:t>
      </w:r>
      <w:r>
        <w:rPr>
          <w:rFonts w:ascii="Times New Roman" w:hAnsi="Times New Roman" w:eastAsia="宋体"/>
          <w:color w:val="FF0000"/>
          <w:kern w:val="0"/>
          <w:szCs w:val="21"/>
          <w:lang w:bidi="ar"/>
        </w:rPr>
        <w:t>. ArXiv.org. https://doi.org/10.48550/arXiv.1607.02093</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Chen, H. L., Wang, G., Ma, C., Cai, Z. N., Liu, W. B., &amp; Wang, S. J. (2016). An efficient hybrid kernel extreme learning machine approach for early diagnosis of Parkinson׳ s disease. </w:t>
      </w:r>
      <w:r>
        <w:rPr>
          <w:rFonts w:ascii="Times New Roman" w:hAnsi="Times New Roman" w:eastAsia="宋体" w:cs="Times New Roman"/>
          <w:i/>
          <w:iCs/>
          <w:color w:val="FF0000"/>
          <w:szCs w:val="21"/>
          <w:lang w:bidi="ar"/>
        </w:rPr>
        <w:t>Neurocomputing</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184</w:t>
      </w:r>
      <w:r>
        <w:rPr>
          <w:rFonts w:ascii="Times New Roman" w:hAnsi="Times New Roman" w:eastAsia="宋体" w:cs="Times New Roman"/>
          <w:color w:val="FF0000"/>
          <w:szCs w:val="21"/>
          <w:shd w:val="clear" w:color="auto" w:fill="FFFFFF"/>
          <w:lang w:bidi="ar"/>
        </w:rPr>
        <w:t>, 131-144.</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Chen, L., Du, Z., &amp; Hu, Z. (2019). Impact of economic policy uncertainty on exchange rate volatility of China.</w:t>
      </w:r>
      <w:r>
        <w:rPr>
          <w:rFonts w:ascii="Times New Roman" w:hAnsi="Times New Roman" w:eastAsia="宋体" w:cs="Times New Roman"/>
          <w:i/>
          <w:iCs/>
          <w:color w:val="FF0000"/>
          <w:szCs w:val="21"/>
          <w:shd w:val="clear" w:color="auto" w:fill="FFFFFF"/>
          <w:lang w:bidi="ar"/>
        </w:rPr>
        <w:t xml:space="preserve"> Finance Research Letters</w:t>
      </w:r>
      <w:r>
        <w:rPr>
          <w:rFonts w:ascii="Times New Roman" w:hAnsi="Times New Roman" w:eastAsia="宋体" w:cs="Times New Roman"/>
          <w:color w:val="FF0000"/>
          <w:szCs w:val="21"/>
          <w:shd w:val="clear" w:color="auto" w:fill="FFFFFF"/>
          <w:lang w:bidi="ar"/>
        </w:rPr>
        <w:t>. https://doi.org/10.1016/j.frl.2019.08.014</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Chen, T., Xu, R., He, Y., &amp; Wang, X. (2017). Improving sentiment analysis via sentence type classification using BiLSTM-CRF and CNN. </w:t>
      </w:r>
      <w:r>
        <w:rPr>
          <w:rFonts w:ascii="Times New Roman" w:hAnsi="Times New Roman" w:eastAsia="宋体"/>
          <w:i/>
          <w:iCs/>
          <w:color w:val="FF0000"/>
          <w:kern w:val="0"/>
          <w:szCs w:val="21"/>
          <w:lang w:bidi="ar"/>
        </w:rPr>
        <w:t>Expert Systems with Applications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72</w:t>
      </w:r>
      <w:r>
        <w:rPr>
          <w:rFonts w:ascii="Times New Roman" w:hAnsi="Times New Roman" w:eastAsia="宋体"/>
          <w:color w:val="FF0000"/>
          <w:kern w:val="0"/>
          <w:szCs w:val="21"/>
          <w:lang w:bidi="ar"/>
        </w:rPr>
        <w:t>, 221–230. https://doi.org/10.1016/j.eswa.2016.10.065</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Chen, T., Xu, R., He, Y., &amp; Wang, X. (2017). Improving sentiment analysis via sentence type classification using BiLSTM-CRF and CNN. </w:t>
      </w:r>
      <w:r>
        <w:rPr>
          <w:rFonts w:ascii="Times New Roman" w:hAnsi="Times New Roman" w:eastAsia="宋体" w:cs="Times New Roman"/>
          <w:i/>
          <w:iCs/>
          <w:color w:val="FF0000"/>
          <w:szCs w:val="21"/>
          <w:lang w:bidi="ar"/>
        </w:rPr>
        <w:t>Expert Systems with Applications</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72</w:t>
      </w:r>
      <w:r>
        <w:rPr>
          <w:rFonts w:ascii="Times New Roman" w:hAnsi="Times New Roman" w:eastAsia="宋体" w:cs="Times New Roman"/>
          <w:color w:val="FF0000"/>
          <w:szCs w:val="21"/>
          <w:shd w:val="clear" w:color="auto" w:fill="FFFFFF"/>
          <w:lang w:bidi="ar"/>
        </w:rPr>
        <w:t>, 221-230.</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Cortes, C., &amp; Vapnik, V. (1995). Support-vector networks. </w:t>
      </w:r>
      <w:r>
        <w:rPr>
          <w:rFonts w:ascii="Times New Roman" w:hAnsi="Times New Roman" w:eastAsia="宋体" w:cs="Times New Roman"/>
          <w:i/>
          <w:iCs/>
          <w:color w:val="FF0000"/>
          <w:szCs w:val="21"/>
          <w:lang w:bidi="ar"/>
        </w:rPr>
        <w:t>Machine learning</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20</w:t>
      </w:r>
      <w:r>
        <w:rPr>
          <w:rFonts w:ascii="Times New Roman" w:hAnsi="Times New Roman" w:eastAsia="宋体" w:cs="Times New Roman"/>
          <w:color w:val="FF0000"/>
          <w:szCs w:val="21"/>
          <w:shd w:val="clear" w:color="auto" w:fill="FFFFFF"/>
          <w:lang w:bidi="ar"/>
        </w:rPr>
        <w:t>(3), 273-297.</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Datta, R. K., Sajid, S. W., Moon, M. H., &amp; Abedin, M. Z. (2021). Foreign Currency Exchange Rate Prediction Using Bidirectional Long Short Term Memory. Studies in Computational Intelligence, 213–227. https://doi.org/10.1007/978-3-030-73057-4_17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Dautel, A. J., Härdle, W. K., Lessmann, S., &amp; Seow, H.-V. (2020). Forex exchange rate forecasting using deep recurrent neural networks. </w:t>
      </w:r>
      <w:r>
        <w:rPr>
          <w:rFonts w:ascii="Times New Roman" w:hAnsi="Times New Roman" w:eastAsia="宋体"/>
          <w:i/>
          <w:iCs/>
          <w:color w:val="FF0000"/>
          <w:kern w:val="0"/>
          <w:szCs w:val="21"/>
          <w:lang w:bidi="ar"/>
        </w:rPr>
        <w:t>Digital Finance</w:t>
      </w:r>
      <w:r>
        <w:rPr>
          <w:rFonts w:ascii="Times New Roman" w:hAnsi="Times New Roman" w:eastAsia="宋体"/>
          <w:color w:val="FF0000"/>
          <w:kern w:val="0"/>
          <w:szCs w:val="21"/>
          <w:lang w:bidi="ar"/>
        </w:rPr>
        <w:t>. https://doi.org/10.1007/s42521-020-00019-x</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Ding, S., Xu, X., &amp; Nie, R. (2014). Extreme learning machine and its applications. </w:t>
      </w:r>
      <w:r>
        <w:rPr>
          <w:rFonts w:ascii="Times New Roman" w:hAnsi="Times New Roman" w:eastAsia="宋体" w:cs="Times New Roman"/>
          <w:i/>
          <w:iCs/>
          <w:color w:val="FF0000"/>
          <w:szCs w:val="21"/>
          <w:lang w:bidi="ar"/>
        </w:rPr>
        <w:t>Neural Computing and Applications</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25</w:t>
      </w:r>
      <w:r>
        <w:rPr>
          <w:rFonts w:ascii="Times New Roman" w:hAnsi="Times New Roman" w:eastAsia="宋体" w:cs="Times New Roman"/>
          <w:color w:val="FF0000"/>
          <w:szCs w:val="21"/>
          <w:shd w:val="clear" w:color="auto" w:fill="FFFFFF"/>
          <w:lang w:bidi="ar"/>
        </w:rPr>
        <w:t>(3), 549-556.</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Ding, S., Zhao, H., Zhang, Y., Xu, X., &amp; Nie, R. (2015). Extreme learning machine: algorithm, theory and applications. </w:t>
      </w:r>
      <w:r>
        <w:rPr>
          <w:rFonts w:ascii="Times New Roman" w:hAnsi="Times New Roman" w:eastAsia="宋体" w:cs="Times New Roman"/>
          <w:i/>
          <w:iCs/>
          <w:color w:val="FF0000"/>
          <w:szCs w:val="21"/>
          <w:lang w:bidi="ar"/>
        </w:rPr>
        <w:t>Artificial Intelligence Review</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44</w:t>
      </w:r>
      <w:r>
        <w:rPr>
          <w:rFonts w:ascii="Times New Roman" w:hAnsi="Times New Roman" w:eastAsia="宋体" w:cs="Times New Roman"/>
          <w:color w:val="FF0000"/>
          <w:szCs w:val="21"/>
          <w:shd w:val="clear" w:color="auto" w:fill="FFFFFF"/>
          <w:lang w:bidi="ar"/>
        </w:rPr>
        <w:t>(1), 103-115.</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Ding, X., Liu, J., Yang, F., &amp; Cao, J. (2021). Random radial basis function kernel-based support vector machine. </w:t>
      </w:r>
      <w:r>
        <w:rPr>
          <w:rFonts w:ascii="Times New Roman" w:hAnsi="Times New Roman" w:eastAsia="宋体" w:cs="Times New Roman"/>
          <w:i/>
          <w:iCs/>
          <w:color w:val="FF0000"/>
          <w:szCs w:val="21"/>
          <w:lang w:bidi="ar"/>
        </w:rPr>
        <w:t>Journal of the Franklin Institute</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358</w:t>
      </w:r>
      <w:r>
        <w:rPr>
          <w:rFonts w:ascii="Times New Roman" w:hAnsi="Times New Roman" w:eastAsia="宋体" w:cs="Times New Roman"/>
          <w:color w:val="FF0000"/>
          <w:szCs w:val="21"/>
          <w:shd w:val="clear" w:color="auto" w:fill="FFFFFF"/>
          <w:lang w:bidi="ar"/>
        </w:rPr>
        <w:t>(18), 10121-10140.</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Economic Policy Uncertainty Index. (2012). Policyuncertainty.com. https://www.policyuncertainty.com/</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Epaphra, M. (2017). Modeling Exchange Rate Volatility: Application of the GARCH and EGARCH Models. </w:t>
      </w:r>
      <w:r>
        <w:rPr>
          <w:rFonts w:ascii="Times New Roman" w:hAnsi="Times New Roman" w:eastAsia="宋体"/>
          <w:i/>
          <w:iCs/>
          <w:color w:val="FF0000"/>
          <w:kern w:val="0"/>
          <w:szCs w:val="21"/>
          <w:lang w:bidi="ar"/>
        </w:rPr>
        <w:t>Journal of Mathematical Finance</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07</w:t>
      </w:r>
      <w:r>
        <w:rPr>
          <w:rFonts w:ascii="Times New Roman" w:hAnsi="Times New Roman" w:eastAsia="宋体"/>
          <w:color w:val="FF0000"/>
          <w:kern w:val="0"/>
          <w:szCs w:val="21"/>
          <w:lang w:bidi="ar"/>
        </w:rPr>
        <w:t>(01), 121–143. https://doi.org/10.4236/jmf.2017.71007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Fu, S., Li, Y., Sun, S., &amp; Li, H. (2019). Evolutionary support vector machine for RMB exchange rate forecasting. </w:t>
      </w:r>
      <w:r>
        <w:rPr>
          <w:rFonts w:ascii="Times New Roman" w:hAnsi="Times New Roman" w:eastAsia="宋体"/>
          <w:i/>
          <w:iCs/>
          <w:color w:val="FF0000"/>
          <w:kern w:val="0"/>
          <w:szCs w:val="21"/>
          <w:lang w:bidi="ar"/>
        </w:rPr>
        <w:t>Physica A: Statistical Mechanics and Its Applications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521</w:t>
      </w:r>
      <w:r>
        <w:rPr>
          <w:rFonts w:ascii="Times New Roman" w:hAnsi="Times New Roman" w:eastAsia="宋体"/>
          <w:color w:val="FF0000"/>
          <w:kern w:val="0"/>
          <w:szCs w:val="21"/>
          <w:lang w:bidi="ar"/>
        </w:rPr>
        <w:t>, 692–704. https://doi.org/10.1016/j.physa.2019.01.026</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 xml:space="preserve">Hameed, Z., &amp; Garcia-Zapirain, B. (2020). Sentiment classification using a single-layered BiLSTM model. </w:t>
      </w:r>
      <w:r>
        <w:rPr>
          <w:rFonts w:ascii="Times New Roman" w:hAnsi="Times New Roman" w:eastAsia="PMingLiU"/>
          <w:i/>
          <w:iCs/>
          <w:color w:val="FF0000"/>
          <w:kern w:val="0"/>
          <w:szCs w:val="21"/>
          <w:lang w:bidi="ar"/>
        </w:rPr>
        <w:t>IEEE Access</w:t>
      </w:r>
      <w:r>
        <w:rPr>
          <w:rFonts w:ascii="Times New Roman" w:hAnsi="Times New Roman" w:eastAsia="PMingLiU"/>
          <w:color w:val="FF0000"/>
          <w:kern w:val="0"/>
          <w:szCs w:val="21"/>
          <w:shd w:val="clear" w:color="auto" w:fill="FFFFFF"/>
          <w:lang w:bidi="ar"/>
        </w:rPr>
        <w:t xml:space="preserve">, </w:t>
      </w:r>
      <w:r>
        <w:rPr>
          <w:rFonts w:ascii="Times New Roman" w:hAnsi="Times New Roman" w:eastAsia="PMingLiU"/>
          <w:i/>
          <w:iCs/>
          <w:color w:val="FF0000"/>
          <w:kern w:val="0"/>
          <w:szCs w:val="21"/>
          <w:lang w:bidi="ar"/>
        </w:rPr>
        <w:t>8</w:t>
      </w:r>
      <w:r>
        <w:rPr>
          <w:rFonts w:ascii="Times New Roman" w:hAnsi="Times New Roman" w:eastAsia="PMingLiU"/>
          <w:color w:val="FF0000"/>
          <w:kern w:val="0"/>
          <w:szCs w:val="21"/>
          <w:shd w:val="clear" w:color="auto" w:fill="FFFFFF"/>
          <w:lang w:bidi="ar"/>
        </w:rPr>
        <w:t>, 73992-74001.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Heiden, S., Klein, C., &amp; Zwergel, B. (2013). Beyond Fundamentals: Investor Sentiment and Exchange Rate Forecasting. </w:t>
      </w:r>
      <w:r>
        <w:rPr>
          <w:rFonts w:ascii="Times New Roman" w:hAnsi="Times New Roman" w:eastAsia="宋体"/>
          <w:i/>
          <w:iCs/>
          <w:color w:val="FF0000"/>
          <w:kern w:val="0"/>
          <w:szCs w:val="21"/>
          <w:lang w:bidi="ar"/>
        </w:rPr>
        <w:t>European Financial Management</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19</w:t>
      </w:r>
      <w:r>
        <w:rPr>
          <w:rFonts w:ascii="Times New Roman" w:hAnsi="Times New Roman" w:eastAsia="宋体"/>
          <w:color w:val="FF0000"/>
          <w:kern w:val="0"/>
          <w:szCs w:val="21"/>
          <w:lang w:bidi="ar"/>
        </w:rPr>
        <w:t>(3), 558–578. https://doi.org/10.1111/j.1468-036x.2010.00593.x</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Henríquez, J., &amp; Kristjanpoller, W. (2019). A combined Independent Component Analysis–Neural Network model for forecasting exchange rate variation. Applied Soft Computing, 83, 105654.</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Hochreiter, S., &amp; Schmidhuber, J. (1997). Long short-term memory. </w:t>
      </w:r>
      <w:r>
        <w:rPr>
          <w:rFonts w:ascii="Times New Roman" w:hAnsi="Times New Roman" w:eastAsia="宋体" w:cs="Times New Roman"/>
          <w:i/>
          <w:iCs/>
          <w:color w:val="FF0000"/>
          <w:szCs w:val="21"/>
          <w:lang w:bidi="ar"/>
        </w:rPr>
        <w:t>Neural computation</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9</w:t>
      </w:r>
      <w:r>
        <w:rPr>
          <w:rFonts w:ascii="Times New Roman" w:hAnsi="Times New Roman" w:eastAsia="宋体" w:cs="Times New Roman"/>
          <w:color w:val="FF0000"/>
          <w:szCs w:val="21"/>
          <w:shd w:val="clear" w:color="auto" w:fill="FFFFFF"/>
          <w:lang w:bidi="ar"/>
        </w:rPr>
        <w:t>(8), 1735-1780.</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Huang, G. B., Zhu, Q. Y., &amp; Siew, C. K. (2006). Extreme learning machine: theory and applications. </w:t>
      </w:r>
      <w:r>
        <w:rPr>
          <w:rFonts w:ascii="Times New Roman" w:hAnsi="Times New Roman" w:eastAsia="宋体" w:cs="Times New Roman"/>
          <w:i/>
          <w:iCs/>
          <w:color w:val="FF0000"/>
          <w:szCs w:val="21"/>
          <w:lang w:bidi="ar"/>
        </w:rPr>
        <w:t>Neurocomputing</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70</w:t>
      </w:r>
      <w:r>
        <w:rPr>
          <w:rFonts w:ascii="Times New Roman" w:hAnsi="Times New Roman" w:eastAsia="宋体" w:cs="Times New Roman"/>
          <w:color w:val="FF0000"/>
          <w:szCs w:val="21"/>
          <w:shd w:val="clear" w:color="auto" w:fill="FFFFFF"/>
          <w:lang w:bidi="ar"/>
        </w:rPr>
        <w:t>(1-3), 489-501.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Huang, W., Lai, K. K., Nakamori, Y., &amp; WANG, S. (2004). Forecasting Foreign Exchange Rates with Artificial Neural Networks: A Review. </w:t>
      </w:r>
      <w:r>
        <w:rPr>
          <w:rFonts w:ascii="Times New Roman" w:hAnsi="Times New Roman" w:eastAsia="宋体"/>
          <w:i/>
          <w:iCs/>
          <w:color w:val="FF0000"/>
          <w:kern w:val="0"/>
          <w:szCs w:val="21"/>
          <w:lang w:bidi="ar"/>
        </w:rPr>
        <w:t>International Journal of Information Technology &amp; Decision Making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03</w:t>
      </w:r>
      <w:r>
        <w:rPr>
          <w:rFonts w:ascii="Times New Roman" w:hAnsi="Times New Roman" w:eastAsia="宋体"/>
          <w:color w:val="FF0000"/>
          <w:kern w:val="0"/>
          <w:szCs w:val="21"/>
          <w:lang w:bidi="ar"/>
        </w:rPr>
        <w:t>(01), 145–165. https://doi.org/10.1142/s0219622004000969</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Huang, W., Lai, K. keung, Nakamori, Y., Wang, S., &amp; Yu, L. (2007). Neural Networks in Finance and Economics Forecasting. </w:t>
      </w:r>
      <w:r>
        <w:rPr>
          <w:rFonts w:ascii="Times New Roman" w:hAnsi="Times New Roman" w:eastAsia="宋体"/>
          <w:i/>
          <w:iCs/>
          <w:color w:val="FF0000"/>
          <w:kern w:val="0"/>
          <w:szCs w:val="21"/>
          <w:lang w:bidi="ar"/>
        </w:rPr>
        <w:t>International Journal of Information Technology &amp; Decision Making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06</w:t>
      </w:r>
      <w:r>
        <w:rPr>
          <w:rFonts w:ascii="Times New Roman" w:hAnsi="Times New Roman" w:eastAsia="宋体"/>
          <w:color w:val="FF0000"/>
          <w:kern w:val="0"/>
          <w:szCs w:val="21"/>
          <w:lang w:bidi="ar"/>
        </w:rPr>
        <w:t>(01), 113–140. https://doi.org/10.1142/s021962200700237x</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Iosifidis, A., Tefas, A., &amp; Pitas, I. (2015). On the kernel extreme learning machine classifier. </w:t>
      </w:r>
      <w:r>
        <w:rPr>
          <w:rFonts w:ascii="Times New Roman" w:hAnsi="Times New Roman" w:eastAsia="宋体" w:cs="Times New Roman"/>
          <w:i/>
          <w:iCs/>
          <w:color w:val="FF0000"/>
          <w:szCs w:val="21"/>
          <w:lang w:bidi="ar"/>
        </w:rPr>
        <w:t>Pattern Recognition Letters</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54</w:t>
      </w:r>
      <w:r>
        <w:rPr>
          <w:rFonts w:ascii="Times New Roman" w:hAnsi="Times New Roman" w:eastAsia="宋体" w:cs="Times New Roman"/>
          <w:color w:val="FF0000"/>
          <w:szCs w:val="21"/>
          <w:shd w:val="clear" w:color="auto" w:fill="FFFFFF"/>
          <w:lang w:bidi="ar"/>
        </w:rPr>
        <w:t>, 11-17.</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Islam, M. S., &amp; Hossain, E. (2020). Foreign exchange currency rate prediction using a GRU-LSTM hybrid network. Soft Computing Letters, 100009.</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Jain, A., &amp; Biswal, P. C. (2016). Dynamic linkages among oil price, gold price, exchange rate, and the stock market in India. Resources Policy, 49, 179-185.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Kaushik, M., &amp; Giri, A. K. (2020, February 19). </w:t>
      </w:r>
      <w:r>
        <w:rPr>
          <w:rFonts w:ascii="Times New Roman" w:hAnsi="Times New Roman" w:eastAsia="宋体"/>
          <w:i/>
          <w:iCs/>
          <w:color w:val="FF0000"/>
          <w:kern w:val="0"/>
          <w:szCs w:val="21"/>
          <w:lang w:bidi="ar"/>
        </w:rPr>
        <w:t>Forecasting Foreign Exchange Rate: A Multivariate Comparative Analysis between Traditional Econometric, Contemporary Machine Learning &amp; Deep Learning Techniques</w:t>
      </w:r>
      <w:r>
        <w:rPr>
          <w:rFonts w:ascii="Times New Roman" w:hAnsi="Times New Roman" w:eastAsia="宋体"/>
          <w:color w:val="FF0000"/>
          <w:kern w:val="0"/>
          <w:szCs w:val="21"/>
          <w:lang w:bidi="ar"/>
        </w:rPr>
        <w:t>. ArXiv.org. https://doi.org/10.48550/arXiv.2002.10247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Khashei, M., Ali Montazeri, M., &amp; Bijari, M. (2015). Comparison of Four Interval ARIMA-base Time Series Methods for Exchange Rate Forecasting. </w:t>
      </w:r>
      <w:r>
        <w:rPr>
          <w:rFonts w:ascii="Times New Roman" w:hAnsi="Times New Roman" w:eastAsia="宋体"/>
          <w:i/>
          <w:iCs/>
          <w:color w:val="FF0000"/>
          <w:kern w:val="0"/>
          <w:szCs w:val="21"/>
          <w:lang w:bidi="ar"/>
        </w:rPr>
        <w:t>International Journal of Mathematical Sciences and Computing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w:t>
      </w:r>
      <w:r>
        <w:rPr>
          <w:rFonts w:ascii="Times New Roman" w:hAnsi="Times New Roman" w:eastAsia="宋体"/>
          <w:color w:val="FF0000"/>
          <w:kern w:val="0"/>
          <w:szCs w:val="21"/>
          <w:lang w:bidi="ar"/>
        </w:rPr>
        <w:t>(1), 21–34. https://doi.org/10.5815/ijmsc.2015.01.03</w:t>
      </w:r>
    </w:p>
    <w:p>
      <w:pPr>
        <w:pStyle w:val="12"/>
        <w:widowControl/>
        <w:autoSpaceDE w:val="0"/>
        <w:snapToGrid w:val="0"/>
        <w:spacing w:beforeAutospacing="0" w:afterAutospacing="0" w:line="360" w:lineRule="auto"/>
        <w:ind w:left="420" w:hanging="420" w:hangingChars="200"/>
        <w:jc w:val="left"/>
        <w:rPr>
          <w:rFonts w:ascii="Times New Roman" w:hAnsi="Times New Roman" w:eastAsia="宋体"/>
          <w:color w:val="FF0000"/>
          <w:szCs w:val="21"/>
        </w:rPr>
      </w:pPr>
      <w:r>
        <w:rPr>
          <w:rFonts w:ascii="Times New Roman" w:hAnsi="Times New Roman" w:eastAsia="宋体"/>
          <w:color w:val="FF0000"/>
          <w:szCs w:val="21"/>
          <w:lang w:bidi="ar"/>
        </w:rPr>
        <w:t>Kim, Y., &amp; Park, C. (2020). Are exchange rates disconnected from macroeconomic variables? Evidence from the factor approach. Empirical Economics, 58(4), 1713-1747.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Kulshrestha, A., Krishnaswamy, V., &amp; Sharma, M. (2020). Bayesian BILSTM approach for tourism demand forecasting. </w:t>
      </w:r>
      <w:r>
        <w:rPr>
          <w:rFonts w:ascii="Times New Roman" w:hAnsi="Times New Roman" w:eastAsia="宋体"/>
          <w:i/>
          <w:iCs/>
          <w:color w:val="FF0000"/>
          <w:kern w:val="0"/>
          <w:szCs w:val="21"/>
          <w:lang w:bidi="ar"/>
        </w:rPr>
        <w:t>Annals of Tourism Research</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83</w:t>
      </w:r>
      <w:r>
        <w:rPr>
          <w:rFonts w:ascii="Times New Roman" w:hAnsi="Times New Roman" w:eastAsia="宋体"/>
          <w:color w:val="FF0000"/>
          <w:kern w:val="0"/>
          <w:szCs w:val="21"/>
          <w:lang w:bidi="ar"/>
        </w:rPr>
        <w:t>, 102925. https://doi.org/10.1016/j.annals.2020.102925</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Lilley, A., &amp; Rinaldi, G. (2018, October 8). Currency Betas and Interest Rate Spreads. Papers.ssrn.com. https://ssrn.com/abstract=3262313</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Lilley, A., Maggiori, M., Neiman, B., &amp; Schreger, J. (2020). Exchange Rate Reconnect. The Review of Economics and Statistics, 1–28. https://doi.org/10.1162/rest_a_00978</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Lin, Y., Wang, R., Gong, X., &amp; Jia, G. (2022). Cross-correlation and forecast impact of public attention on USD/CNY exchange rate: Evidence from Baidu Index. </w:t>
      </w:r>
      <w:r>
        <w:rPr>
          <w:rFonts w:ascii="Times New Roman" w:hAnsi="Times New Roman" w:eastAsia="宋体"/>
          <w:i/>
          <w:iCs/>
          <w:color w:val="FF0000"/>
          <w:kern w:val="0"/>
          <w:szCs w:val="21"/>
          <w:lang w:bidi="ar"/>
        </w:rPr>
        <w:t>Physica A: Statistical Mechanics and Its Applications</w:t>
      </w:r>
      <w:r>
        <w:rPr>
          <w:rFonts w:ascii="Times New Roman" w:hAnsi="Times New Roman" w:eastAsia="宋体"/>
          <w:color w:val="FF0000"/>
          <w:kern w:val="0"/>
          <w:szCs w:val="21"/>
          <w:lang w:bidi="ar"/>
        </w:rPr>
        <w:t>, 127686. https://doi.org/10.1016/j.physa.2022.127686</w:t>
      </w:r>
    </w:p>
    <w:p>
      <w:pPr>
        <w:pStyle w:val="12"/>
        <w:widowControl/>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Lin, Y., Wang, R., Gong, X., &amp; Jia, G. (2022). Cross-correlation and forecast impact of public attention on USD/CNY exchange rate: Evidence from Baidu Index. Physica A: Statistical Mechanics and Its Applications, 127686. https://doi.org/10.1016/j.physa.2022.127686</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Liu, P., Wang, Z., Liu, D., Wang, J., &amp; Wang, T. (2023). A CNN-STLSTM-AM model for forecasting USD/RMB exchange rate. </w:t>
      </w:r>
      <w:r>
        <w:rPr>
          <w:rFonts w:ascii="Times New Roman" w:hAnsi="Times New Roman" w:eastAsia="宋体"/>
          <w:i/>
          <w:iCs/>
          <w:color w:val="FF0000"/>
          <w:kern w:val="0"/>
          <w:szCs w:val="21"/>
          <w:lang w:bidi="ar"/>
        </w:rPr>
        <w:t>Journal of Engineering Research</w:t>
      </w:r>
      <w:r>
        <w:rPr>
          <w:rFonts w:ascii="Times New Roman" w:hAnsi="Times New Roman" w:eastAsia="宋体"/>
          <w:color w:val="FF0000"/>
          <w:kern w:val="0"/>
          <w:szCs w:val="21"/>
          <w:lang w:bidi="ar"/>
        </w:rPr>
        <w:t>, 100079–100079. https://doi.org/10.1016/j.jer.2023.100079</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Liu, X., Wang, L., Huang, G. B., Zhang, J., &amp; Yin, J. (2015). Multiple kernel extreme learning machine. </w:t>
      </w:r>
      <w:r>
        <w:rPr>
          <w:rFonts w:ascii="Times New Roman" w:hAnsi="Times New Roman" w:eastAsia="宋体" w:cs="Times New Roman"/>
          <w:i/>
          <w:iCs/>
          <w:color w:val="FF0000"/>
          <w:szCs w:val="21"/>
          <w:lang w:bidi="ar"/>
        </w:rPr>
        <w:t>Neurocomputing</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149</w:t>
      </w:r>
      <w:r>
        <w:rPr>
          <w:rFonts w:ascii="Times New Roman" w:hAnsi="Times New Roman" w:eastAsia="宋体" w:cs="Times New Roman"/>
          <w:color w:val="FF0000"/>
          <w:szCs w:val="21"/>
          <w:shd w:val="clear" w:color="auto" w:fill="FFFFFF"/>
          <w:lang w:bidi="ar"/>
        </w:rPr>
        <w:t>, 253-264.</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Lu, W., Li, J., Wang, J., &amp; Qin, L. (2020). A CNN-BiLSTM-AM method for stock price prediction. </w:t>
      </w:r>
      <w:r>
        <w:rPr>
          <w:rFonts w:ascii="Times New Roman" w:hAnsi="Times New Roman" w:eastAsia="宋体"/>
          <w:i/>
          <w:iCs/>
          <w:color w:val="FF0000"/>
          <w:kern w:val="0"/>
          <w:szCs w:val="21"/>
          <w:lang w:bidi="ar"/>
        </w:rPr>
        <w:t>Neural Computing and Applications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33</w:t>
      </w:r>
      <w:r>
        <w:rPr>
          <w:rFonts w:ascii="Times New Roman" w:hAnsi="Times New Roman" w:eastAsia="宋体"/>
          <w:color w:val="FF0000"/>
          <w:kern w:val="0"/>
          <w:szCs w:val="21"/>
          <w:lang w:bidi="ar"/>
        </w:rPr>
        <w:t>(10), 4741–4753. https://doi.org/10.1007/s00521-020-05532-z</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Lu, X., Li, J., Zhou, Y., &amp; Qian, Y. (2017). Cross-correlations between RMB exchange rate and international commodity markets. </w:t>
      </w:r>
      <w:r>
        <w:rPr>
          <w:rFonts w:ascii="Times New Roman" w:hAnsi="Times New Roman" w:eastAsia="宋体" w:cs="Times New Roman"/>
          <w:i/>
          <w:iCs/>
          <w:color w:val="FF0000"/>
          <w:szCs w:val="21"/>
          <w:shd w:val="clear" w:color="auto" w:fill="FFFFFF"/>
          <w:lang w:bidi="ar"/>
        </w:rPr>
        <w:t>Physica A: Statistical Mechanics and its Applications</w:t>
      </w:r>
      <w:r>
        <w:rPr>
          <w:rFonts w:ascii="Times New Roman" w:hAnsi="Times New Roman" w:eastAsia="宋体" w:cs="Times New Roman"/>
          <w:color w:val="FF0000"/>
          <w:szCs w:val="21"/>
          <w:shd w:val="clear" w:color="auto" w:fill="FFFFFF"/>
          <w:lang w:bidi="ar"/>
        </w:rPr>
        <w:t>, 486, 168-182.</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Lv, L., Wang, W., Zhang, Z., &amp; Liu, X. (2020). A novel intrusion detection system based on an optimal hybrid kernel extreme learning machine. </w:t>
      </w:r>
      <w:r>
        <w:rPr>
          <w:rFonts w:ascii="Times New Roman" w:hAnsi="Times New Roman" w:eastAsia="宋体" w:cs="Times New Roman"/>
          <w:i/>
          <w:iCs/>
          <w:color w:val="FF0000"/>
          <w:szCs w:val="21"/>
          <w:lang w:bidi="ar"/>
        </w:rPr>
        <w:t>Knowledge-based systems</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195</w:t>
      </w:r>
      <w:r>
        <w:rPr>
          <w:rFonts w:ascii="Times New Roman" w:hAnsi="Times New Roman" w:eastAsia="宋体" w:cs="Times New Roman"/>
          <w:color w:val="FF0000"/>
          <w:szCs w:val="21"/>
          <w:shd w:val="clear" w:color="auto" w:fill="FFFFFF"/>
          <w:lang w:bidi="ar"/>
        </w:rPr>
        <w:t>, 105648.</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Madheswaran, M., &amp; Dhas, D. A. S. (2015). Classification of brain MRI images using support vector machine with various Kernels. </w:t>
      </w:r>
      <w:r>
        <w:rPr>
          <w:rFonts w:ascii="Times New Roman" w:hAnsi="Times New Roman" w:eastAsia="宋体" w:cs="Times New Roman"/>
          <w:i/>
          <w:iCs/>
          <w:color w:val="FF0000"/>
          <w:szCs w:val="21"/>
          <w:lang w:bidi="ar"/>
        </w:rPr>
        <w:t>Biomedical Research</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26</w:t>
      </w:r>
      <w:r>
        <w:rPr>
          <w:rFonts w:ascii="Times New Roman" w:hAnsi="Times New Roman" w:eastAsia="宋体" w:cs="Times New Roman"/>
          <w:color w:val="FF0000"/>
          <w:szCs w:val="21"/>
          <w:shd w:val="clear" w:color="auto" w:fill="FFFFFF"/>
          <w:lang w:bidi="ar"/>
        </w:rPr>
        <w:t>(3), 505-513.</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Méndez, M., Merayo, M. G., &amp; Núñez, M. (2023). Long-term traffic flow forecasting using a hybrid CNN-BiLSTM model. </w:t>
      </w:r>
      <w:r>
        <w:rPr>
          <w:rFonts w:ascii="Times New Roman" w:hAnsi="Times New Roman" w:eastAsia="宋体" w:cs="Times New Roman"/>
          <w:i/>
          <w:iCs/>
          <w:color w:val="FF0000"/>
          <w:szCs w:val="21"/>
          <w:shd w:val="clear" w:color="auto" w:fill="FFFFFF"/>
          <w:lang w:bidi="ar"/>
        </w:rPr>
        <w:t>Engineering Applications of Artificial Intelligence</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shd w:val="clear" w:color="auto" w:fill="FFFFFF"/>
          <w:lang w:bidi="ar"/>
        </w:rPr>
        <w:t>121</w:t>
      </w:r>
      <w:r>
        <w:rPr>
          <w:rFonts w:ascii="Times New Roman" w:hAnsi="Times New Roman" w:eastAsia="宋体" w:cs="Times New Roman"/>
          <w:color w:val="FF0000"/>
          <w:szCs w:val="21"/>
          <w:shd w:val="clear" w:color="auto" w:fill="FFFFFF"/>
          <w:lang w:bidi="ar"/>
        </w:rPr>
        <w:t>, 106041.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Molodtsova, T., &amp; Papell, D. H. (2012). Taylor Rule Exchange Rate Forecasting during the Financial Crisis. </w:t>
      </w:r>
      <w:r>
        <w:rPr>
          <w:rFonts w:ascii="Times New Roman" w:hAnsi="Times New Roman" w:eastAsia="宋体"/>
          <w:i/>
          <w:iCs/>
          <w:color w:val="FF0000"/>
          <w:kern w:val="0"/>
          <w:szCs w:val="21"/>
          <w:lang w:bidi="ar"/>
        </w:rPr>
        <w:t>NBER International Seminar on Macroeconomics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9</w:t>
      </w:r>
      <w:r>
        <w:rPr>
          <w:rFonts w:ascii="Times New Roman" w:hAnsi="Times New Roman" w:eastAsia="宋体"/>
          <w:color w:val="FF0000"/>
          <w:kern w:val="0"/>
          <w:szCs w:val="21"/>
          <w:lang w:bidi="ar"/>
        </w:rPr>
        <w:t>(1), 55–97. https://doi.org/10.1086/669584</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Mong, T., &amp; Ngan, U. (2016). Forecasting Foreign Exchange Rate by using ARIMA Model: A Case of VND/USD Exchange Rate. </w:t>
      </w:r>
      <w:r>
        <w:rPr>
          <w:rFonts w:ascii="Times New Roman" w:hAnsi="Times New Roman" w:eastAsia="宋体"/>
          <w:i/>
          <w:iCs/>
          <w:color w:val="FF0000"/>
          <w:kern w:val="0"/>
          <w:szCs w:val="21"/>
          <w:lang w:bidi="ar"/>
        </w:rPr>
        <w:t>Research Journal of Finance and Accounting Www.iiste.org ISSN</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7</w:t>
      </w:r>
      <w:r>
        <w:rPr>
          <w:rFonts w:ascii="Times New Roman" w:hAnsi="Times New Roman" w:eastAsia="宋体"/>
          <w:color w:val="FF0000"/>
          <w:kern w:val="0"/>
          <w:szCs w:val="21"/>
          <w:lang w:bidi="ar"/>
        </w:rPr>
        <w:t>(12), 2222–2847. https://core.ac.uk/download/pdf/234631456.pdf</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Morales-Arias, L., &amp; Moura, G. V. (2013). Adaptive forecasting of exchange rates with panel data. </w:t>
      </w:r>
      <w:r>
        <w:rPr>
          <w:rFonts w:ascii="Times New Roman" w:hAnsi="Times New Roman" w:eastAsia="宋体"/>
          <w:i/>
          <w:iCs/>
          <w:color w:val="FF0000"/>
          <w:kern w:val="0"/>
          <w:szCs w:val="21"/>
          <w:lang w:bidi="ar"/>
        </w:rPr>
        <w:t>International Journal of Forecasting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29</w:t>
      </w:r>
      <w:r>
        <w:rPr>
          <w:rFonts w:ascii="Times New Roman" w:hAnsi="Times New Roman" w:eastAsia="宋体"/>
          <w:color w:val="FF0000"/>
          <w:kern w:val="0"/>
          <w:szCs w:val="21"/>
          <w:lang w:bidi="ar"/>
        </w:rPr>
        <w:t>(3), 493–509. https://doi.org/10.1016/j.ijforecast.2012.10.007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Mustaqeem, Sajjad, M., &amp; Kwon, S. (2020). Clustering-Based Speech Emotion Recognition by Incorporating Learned Features and Deep BiLSTM. </w:t>
      </w:r>
      <w:r>
        <w:rPr>
          <w:rFonts w:ascii="Times New Roman" w:hAnsi="Times New Roman" w:eastAsia="宋体"/>
          <w:i/>
          <w:iCs/>
          <w:color w:val="FF0000"/>
          <w:kern w:val="0"/>
          <w:szCs w:val="21"/>
          <w:lang w:bidi="ar"/>
        </w:rPr>
        <w:t>IEEE Access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8</w:t>
      </w:r>
      <w:r>
        <w:rPr>
          <w:rFonts w:ascii="Times New Roman" w:hAnsi="Times New Roman" w:eastAsia="宋体"/>
          <w:color w:val="FF0000"/>
          <w:kern w:val="0"/>
          <w:szCs w:val="21"/>
          <w:lang w:bidi="ar"/>
        </w:rPr>
        <w:t>, 79861–79875. https://doi.org/10.1109/access.2020.2990405</w:t>
      </w:r>
    </w:p>
    <w:p>
      <w:pPr>
        <w:pStyle w:val="12"/>
        <w:widowControl/>
        <w:autoSpaceDE w:val="0"/>
        <w:spacing w:beforeAutospacing="0" w:afterAutospacing="0" w:line="480" w:lineRule="auto"/>
        <w:ind w:left="720" w:hanging="720"/>
        <w:jc w:val="left"/>
        <w:rPr>
          <w:rFonts w:ascii="Times New Roman" w:hAnsi="Times New Roman"/>
          <w:color w:val="FF0000"/>
          <w:szCs w:val="21"/>
        </w:rPr>
      </w:pPr>
      <w:r>
        <w:rPr>
          <w:rFonts w:ascii="Times New Roman" w:hAnsi="Times New Roman"/>
          <w:color w:val="FF0000"/>
          <w:szCs w:val="21"/>
        </w:rPr>
        <w:t xml:space="preserve">Narayan, P. K., &amp; Smyth, R. (2006). The dynamic relationship between real exchange rates, real interest rates and foreign exchange reserves: empirical evidence from China. </w:t>
      </w:r>
      <w:r>
        <w:rPr>
          <w:rFonts w:ascii="Times New Roman" w:hAnsi="Times New Roman"/>
          <w:i/>
          <w:iCs/>
          <w:color w:val="FF0000"/>
          <w:szCs w:val="21"/>
        </w:rPr>
        <w:t>Applied Financial Economics</w:t>
      </w:r>
      <w:r>
        <w:rPr>
          <w:rFonts w:ascii="Times New Roman" w:hAnsi="Times New Roman"/>
          <w:color w:val="FF0000"/>
          <w:szCs w:val="21"/>
        </w:rPr>
        <w:t xml:space="preserve">, </w:t>
      </w:r>
      <w:r>
        <w:rPr>
          <w:rFonts w:ascii="Times New Roman" w:hAnsi="Times New Roman"/>
          <w:i/>
          <w:iCs/>
          <w:color w:val="FF0000"/>
          <w:szCs w:val="21"/>
        </w:rPr>
        <w:t>16</w:t>
      </w:r>
      <w:r>
        <w:rPr>
          <w:rFonts w:ascii="Times New Roman" w:hAnsi="Times New Roman"/>
          <w:color w:val="FF0000"/>
          <w:szCs w:val="21"/>
        </w:rPr>
        <w:t xml:space="preserve">(9), 639–651. </w:t>
      </w:r>
      <w:r>
        <w:fldChar w:fldCharType="begin"/>
      </w:r>
      <w:r>
        <w:instrText xml:space="preserve"> HYPERLINK "https://doi.org/10.1080/09603100500401278" </w:instrText>
      </w:r>
      <w:r>
        <w:fldChar w:fldCharType="separate"/>
      </w:r>
      <w:r>
        <w:rPr>
          <w:rStyle w:val="18"/>
          <w:rFonts w:ascii="Times New Roman" w:hAnsi="Times New Roman"/>
          <w:color w:val="FF0000"/>
          <w:szCs w:val="21"/>
        </w:rPr>
        <w:t>https://doi.org/10.1080/09603100500401278</w:t>
      </w:r>
      <w:r>
        <w:rPr>
          <w:rStyle w:val="18"/>
          <w:rFonts w:ascii="Times New Roman" w:hAnsi="Times New Roman"/>
          <w:color w:val="FF0000"/>
          <w:szCs w:val="21"/>
        </w:rPr>
        <w:fldChar w:fldCharType="end"/>
      </w:r>
    </w:p>
    <w:p>
      <w:pPr>
        <w:pStyle w:val="12"/>
        <w:widowControl/>
        <w:autoSpaceDE w:val="0"/>
        <w:spacing w:beforeAutospacing="0" w:afterAutospacing="0" w:line="480" w:lineRule="auto"/>
        <w:ind w:left="720" w:hanging="720"/>
        <w:jc w:val="left"/>
        <w:rPr>
          <w:rFonts w:ascii="Times New Roman" w:hAnsi="Times New Roman" w:eastAsia="PMingLiU"/>
          <w:color w:val="FF0000"/>
          <w:kern w:val="0"/>
          <w:szCs w:val="21"/>
          <w:shd w:val="clear" w:color="auto" w:fill="FFFFFF"/>
          <w:lang w:bidi="ar"/>
        </w:rPr>
      </w:pPr>
      <w:r>
        <w:rPr>
          <w:rFonts w:ascii="Times New Roman" w:hAnsi="Times New Roman"/>
          <w:color w:val="FF0000"/>
          <w:szCs w:val="21"/>
        </w:rPr>
        <w:t xml:space="preserve">Nasiri, H., &amp; Ebadzadeh, M. M. (2022). MFRFNN: Multi-Functional Recurrent Fuzzy Neural Network for Chaotic Time Series Prediction. </w:t>
      </w:r>
      <w:r>
        <w:rPr>
          <w:rFonts w:ascii="Times New Roman" w:hAnsi="Times New Roman"/>
          <w:i/>
          <w:iCs/>
          <w:color w:val="FF0000"/>
          <w:szCs w:val="21"/>
        </w:rPr>
        <w:t>Neurocomputing</w:t>
      </w:r>
      <w:r>
        <w:rPr>
          <w:rFonts w:ascii="Times New Roman" w:hAnsi="Times New Roman"/>
          <w:color w:val="FF0000"/>
          <w:szCs w:val="21"/>
        </w:rPr>
        <w:t>. https://doi.org/10.1016/j.neucom.2022.08.032</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Njindan Iyke, B. (2020). The Disease Outbreak Channel of Exchange Rate Return Predictability: Evidence from COVID-19. </w:t>
      </w:r>
      <w:r>
        <w:rPr>
          <w:rFonts w:ascii="Times New Roman" w:hAnsi="Times New Roman" w:eastAsia="宋体"/>
          <w:i/>
          <w:iCs/>
          <w:color w:val="FF0000"/>
          <w:kern w:val="0"/>
          <w:szCs w:val="21"/>
          <w:lang w:bidi="ar"/>
        </w:rPr>
        <w:t>Emerging Markets Finance and Trade</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56</w:t>
      </w:r>
      <w:r>
        <w:rPr>
          <w:rFonts w:ascii="Times New Roman" w:hAnsi="Times New Roman" w:eastAsia="宋体"/>
          <w:color w:val="FF0000"/>
          <w:kern w:val="0"/>
          <w:szCs w:val="21"/>
          <w:lang w:bidi="ar"/>
        </w:rPr>
        <w:t>(10), 2277–2297. https://doi.org/10.1080/1540496x.2020.1784718</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Panda, C., &amp; Narasimhan, V. (2007). Forecasting exchange rate better with artificial neural network. </w:t>
      </w:r>
      <w:r>
        <w:rPr>
          <w:rFonts w:ascii="Times New Roman" w:hAnsi="Times New Roman" w:eastAsia="宋体"/>
          <w:i/>
          <w:iCs/>
          <w:color w:val="FF0000"/>
          <w:kern w:val="0"/>
          <w:szCs w:val="21"/>
          <w:lang w:bidi="ar"/>
        </w:rPr>
        <w:t>Journal of Policy Modeling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29</w:t>
      </w:r>
      <w:r>
        <w:rPr>
          <w:rFonts w:ascii="Times New Roman" w:hAnsi="Times New Roman" w:eastAsia="宋体"/>
          <w:color w:val="FF0000"/>
          <w:kern w:val="0"/>
          <w:szCs w:val="21"/>
          <w:lang w:bidi="ar"/>
        </w:rPr>
        <w:t>(2), 227–236. https://doi.org/10.1016/j.jpolmod.2006.01.005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Parot, A., Michell, K., &amp; Kristjanpoller, W. D. (2019). Using Artificial Neural Networks to forecast Exchange Rate, including VAR‐VECM residual analysis and prediction linear combination. </w:t>
      </w:r>
      <w:r>
        <w:rPr>
          <w:rFonts w:ascii="Times New Roman" w:hAnsi="Times New Roman" w:eastAsia="宋体"/>
          <w:i/>
          <w:iCs/>
          <w:color w:val="FF0000"/>
          <w:kern w:val="0"/>
          <w:szCs w:val="21"/>
          <w:lang w:bidi="ar"/>
        </w:rPr>
        <w:t>Intelligent Systems in Accounting, Finance and Management</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26</w:t>
      </w:r>
      <w:r>
        <w:rPr>
          <w:rFonts w:ascii="Times New Roman" w:hAnsi="Times New Roman" w:eastAsia="宋体"/>
          <w:color w:val="FF0000"/>
          <w:kern w:val="0"/>
          <w:szCs w:val="21"/>
          <w:lang w:bidi="ar"/>
        </w:rPr>
        <w:t>(1), 3–15. https://doi.org/10.1002/isaf.1440</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Pilbeam, K., &amp; Langeland, K. N. (2014). Forecasting exchange rate volatility: GARCH models versus implied volatility forecasts. </w:t>
      </w:r>
      <w:r>
        <w:rPr>
          <w:rFonts w:ascii="Times New Roman" w:hAnsi="Times New Roman" w:eastAsia="宋体"/>
          <w:i/>
          <w:iCs/>
          <w:color w:val="FF0000"/>
          <w:kern w:val="0"/>
          <w:szCs w:val="21"/>
          <w:lang w:bidi="ar"/>
        </w:rPr>
        <w:t>International Economics and Economic Policy</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12</w:t>
      </w:r>
      <w:r>
        <w:rPr>
          <w:rFonts w:ascii="Times New Roman" w:hAnsi="Times New Roman" w:eastAsia="宋体"/>
          <w:color w:val="FF0000"/>
          <w:kern w:val="0"/>
          <w:szCs w:val="21"/>
          <w:lang w:bidi="ar"/>
        </w:rPr>
        <w:t>(1), 127–142. https://doi.org/10.1007/s10368-014-0289-4</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Raheem, I. D. (2020). Global financial cycles and exchange rate forecast: A factor analysis. </w:t>
      </w:r>
      <w:r>
        <w:rPr>
          <w:rFonts w:ascii="Times New Roman" w:hAnsi="Times New Roman" w:eastAsia="宋体"/>
          <w:i/>
          <w:iCs/>
          <w:color w:val="FF0000"/>
          <w:kern w:val="0"/>
          <w:szCs w:val="21"/>
          <w:lang w:bidi="ar"/>
        </w:rPr>
        <w:t>Borsa Istanbul Review</w:t>
      </w:r>
      <w:r>
        <w:rPr>
          <w:rFonts w:ascii="Times New Roman" w:hAnsi="Times New Roman" w:eastAsia="宋体"/>
          <w:color w:val="FF0000"/>
          <w:kern w:val="0"/>
          <w:szCs w:val="21"/>
          <w:lang w:bidi="ar"/>
        </w:rPr>
        <w:t>. https://doi.org/10.1016/j.bir.2020.06.002</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Reddy SK, B. A. (2015). Exchange Rate Forecasting using ARIMA, Neural Network and Fuzzy Neuron. </w:t>
      </w:r>
      <w:r>
        <w:rPr>
          <w:rFonts w:ascii="Times New Roman" w:hAnsi="Times New Roman" w:eastAsia="宋体"/>
          <w:i/>
          <w:iCs/>
          <w:color w:val="FF0000"/>
          <w:kern w:val="0"/>
          <w:szCs w:val="21"/>
          <w:lang w:bidi="ar"/>
        </w:rPr>
        <w:t>Journal of Stock &amp; Forex Trading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04</w:t>
      </w:r>
      <w:r>
        <w:rPr>
          <w:rFonts w:ascii="Times New Roman" w:hAnsi="Times New Roman" w:eastAsia="宋体"/>
          <w:color w:val="FF0000"/>
          <w:kern w:val="0"/>
          <w:szCs w:val="21"/>
          <w:lang w:bidi="ar"/>
        </w:rPr>
        <w:t>(03). https://doi.org/10.4172/2168-9458.1000155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Rhanoui, M., Mikram, M., Yousfi, S., &amp; Barzali, S. (2019). A CNN-BiLSTM Model for Document-Level Sentiment Analysis. </w:t>
      </w:r>
      <w:r>
        <w:rPr>
          <w:rFonts w:ascii="Times New Roman" w:hAnsi="Times New Roman" w:eastAsia="宋体"/>
          <w:i/>
          <w:iCs/>
          <w:color w:val="FF0000"/>
          <w:kern w:val="0"/>
          <w:szCs w:val="21"/>
          <w:lang w:bidi="ar"/>
        </w:rPr>
        <w:t>Machine Learning and Knowledge Extraction</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w:t>
      </w:r>
      <w:r>
        <w:rPr>
          <w:rFonts w:ascii="Times New Roman" w:hAnsi="Times New Roman" w:eastAsia="宋体"/>
          <w:color w:val="FF0000"/>
          <w:kern w:val="0"/>
          <w:szCs w:val="21"/>
          <w:lang w:bidi="ar"/>
        </w:rPr>
        <w:t>(3), 832–847. https://doi.org/10.3390/make1030048</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Rime, D., Sarno, L., &amp; Sojli, E. (2010). Exchange rate forecasting, order flow and macroeconomic information. </w:t>
      </w:r>
      <w:r>
        <w:rPr>
          <w:rFonts w:ascii="Times New Roman" w:hAnsi="Times New Roman" w:eastAsia="宋体"/>
          <w:i/>
          <w:iCs/>
          <w:color w:val="FF0000"/>
          <w:kern w:val="0"/>
          <w:szCs w:val="21"/>
          <w:lang w:bidi="ar"/>
        </w:rPr>
        <w:t>Journal of International Economics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80</w:t>
      </w:r>
      <w:r>
        <w:rPr>
          <w:rFonts w:ascii="Times New Roman" w:hAnsi="Times New Roman" w:eastAsia="宋体"/>
          <w:color w:val="FF0000"/>
          <w:kern w:val="0"/>
          <w:szCs w:val="21"/>
          <w:lang w:bidi="ar"/>
        </w:rPr>
        <w:t>(1), 72–88. https://doi.org/10.1016/j.jinteco.2009.03.005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Rossi, B. (2013). Exchange Rate Predictability. </w:t>
      </w:r>
      <w:r>
        <w:rPr>
          <w:rFonts w:ascii="Times New Roman" w:hAnsi="Times New Roman" w:eastAsia="宋体"/>
          <w:i/>
          <w:iCs/>
          <w:color w:val="FF0000"/>
          <w:kern w:val="0"/>
          <w:szCs w:val="21"/>
          <w:lang w:bidi="ar"/>
        </w:rPr>
        <w:t>Journal of Economic Literature</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51</w:t>
      </w:r>
      <w:r>
        <w:rPr>
          <w:rFonts w:ascii="Times New Roman" w:hAnsi="Times New Roman" w:eastAsia="宋体"/>
          <w:color w:val="FF0000"/>
          <w:kern w:val="0"/>
          <w:szCs w:val="21"/>
          <w:lang w:bidi="ar"/>
        </w:rPr>
        <w:t>(4), 1063–1119. https://doi.org/10.1257/jel.51.4.1063</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Salisu, A. A., Adekunle, W., Alimi, W. A., &amp; Emmanuel, Z. (2019). Predicting exchange rate with commodity prices: New evidence from Westerlund and Narayan (2015) estimator with structural breaks and asymmetries. </w:t>
      </w:r>
      <w:r>
        <w:rPr>
          <w:rFonts w:ascii="Times New Roman" w:hAnsi="Times New Roman" w:eastAsia="宋体"/>
          <w:i/>
          <w:iCs/>
          <w:color w:val="FF0000"/>
          <w:kern w:val="0"/>
          <w:szCs w:val="21"/>
          <w:lang w:bidi="ar"/>
        </w:rPr>
        <w:t>Resources Policy</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62</w:t>
      </w:r>
      <w:r>
        <w:rPr>
          <w:rFonts w:ascii="Times New Roman" w:hAnsi="Times New Roman" w:eastAsia="宋体"/>
          <w:color w:val="FF0000"/>
          <w:kern w:val="0"/>
          <w:szCs w:val="21"/>
          <w:lang w:bidi="ar"/>
        </w:rPr>
        <w:t>, 33–56. https://doi.org/10.1016/j.resourpol.2019.03.006</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lang w:bidi="ar"/>
        </w:rPr>
      </w:pPr>
      <w:r>
        <w:rPr>
          <w:rFonts w:ascii="Times New Roman" w:hAnsi="Times New Roman" w:eastAsia="宋体" w:cs="Times New Roman"/>
          <w:color w:val="FF0000"/>
          <w:szCs w:val="21"/>
          <w:shd w:val="clear" w:color="auto" w:fill="FFFFFF"/>
          <w:lang w:bidi="ar"/>
        </w:rPr>
        <w:t xml:space="preserve">Sherstinsky, A. (2020). Fundamentals of recurrent neural network (RNN) and long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 xml:space="preserve">short-term memory (LSTM) network. </w:t>
      </w:r>
      <w:r>
        <w:rPr>
          <w:rFonts w:ascii="Times New Roman" w:hAnsi="Times New Roman" w:eastAsia="宋体" w:cs="Times New Roman"/>
          <w:i/>
          <w:iCs/>
          <w:color w:val="FF0000"/>
          <w:szCs w:val="21"/>
          <w:lang w:bidi="ar"/>
        </w:rPr>
        <w:t>Physica D: Nonlinear Phenomena</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404</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132306.</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rPr>
        <w:t>Siami-Namini, S., Tavakoli, N., &amp; Namin, A. S. (2019). The Performance of LSTM and BiLSTM in Forecasting Time Series. 2019 IEEE International Conference on Big Data (Big Data). https://doi.org/10.1109/bigdata47090.2019.9005997</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Singh, G., Pradeepta Kumar Sarangi, Rani, L., Sharma, K., Sinha, S., Ashok Kumar Sahoo, &amp; Bishnu Prasad Rath. (2022). CNN-RNN based Hybrid Machine Learning Model to Predict the Currency Exchange Rate: USD to INR. </w:t>
      </w:r>
      <w:r>
        <w:rPr>
          <w:rFonts w:ascii="Times New Roman" w:hAnsi="Times New Roman" w:eastAsia="宋体"/>
          <w:i/>
          <w:iCs/>
          <w:color w:val="FF0000"/>
          <w:kern w:val="0"/>
          <w:szCs w:val="21"/>
          <w:lang w:bidi="ar"/>
        </w:rPr>
        <w:t>2022 2nd International Conference on Advance Computing and Innovative Technologies in Engineering (ICACITE)</w:t>
      </w:r>
      <w:r>
        <w:rPr>
          <w:rFonts w:ascii="Times New Roman" w:hAnsi="Times New Roman" w:eastAsia="宋体"/>
          <w:color w:val="FF0000"/>
          <w:kern w:val="0"/>
          <w:szCs w:val="21"/>
          <w:lang w:bidi="ar"/>
        </w:rPr>
        <w:t>. https://doi.org/10.1109/icacite53722.2022.9823844</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Singhal, S., Choudhary, S., &amp; Biswal, P. C. (2019). Return and volatility linkages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 xml:space="preserve">among International crude oil price, gold price, exchange rate and stock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markets: Evidence from Mexico. Resources Policy, 60, 255-261.</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Smola, A. J., &amp; Schölkopf, B. (2004). A tutorial on support vector regression.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i/>
          <w:iCs/>
          <w:color w:val="FF0000"/>
          <w:szCs w:val="21"/>
          <w:lang w:bidi="ar"/>
        </w:rPr>
        <w:t>Statistics and computing</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14</w:t>
      </w:r>
      <w:r>
        <w:rPr>
          <w:rFonts w:ascii="Times New Roman" w:hAnsi="Times New Roman" w:eastAsia="宋体" w:cs="Times New Roman"/>
          <w:color w:val="FF0000"/>
          <w:szCs w:val="21"/>
          <w:shd w:val="clear" w:color="auto" w:fill="FFFFFF"/>
          <w:lang w:bidi="ar"/>
        </w:rPr>
        <w:t>(3), 199-222.</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Sujit, K. S., &amp; Kumar, B. R. (2011). Study on the dynamic relationship among gold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 xml:space="preserve">price, oil price, exchange rate and stock market returns. International journal </w:t>
      </w:r>
      <w:r>
        <w:rPr>
          <w:rFonts w:ascii="Times New Roman" w:hAnsi="Times New Roman" w:eastAsia="宋体" w:cs="Times New Roman"/>
          <w:color w:val="FF0000"/>
          <w:szCs w:val="21"/>
          <w:shd w:val="clear" w:color="auto" w:fill="FFFFFF"/>
          <w:lang w:bidi="ar"/>
        </w:rPr>
        <w:tab/>
      </w:r>
      <w:r>
        <w:rPr>
          <w:rFonts w:ascii="Times New Roman" w:hAnsi="Times New Roman" w:eastAsia="宋体" w:cs="Times New Roman"/>
          <w:color w:val="FF0000"/>
          <w:szCs w:val="21"/>
          <w:shd w:val="clear" w:color="auto" w:fill="FFFFFF"/>
          <w:lang w:bidi="ar"/>
        </w:rPr>
        <w:t>of applied business and economic research, 9(2), 145-165.</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Sun, H., &amp; Yu, B. (2019). Forecasting Financial Returns Volatility: A GARCH-SVR </w:t>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 xml:space="preserve">Model. </w:t>
      </w:r>
      <w:r>
        <w:rPr>
          <w:rFonts w:ascii="Times New Roman" w:hAnsi="Times New Roman" w:eastAsia="宋体"/>
          <w:i/>
          <w:iCs/>
          <w:color w:val="FF0000"/>
          <w:kern w:val="0"/>
          <w:szCs w:val="21"/>
          <w:lang w:bidi="ar"/>
        </w:rPr>
        <w:t>Computational Economics</w:t>
      </w:r>
      <w:r>
        <w:rPr>
          <w:rFonts w:ascii="Times New Roman" w:hAnsi="Times New Roman" w:eastAsia="宋体"/>
          <w:color w:val="FF0000"/>
          <w:kern w:val="0"/>
          <w:szCs w:val="21"/>
          <w:lang w:bidi="ar"/>
        </w:rPr>
        <w:t xml:space="preserve">. </w:t>
      </w:r>
      <w:r>
        <w:rPr>
          <w:rFonts w:ascii="Times New Roman" w:hAnsi="Times New Roman" w:eastAsia="宋体"/>
          <w:color w:val="FF0000"/>
          <w:kern w:val="0"/>
          <w:szCs w:val="21"/>
          <w:lang w:bidi="ar"/>
        </w:rPr>
        <w:tab/>
      </w:r>
      <w:r>
        <w:rPr>
          <w:rFonts w:ascii="Times New Roman" w:hAnsi="Times New Roman" w:eastAsia="宋体"/>
          <w:color w:val="FF0000"/>
          <w:kern w:val="0"/>
          <w:szCs w:val="21"/>
          <w:lang w:bidi="ar"/>
        </w:rPr>
        <w:t>https://doi.org/10.1007/s10614-019-09896-w</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Sun, S., Wang, S., &amp; Wei, Y. (2020). A new ensemble deep learning approach for exchange rates forecasting and trading. </w:t>
      </w:r>
      <w:r>
        <w:rPr>
          <w:rFonts w:ascii="Times New Roman" w:hAnsi="Times New Roman" w:eastAsia="宋体"/>
          <w:i/>
          <w:iCs/>
          <w:color w:val="FF0000"/>
          <w:kern w:val="0"/>
          <w:szCs w:val="21"/>
          <w:lang w:bidi="ar"/>
        </w:rPr>
        <w:t>Advanced Engineering Informatics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46</w:t>
      </w:r>
      <w:r>
        <w:rPr>
          <w:rFonts w:ascii="Times New Roman" w:hAnsi="Times New Roman" w:eastAsia="宋体"/>
          <w:color w:val="FF0000"/>
          <w:kern w:val="0"/>
          <w:szCs w:val="21"/>
          <w:lang w:bidi="ar"/>
        </w:rPr>
        <w:t>, 101160. https://doi.org/10.1016/j.aei.2020.101160</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Tibshirani, R. (1996). Regression shrinkage and selection via the lasso. </w:t>
      </w:r>
      <w:r>
        <w:rPr>
          <w:rFonts w:ascii="Times New Roman" w:hAnsi="Times New Roman" w:eastAsia="宋体" w:cs="Times New Roman"/>
          <w:i/>
          <w:iCs/>
          <w:color w:val="FF0000"/>
          <w:szCs w:val="21"/>
          <w:lang w:bidi="ar"/>
        </w:rPr>
        <w:t xml:space="preserve">Journal of the </w:t>
      </w:r>
      <w:r>
        <w:rPr>
          <w:rFonts w:ascii="Times New Roman" w:hAnsi="Times New Roman" w:eastAsia="宋体" w:cs="Times New Roman"/>
          <w:i/>
          <w:iCs/>
          <w:color w:val="FF0000"/>
          <w:szCs w:val="21"/>
          <w:lang w:bidi="ar"/>
        </w:rPr>
        <w:tab/>
      </w:r>
      <w:r>
        <w:rPr>
          <w:rFonts w:ascii="Times New Roman" w:hAnsi="Times New Roman" w:eastAsia="宋体" w:cs="Times New Roman"/>
          <w:i/>
          <w:iCs/>
          <w:color w:val="FF0000"/>
          <w:szCs w:val="21"/>
          <w:lang w:bidi="ar"/>
        </w:rPr>
        <w:t>Royal Statistical Society: Series B (Methodological)</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58</w:t>
      </w:r>
      <w:r>
        <w:rPr>
          <w:rFonts w:ascii="Times New Roman" w:hAnsi="Times New Roman" w:eastAsia="宋体" w:cs="Times New Roman"/>
          <w:color w:val="FF0000"/>
          <w:szCs w:val="21"/>
          <w:shd w:val="clear" w:color="auto" w:fill="FFFFFF"/>
          <w:lang w:bidi="ar"/>
        </w:rPr>
        <w:t>(1), 267-288.</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Tibshirani, R. (1997). The lasso method for variable selection in the Cox model. </w:t>
      </w:r>
      <w:r>
        <w:rPr>
          <w:rFonts w:ascii="Times New Roman" w:hAnsi="Times New Roman" w:eastAsia="宋体" w:cs="Times New Roman"/>
          <w:i/>
          <w:iCs/>
          <w:color w:val="FF0000"/>
          <w:szCs w:val="21"/>
          <w:lang w:bidi="ar"/>
        </w:rPr>
        <w:t>Statistics in medicine</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16</w:t>
      </w:r>
      <w:r>
        <w:rPr>
          <w:rFonts w:ascii="Times New Roman" w:hAnsi="Times New Roman" w:eastAsia="宋体" w:cs="Times New Roman"/>
          <w:color w:val="FF0000"/>
          <w:szCs w:val="21"/>
          <w:shd w:val="clear" w:color="auto" w:fill="FFFFFF"/>
          <w:lang w:bidi="ar"/>
        </w:rPr>
        <w:t>(4), 385-395.</w:t>
      </w:r>
    </w:p>
    <w:p>
      <w:pPr>
        <w:pStyle w:val="12"/>
        <w:widowControl/>
        <w:autoSpaceDE w:val="0"/>
        <w:spacing w:beforeAutospacing="0" w:afterAutospacing="0" w:line="360" w:lineRule="auto"/>
        <w:ind w:left="720" w:hanging="720"/>
        <w:jc w:val="left"/>
        <w:rPr>
          <w:rFonts w:ascii="Times New Roman" w:hAnsi="Times New Roman" w:eastAsia="宋体"/>
          <w:color w:val="FF0000"/>
          <w:kern w:val="0"/>
          <w:szCs w:val="21"/>
          <w:lang w:bidi="ar"/>
        </w:rPr>
      </w:pPr>
      <w:r>
        <w:rPr>
          <w:rFonts w:ascii="Times New Roman" w:hAnsi="Times New Roman" w:eastAsia="宋体"/>
          <w:color w:val="FF0000"/>
          <w:kern w:val="0"/>
          <w:szCs w:val="21"/>
          <w:lang w:bidi="ar"/>
        </w:rPr>
        <w:t xml:space="preserve">Wang, J., Wang, X., Li, J., &amp; Wang, H. (2021). A Prediction Model of CNN-TLSTM for USD/CNY Exchange Rate Prediction. </w:t>
      </w:r>
      <w:r>
        <w:rPr>
          <w:rFonts w:ascii="Times New Roman" w:hAnsi="Times New Roman" w:eastAsia="宋体"/>
          <w:i/>
          <w:iCs/>
          <w:color w:val="FF0000"/>
          <w:kern w:val="0"/>
          <w:szCs w:val="21"/>
          <w:lang w:bidi="ar"/>
        </w:rPr>
        <w:t>IEEE Access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9</w:t>
      </w:r>
      <w:r>
        <w:rPr>
          <w:rFonts w:ascii="Times New Roman" w:hAnsi="Times New Roman" w:eastAsia="宋体"/>
          <w:color w:val="FF0000"/>
          <w:kern w:val="0"/>
          <w:szCs w:val="21"/>
          <w:lang w:bidi="ar"/>
        </w:rPr>
        <w:t xml:space="preserve">, 73346–73354. </w:t>
      </w:r>
      <w:r>
        <w:fldChar w:fldCharType="begin"/>
      </w:r>
      <w:r>
        <w:instrText xml:space="preserve"> HYPERLINK "https://doi.org/10.1109/access.2021.3080459" </w:instrText>
      </w:r>
      <w:r>
        <w:fldChar w:fldCharType="separate"/>
      </w:r>
      <w:r>
        <w:rPr>
          <w:rStyle w:val="18"/>
          <w:rFonts w:ascii="Times New Roman" w:hAnsi="Times New Roman" w:eastAsia="宋体"/>
          <w:color w:val="FF0000"/>
          <w:kern w:val="0"/>
          <w:szCs w:val="21"/>
          <w:lang w:bidi="ar"/>
        </w:rPr>
        <w:t>https://doi.org/10.1109/access.2021.3080459</w:t>
      </w:r>
      <w:r>
        <w:rPr>
          <w:rStyle w:val="18"/>
          <w:rFonts w:ascii="Times New Roman" w:hAnsi="Times New Roman" w:eastAsia="宋体"/>
          <w:color w:val="FF0000"/>
          <w:kern w:val="0"/>
          <w:szCs w:val="21"/>
          <w:lang w:bidi="ar"/>
        </w:rPr>
        <w:fldChar w:fldCharType="end"/>
      </w:r>
    </w:p>
    <w:p>
      <w:pPr>
        <w:pStyle w:val="12"/>
        <w:widowControl/>
        <w:autoSpaceDE w:val="0"/>
        <w:spacing w:beforeAutospacing="0" w:afterAutospacing="0" w:line="480" w:lineRule="auto"/>
        <w:ind w:left="720" w:hanging="720"/>
        <w:jc w:val="left"/>
        <w:rPr>
          <w:rFonts w:ascii="Times New Roman" w:hAnsi="Times New Roman" w:eastAsia="宋体"/>
          <w:color w:val="FF0000"/>
          <w:kern w:val="0"/>
          <w:szCs w:val="21"/>
          <w:lang w:bidi="ar"/>
        </w:rPr>
      </w:pPr>
      <w:r>
        <w:rPr>
          <w:rFonts w:ascii="Times New Roman" w:hAnsi="Times New Roman"/>
          <w:color w:val="FF0000"/>
          <w:szCs w:val="21"/>
        </w:rPr>
        <w:t xml:space="preserve">Wang, J., Li, X., Li, J., Sun, Q., &amp; Wang, H. (2022). NGCU: A New RNN Model for Time-Series Data Prediction. </w:t>
      </w:r>
      <w:r>
        <w:rPr>
          <w:rFonts w:ascii="Times New Roman" w:hAnsi="Times New Roman"/>
          <w:i/>
          <w:iCs/>
          <w:color w:val="FF0000"/>
          <w:szCs w:val="21"/>
        </w:rPr>
        <w:t>Big Data Research</w:t>
      </w:r>
      <w:r>
        <w:rPr>
          <w:rFonts w:ascii="Times New Roman" w:hAnsi="Times New Roman"/>
          <w:color w:val="FF0000"/>
          <w:szCs w:val="21"/>
        </w:rPr>
        <w:t xml:space="preserve">, </w:t>
      </w:r>
      <w:r>
        <w:rPr>
          <w:rFonts w:ascii="Times New Roman" w:hAnsi="Times New Roman"/>
          <w:i/>
          <w:iCs/>
          <w:color w:val="FF0000"/>
          <w:szCs w:val="21"/>
        </w:rPr>
        <w:t>27</w:t>
      </w:r>
      <w:r>
        <w:rPr>
          <w:rFonts w:ascii="Times New Roman" w:hAnsi="Times New Roman"/>
          <w:color w:val="FF0000"/>
          <w:szCs w:val="21"/>
        </w:rPr>
        <w:t>, 100296. https://doi.org/10.1016/j.bdr.2021.100296</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Wei, Y., Sun, S., Lai, K. K., &amp; Abbas, G. (2018). A KELM-Based Ensemble Learning Approach for Exchange Rate Forecasting. Journal of Systems Science and Information, 6(4), 289-301.</w:t>
      </w:r>
    </w:p>
    <w:p>
      <w:pPr>
        <w:autoSpaceDE w:val="0"/>
        <w:spacing w:line="360" w:lineRule="auto"/>
        <w:ind w:left="420" w:hanging="420" w:hangingChars="200"/>
        <w:jc w:val="left"/>
        <w:rPr>
          <w:rFonts w:ascii="Times New Roman" w:hAnsi="Times New Roman" w:eastAsia="宋体" w:cs="Times New Roman"/>
          <w:color w:val="FF0000"/>
          <w:szCs w:val="21"/>
          <w:shd w:val="clear" w:color="auto" w:fill="FFFFFF"/>
        </w:rPr>
      </w:pPr>
      <w:r>
        <w:rPr>
          <w:rFonts w:ascii="Times New Roman" w:hAnsi="Times New Roman" w:eastAsia="宋体" w:cs="Times New Roman"/>
          <w:color w:val="FF0000"/>
          <w:szCs w:val="21"/>
          <w:shd w:val="clear" w:color="auto" w:fill="FFFFFF"/>
          <w:lang w:bidi="ar"/>
        </w:rPr>
        <w:t xml:space="preserve">Wu, C. H., Ho, J. M., &amp; Lee, D. T. (2004). Travel-time prediction with support vector regression. </w:t>
      </w:r>
      <w:r>
        <w:rPr>
          <w:rFonts w:ascii="Times New Roman" w:hAnsi="Times New Roman" w:eastAsia="宋体" w:cs="Times New Roman"/>
          <w:i/>
          <w:iCs/>
          <w:color w:val="FF0000"/>
          <w:szCs w:val="21"/>
          <w:lang w:bidi="ar"/>
        </w:rPr>
        <w:t>IEEE transactions on intelligent transportation systems</w:t>
      </w:r>
      <w:r>
        <w:rPr>
          <w:rFonts w:ascii="Times New Roman" w:hAnsi="Times New Roman" w:eastAsia="宋体" w:cs="Times New Roman"/>
          <w:color w:val="FF0000"/>
          <w:szCs w:val="21"/>
          <w:shd w:val="clear" w:color="auto" w:fill="FFFFFF"/>
          <w:lang w:bidi="ar"/>
        </w:rPr>
        <w:t xml:space="preserve">, </w:t>
      </w:r>
      <w:r>
        <w:rPr>
          <w:rFonts w:ascii="Times New Roman" w:hAnsi="Times New Roman" w:eastAsia="宋体" w:cs="Times New Roman"/>
          <w:i/>
          <w:iCs/>
          <w:color w:val="FF0000"/>
          <w:szCs w:val="21"/>
          <w:lang w:bidi="ar"/>
        </w:rPr>
        <w:t>5</w:t>
      </w:r>
      <w:r>
        <w:rPr>
          <w:rFonts w:ascii="Times New Roman" w:hAnsi="Times New Roman" w:eastAsia="宋体" w:cs="Times New Roman"/>
          <w:color w:val="FF0000"/>
          <w:szCs w:val="21"/>
          <w:shd w:val="clear" w:color="auto" w:fill="FFFFFF"/>
          <w:lang w:bidi="ar"/>
        </w:rPr>
        <w:t>(4), 276-281.</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Xiao, L. (2013). Realized volatility forecasting: empirical evidence from stock market indices and exchange rates. </w:t>
      </w:r>
      <w:r>
        <w:rPr>
          <w:rFonts w:ascii="Times New Roman" w:hAnsi="Times New Roman" w:eastAsia="宋体"/>
          <w:i/>
          <w:iCs/>
          <w:color w:val="FF0000"/>
          <w:kern w:val="0"/>
          <w:szCs w:val="21"/>
          <w:lang w:bidi="ar"/>
        </w:rPr>
        <w:t>Applied Financial Economics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23</w:t>
      </w:r>
      <w:r>
        <w:rPr>
          <w:rFonts w:ascii="Times New Roman" w:hAnsi="Times New Roman" w:eastAsia="宋体"/>
          <w:color w:val="FF0000"/>
          <w:kern w:val="0"/>
          <w:szCs w:val="21"/>
          <w:lang w:bidi="ar"/>
        </w:rPr>
        <w:t>(1), 57–69. https://doi.org/10.1080/09603107.2012.707769</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Xu, G., Meng, Y., Qiu, X., Yu, Z., &amp; Wu, X. (2019). Sentiment Analysis of Comment Texts Based on BiLSTM. </w:t>
      </w:r>
      <w:r>
        <w:rPr>
          <w:rFonts w:ascii="Times New Roman" w:hAnsi="Times New Roman" w:eastAsia="宋体"/>
          <w:i/>
          <w:iCs/>
          <w:color w:val="FF0000"/>
          <w:kern w:val="0"/>
          <w:szCs w:val="21"/>
          <w:lang w:bidi="ar"/>
        </w:rPr>
        <w:t>IEEE Access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7</w:t>
      </w:r>
      <w:r>
        <w:rPr>
          <w:rFonts w:ascii="Times New Roman" w:hAnsi="Times New Roman" w:eastAsia="宋体"/>
          <w:color w:val="FF0000"/>
          <w:kern w:val="0"/>
          <w:szCs w:val="21"/>
          <w:lang w:bidi="ar"/>
        </w:rPr>
        <w:t>, 51522–51532. https://doi.org/10.1109/access.2019.2909919</w:t>
      </w:r>
    </w:p>
    <w:p>
      <w:pPr>
        <w:pStyle w:val="12"/>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Xu, G., Meng, Y., Qiu, X., Yu, Z., &amp; Wu, X. (2019). Sentiment Analysis of Comment Texts Based on BiLSTM. IEEE</w:t>
      </w:r>
      <w:r>
        <w:rPr>
          <w:rFonts w:hint="eastAsia" w:ascii="Times New Roman" w:hAnsi="Times New Roman" w:eastAsia="宋体"/>
          <w:color w:val="FF0000"/>
          <w:kern w:val="0"/>
          <w:szCs w:val="21"/>
          <w:shd w:val="clear" w:color="auto" w:fill="FFFFFF"/>
          <w:lang w:bidi="ar"/>
        </w:rPr>
        <w:t xml:space="preserve"> </w:t>
      </w:r>
      <w:r>
        <w:rPr>
          <w:rFonts w:ascii="Times New Roman" w:hAnsi="Times New Roman" w:eastAsia="PMingLiU"/>
          <w:color w:val="FF0000"/>
          <w:kern w:val="0"/>
          <w:szCs w:val="21"/>
          <w:shd w:val="clear" w:color="auto" w:fill="FFFFFF"/>
          <w:lang w:bidi="ar"/>
        </w:rPr>
        <w:t>Access, 7, 51522–51532. https://doi.org/10.1109/access.2019.2909919</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Yang, M., &amp; Wang, J. (2022). Adaptability of Financial Time Series Prediction Based on BiLSTM. </w:t>
      </w:r>
      <w:r>
        <w:rPr>
          <w:rFonts w:ascii="Times New Roman" w:hAnsi="Times New Roman" w:eastAsia="宋体"/>
          <w:i/>
          <w:iCs/>
          <w:color w:val="FF0000"/>
          <w:kern w:val="0"/>
          <w:szCs w:val="21"/>
          <w:lang w:bidi="ar"/>
        </w:rPr>
        <w:t>Procedia Computer Science</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199</w:t>
      </w:r>
      <w:r>
        <w:rPr>
          <w:rFonts w:ascii="Times New Roman" w:hAnsi="Times New Roman" w:eastAsia="宋体"/>
          <w:color w:val="FF0000"/>
          <w:kern w:val="0"/>
          <w:szCs w:val="21"/>
          <w:lang w:bidi="ar"/>
        </w:rPr>
        <w:t>, 18–25. https://doi.org/10.1016/j.procs.2022.01.003</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Yasir, M., Durrani, M. Y., Afzal, S., Maqsood, M., Aadil, F., Mehmood, I., &amp; Rho, S. (2019). An Intelligent Event-Sentiment-Based Daily Foreign Exchange Rate Forecasting System. </w:t>
      </w:r>
      <w:r>
        <w:rPr>
          <w:rFonts w:ascii="Times New Roman" w:hAnsi="Times New Roman" w:eastAsia="宋体"/>
          <w:i/>
          <w:iCs/>
          <w:color w:val="FF0000"/>
          <w:kern w:val="0"/>
          <w:szCs w:val="21"/>
          <w:lang w:bidi="ar"/>
        </w:rPr>
        <w:t>Applied Sciences</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9</w:t>
      </w:r>
      <w:r>
        <w:rPr>
          <w:rFonts w:ascii="Times New Roman" w:hAnsi="Times New Roman" w:eastAsia="宋体"/>
          <w:color w:val="FF0000"/>
          <w:kern w:val="0"/>
          <w:szCs w:val="21"/>
          <w:lang w:bidi="ar"/>
        </w:rPr>
        <w:t>(15), 2980. https://doi.org/10.3390/app9152980</w:t>
      </w:r>
    </w:p>
    <w:p>
      <w:pPr>
        <w:pStyle w:val="12"/>
        <w:widowControl/>
        <w:autoSpaceDE w:val="0"/>
        <w:spacing w:beforeAutospacing="0" w:afterAutospacing="0" w:line="360" w:lineRule="auto"/>
        <w:ind w:left="720" w:hanging="720"/>
        <w:jc w:val="left"/>
        <w:rPr>
          <w:rFonts w:ascii="Calibri" w:hAnsi="Calibri" w:eastAsia="宋体"/>
          <w:color w:val="FF0000"/>
          <w:kern w:val="0"/>
          <w:szCs w:val="21"/>
        </w:rPr>
      </w:pPr>
      <w:r>
        <w:rPr>
          <w:rFonts w:ascii="Times New Roman" w:hAnsi="Times New Roman" w:eastAsia="宋体"/>
          <w:color w:val="FF0000"/>
          <w:kern w:val="0"/>
          <w:szCs w:val="21"/>
          <w:lang w:bidi="ar"/>
        </w:rPr>
        <w:t xml:space="preserve">Yuan, Y. (2013). Forecasting the movement direction of exchange rate with polynomial smooth support vector machine. </w:t>
      </w:r>
      <w:r>
        <w:rPr>
          <w:rFonts w:ascii="Times New Roman" w:hAnsi="Times New Roman" w:eastAsia="宋体"/>
          <w:i/>
          <w:iCs/>
          <w:color w:val="FF0000"/>
          <w:kern w:val="0"/>
          <w:szCs w:val="21"/>
          <w:lang w:bidi="ar"/>
        </w:rPr>
        <w:t>Mathematical and Computer Modelling</w:t>
      </w:r>
      <w:r>
        <w:rPr>
          <w:rFonts w:ascii="Times New Roman" w:hAnsi="Times New Roman" w:eastAsia="宋体"/>
          <w:color w:val="FF0000"/>
          <w:kern w:val="0"/>
          <w:szCs w:val="21"/>
          <w:lang w:bidi="ar"/>
        </w:rPr>
        <w:t xml:space="preserve">, </w:t>
      </w:r>
      <w:r>
        <w:rPr>
          <w:rFonts w:ascii="Times New Roman" w:hAnsi="Times New Roman" w:eastAsia="宋体"/>
          <w:i/>
          <w:iCs/>
          <w:color w:val="FF0000"/>
          <w:kern w:val="0"/>
          <w:szCs w:val="21"/>
          <w:lang w:bidi="ar"/>
        </w:rPr>
        <w:t>57</w:t>
      </w:r>
      <w:r>
        <w:rPr>
          <w:rFonts w:ascii="Times New Roman" w:hAnsi="Times New Roman" w:eastAsia="宋体"/>
          <w:color w:val="FF0000"/>
          <w:kern w:val="0"/>
          <w:szCs w:val="21"/>
          <w:lang w:bidi="ar"/>
        </w:rPr>
        <w:t>(3-4), 932–944. https://doi.org/10.1016/j.mcm.2012.10.004</w:t>
      </w:r>
    </w:p>
    <w:p>
      <w:pPr>
        <w:pStyle w:val="12"/>
        <w:widowControl/>
        <w:autoSpaceDE w:val="0"/>
        <w:spacing w:beforeAutospacing="0" w:afterAutospacing="0" w:line="360" w:lineRule="auto"/>
        <w:ind w:left="720" w:hanging="720"/>
        <w:jc w:val="left"/>
        <w:rPr>
          <w:rFonts w:ascii="Times New Roman" w:hAnsi="Times New Roman" w:eastAsia="宋体"/>
          <w:color w:val="FF0000"/>
          <w:kern w:val="0"/>
          <w:szCs w:val="21"/>
        </w:rPr>
      </w:pPr>
      <w:r>
        <w:rPr>
          <w:rFonts w:ascii="Times New Roman" w:hAnsi="Times New Roman" w:eastAsia="宋体"/>
          <w:color w:val="FF0000"/>
          <w:kern w:val="0"/>
          <w:szCs w:val="21"/>
          <w:lang w:bidi="ar"/>
        </w:rPr>
        <w:t xml:space="preserve">Zhang, Y., Wang, J., &amp; Zhang, X. (2018, June 1). </w:t>
      </w:r>
      <w:r>
        <w:rPr>
          <w:rFonts w:ascii="Times New Roman" w:hAnsi="Times New Roman" w:eastAsia="宋体"/>
          <w:i/>
          <w:iCs/>
          <w:color w:val="FF0000"/>
          <w:kern w:val="0"/>
          <w:szCs w:val="21"/>
          <w:lang w:bidi="ar"/>
        </w:rPr>
        <w:t>YNU-HPCC at SemEval-2018 Task 1: BiLSTM with Attention based Sentiment Analysis for Affect in Tweets</w:t>
      </w:r>
      <w:r>
        <w:rPr>
          <w:rFonts w:ascii="Times New Roman" w:hAnsi="Times New Roman" w:eastAsia="宋体"/>
          <w:color w:val="FF0000"/>
          <w:kern w:val="0"/>
          <w:szCs w:val="21"/>
          <w:lang w:bidi="ar"/>
        </w:rPr>
        <w:t xml:space="preserve">. Aclanthology.org. </w:t>
      </w:r>
      <w:r>
        <w:fldChar w:fldCharType="begin"/>
      </w:r>
      <w:r>
        <w:instrText xml:space="preserve"> HYPERLINK "https://doi.org/10.18653/v1/S18-1040" </w:instrText>
      </w:r>
      <w:r>
        <w:fldChar w:fldCharType="separate"/>
      </w:r>
      <w:r>
        <w:rPr>
          <w:rStyle w:val="18"/>
          <w:rFonts w:ascii="Times New Roman" w:hAnsi="Times New Roman" w:eastAsia="宋体"/>
          <w:color w:val="FF0000"/>
          <w:szCs w:val="21"/>
        </w:rPr>
        <w:t>https://doi.org/10.18653/v1/S18-1040</w:t>
      </w:r>
      <w:r>
        <w:rPr>
          <w:rStyle w:val="18"/>
          <w:rFonts w:ascii="Times New Roman" w:hAnsi="Times New Roman" w:eastAsia="宋体"/>
          <w:color w:val="FF0000"/>
          <w:szCs w:val="21"/>
        </w:rPr>
        <w:fldChar w:fldCharType="end"/>
      </w:r>
    </w:p>
    <w:p>
      <w:pPr>
        <w:pStyle w:val="12"/>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 xml:space="preserve">Zhang, Y., Wang, J., &amp; Zhang, X. (2018, June). Ynu-hpcc at semeval-2018 task 1: Bilstm with attention based sentiment analysis for affect in tweets. In </w:t>
      </w:r>
      <w:r>
        <w:rPr>
          <w:rFonts w:ascii="Times New Roman" w:hAnsi="Times New Roman" w:eastAsia="PMingLiU"/>
          <w:i/>
          <w:iCs/>
          <w:color w:val="FF0000"/>
          <w:kern w:val="0"/>
          <w:szCs w:val="21"/>
          <w:lang w:bidi="ar"/>
        </w:rPr>
        <w:t>Proceedings of The 12th International Workshop on Semantic Evaluation</w:t>
      </w:r>
      <w:r>
        <w:rPr>
          <w:rFonts w:ascii="Times New Roman" w:hAnsi="Times New Roman" w:eastAsia="PMingLiU"/>
          <w:color w:val="FF0000"/>
          <w:kern w:val="0"/>
          <w:szCs w:val="21"/>
          <w:shd w:val="clear" w:color="auto" w:fill="FFFFFF"/>
          <w:lang w:bidi="ar"/>
        </w:rPr>
        <w:t xml:space="preserve"> (pp. 273-278).</w:t>
      </w:r>
    </w:p>
    <w:p>
      <w:pPr>
        <w:pStyle w:val="12"/>
        <w:autoSpaceDE w:val="0"/>
        <w:snapToGrid w:val="0"/>
        <w:spacing w:beforeAutospacing="0" w:afterAutospacing="0" w:line="360" w:lineRule="auto"/>
        <w:ind w:left="420" w:hanging="420" w:hangingChars="200"/>
        <w:jc w:val="left"/>
        <w:rPr>
          <w:rFonts w:ascii="Times New Roman" w:hAnsi="Times New Roman" w:eastAsia="PMingLiU"/>
          <w:color w:val="FF0000"/>
          <w:kern w:val="0"/>
          <w:szCs w:val="21"/>
          <w:shd w:val="clear" w:color="auto" w:fill="FFFFFF"/>
        </w:rPr>
      </w:pPr>
      <w:r>
        <w:rPr>
          <w:rFonts w:ascii="Times New Roman" w:hAnsi="Times New Roman" w:eastAsia="PMingLiU"/>
          <w:color w:val="FF0000"/>
          <w:kern w:val="0"/>
          <w:szCs w:val="21"/>
          <w:shd w:val="clear" w:color="auto" w:fill="FFFFFF"/>
          <w:lang w:bidi="ar"/>
        </w:rPr>
        <w:t xml:space="preserve">Zhao, Z., Yun, S., Jia, L., Guo, J., Meng, Y., He, N., ... &amp; Yang, L. (2023). Hybrid VMD-CNN-GRU-based model for short-term forecasting of wind power considering spatio-temporal features. </w:t>
      </w:r>
      <w:r>
        <w:rPr>
          <w:rFonts w:ascii="Times New Roman" w:hAnsi="Times New Roman" w:eastAsia="PMingLiU"/>
          <w:i/>
          <w:iCs/>
          <w:color w:val="FF0000"/>
          <w:kern w:val="0"/>
          <w:szCs w:val="21"/>
          <w:shd w:val="clear" w:color="auto" w:fill="FFFFFF"/>
          <w:lang w:bidi="ar"/>
        </w:rPr>
        <w:t>Engineering Applications of Artificial Intelligence</w:t>
      </w:r>
      <w:r>
        <w:rPr>
          <w:rFonts w:ascii="Times New Roman" w:hAnsi="Times New Roman" w:eastAsia="PMingLiU"/>
          <w:color w:val="FF0000"/>
          <w:kern w:val="0"/>
          <w:szCs w:val="21"/>
          <w:shd w:val="clear" w:color="auto" w:fill="FFFFFF"/>
          <w:lang w:bidi="ar"/>
        </w:rPr>
        <w:t xml:space="preserve">, </w:t>
      </w:r>
      <w:r>
        <w:rPr>
          <w:rFonts w:ascii="Times New Roman" w:hAnsi="Times New Roman" w:eastAsia="PMingLiU"/>
          <w:i/>
          <w:iCs/>
          <w:color w:val="FF0000"/>
          <w:kern w:val="0"/>
          <w:szCs w:val="21"/>
          <w:shd w:val="clear" w:color="auto" w:fill="FFFFFF"/>
          <w:lang w:bidi="ar"/>
        </w:rPr>
        <w:t>121</w:t>
      </w:r>
      <w:r>
        <w:rPr>
          <w:rFonts w:ascii="Times New Roman" w:hAnsi="Times New Roman" w:eastAsia="PMingLiU"/>
          <w:color w:val="FF0000"/>
          <w:kern w:val="0"/>
          <w:szCs w:val="21"/>
          <w:shd w:val="clear" w:color="auto" w:fill="FFFFFF"/>
          <w:lang w:bidi="ar"/>
        </w:rPr>
        <w:t>, 182.</w:t>
      </w:r>
    </w:p>
    <w:p>
      <w:pPr>
        <w:pStyle w:val="12"/>
        <w:spacing w:before="312" w:beforeLines="100" w:beforeAutospacing="0" w:afterAutospacing="0" w:line="360" w:lineRule="auto"/>
        <w:outlineLvl w:val="0"/>
        <w:rPr>
          <w:rFonts w:ascii="Times New Roman" w:hAnsi="Times New Roman"/>
          <w:color w:val="FF0000"/>
          <w:sz w:val="28"/>
          <w:szCs w:val="28"/>
          <w:shd w:val="clear" w:color="auto" w:fill="FFFFFF"/>
        </w:rPr>
      </w:pPr>
      <w:bookmarkStart w:id="37" w:name="_Hlk143452170"/>
      <w:r>
        <w:rPr>
          <w:rFonts w:ascii="Times New Roman" w:hAnsi="Times New Roman"/>
          <w:color w:val="FF0000"/>
          <w:sz w:val="28"/>
          <w:szCs w:val="28"/>
          <w:shd w:val="clear" w:color="auto" w:fill="FFFFFF"/>
        </w:rPr>
        <w:t>Appendix</w:t>
      </w:r>
    </w:p>
    <w:p>
      <w:pPr>
        <w:pStyle w:val="21"/>
        <w:spacing w:before="156" w:beforeLines="50" w:line="360" w:lineRule="auto"/>
        <w:ind w:left="0" w:leftChars="0"/>
        <w:outlineLvl w:val="1"/>
        <w:rPr>
          <w:rFonts w:ascii="Times New Roman" w:hAnsi="Times New Roman" w:cs="Times New Roman"/>
          <w:b/>
          <w:bCs/>
          <w:i/>
          <w:iCs/>
          <w:color w:val="FF0000"/>
          <w:sz w:val="24"/>
        </w:rPr>
      </w:pPr>
      <w:r>
        <w:rPr>
          <w:rFonts w:ascii="Times New Roman" w:hAnsi="Times New Roman" w:eastAsia="宋体" w:cs="Times New Roman"/>
          <w:b/>
          <w:bCs/>
          <w:color w:val="FF0000"/>
          <w:sz w:val="28"/>
          <w:szCs w:val="28"/>
        </w:rPr>
        <w:t xml:space="preserve"> </w:t>
      </w:r>
      <w:r>
        <w:rPr>
          <w:rFonts w:ascii="Times New Roman" w:hAnsi="Times New Roman" w:cs="Times New Roman"/>
          <w:b/>
          <w:bCs/>
          <w:i/>
          <w:iCs/>
          <w:color w:val="FF0000"/>
          <w:sz w:val="24"/>
        </w:rPr>
        <w:t>Appendix</w:t>
      </w:r>
      <w:bookmarkEnd w:id="37"/>
      <w:r>
        <w:rPr>
          <w:rFonts w:ascii="Times New Roman" w:hAnsi="Times New Roman" w:cs="Times New Roman"/>
          <w:b/>
          <w:bCs/>
          <w:i/>
          <w:iCs/>
          <w:color w:val="FF0000"/>
          <w:sz w:val="24"/>
        </w:rPr>
        <w:t xml:space="preserve"> 1: Runtime</w:t>
      </w:r>
    </w:p>
    <w:tbl>
      <w:tblPr>
        <w:tblStyle w:val="15"/>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3"/>
        <w:gridCol w:w="415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bottom w:val="single" w:color="auto" w:sz="4" w:space="0"/>
            </w:tcBorders>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Model</w:t>
            </w:r>
          </w:p>
        </w:tc>
        <w:tc>
          <w:tcPr>
            <w:tcW w:w="4153" w:type="dxa"/>
            <w:tcBorders>
              <w:bottom w:val="single" w:color="auto" w:sz="4" w:space="0"/>
            </w:tcBorders>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Runtime (Second)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SVR</w:t>
            </w:r>
          </w:p>
        </w:tc>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0.0026s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0.0040s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4.9227s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14.0618s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0.01135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LASSO-SVR</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7.9575s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7.9578s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10.4951s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19.5828s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7.9655s</w:t>
            </w:r>
          </w:p>
        </w:tc>
      </w:tr>
    </w:tbl>
    <w:p>
      <w:pPr>
        <w:pStyle w:val="21"/>
        <w:spacing w:before="156" w:beforeLines="50" w:line="360" w:lineRule="auto"/>
        <w:ind w:left="0" w:leftChars="0"/>
        <w:outlineLvl w:val="1"/>
        <w:rPr>
          <w:rFonts w:ascii="Times New Roman" w:hAnsi="Times New Roman" w:cs="Times New Roman"/>
          <w:b/>
          <w:bCs/>
          <w:i/>
          <w:iCs/>
          <w:color w:val="FF0000"/>
          <w:sz w:val="24"/>
        </w:rPr>
      </w:pPr>
      <w:r>
        <w:rPr>
          <w:rFonts w:ascii="Times New Roman" w:hAnsi="Times New Roman" w:cs="Times New Roman"/>
          <w:b/>
          <w:bCs/>
          <w:i/>
          <w:iCs/>
          <w:color w:val="FF0000"/>
          <w:sz w:val="24"/>
        </w:rPr>
        <w:t>Appendix 2: Memory</w:t>
      </w:r>
    </w:p>
    <w:tbl>
      <w:tblPr>
        <w:tblStyle w:val="15"/>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3"/>
        <w:gridCol w:w="415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Model</w:t>
            </w:r>
          </w:p>
        </w:tc>
        <w:tc>
          <w:tcPr>
            <w:tcW w:w="4153" w:type="dxa"/>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Memory (Megabyte)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SVR</w:t>
            </w:r>
          </w:p>
        </w:tc>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0.0117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0.015625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2.7695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6.0195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4.7929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LASSO-SVR</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448.9921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449.0781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453.1211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484.3476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453.0586</w:t>
            </w:r>
          </w:p>
        </w:tc>
      </w:tr>
    </w:tbl>
    <w:p>
      <w:pPr>
        <w:pStyle w:val="21"/>
        <w:spacing w:before="156" w:beforeLines="50" w:line="360" w:lineRule="auto"/>
        <w:ind w:left="0" w:leftChars="0"/>
        <w:outlineLvl w:val="1"/>
        <w:rPr>
          <w:rFonts w:ascii="Times New Roman" w:hAnsi="Times New Roman" w:eastAsia="PMingLiU" w:cs="Times New Roman"/>
          <w:color w:val="FF0000"/>
          <w:kern w:val="0"/>
          <w:shd w:val="clear" w:color="auto" w:fill="FFFFFF"/>
        </w:rPr>
      </w:pPr>
      <w:r>
        <w:rPr>
          <w:rFonts w:ascii="Times New Roman" w:hAnsi="Times New Roman" w:cs="Times New Roman"/>
          <w:b/>
          <w:bCs/>
          <w:i/>
          <w:iCs/>
          <w:color w:val="FF0000"/>
          <w:sz w:val="24"/>
        </w:rPr>
        <w:t>Appendix 3: High Resolution Prediction Picture</w:t>
      </w:r>
    </w:p>
    <w:p>
      <w:pPr>
        <w:spacing w:line="360" w:lineRule="auto"/>
        <w:ind w:left="420" w:hanging="420" w:hangingChars="200"/>
        <w:rPr>
          <w:rFonts w:ascii="Times New Roman" w:hAnsi="Times New Roman" w:eastAsia="PMingLiU" w:cs="Times New Roman"/>
          <w:color w:val="FF0000"/>
          <w:kern w:val="0"/>
          <w:shd w:val="clear" w:color="auto" w:fill="FFFFFF"/>
        </w:rPr>
      </w:pPr>
      <w:r>
        <w:rPr>
          <w:rFonts w:ascii="Times New Roman" w:hAnsi="Times New Roman" w:eastAsia="PMingLiU" w:cs="Times New Roman"/>
          <w:color w:val="FF0000"/>
          <w:kern w:val="0"/>
          <w:shd w:val="clear" w:color="auto" w:fill="FFFFFF"/>
        </w:rPr>
        <w:drawing>
          <wp:inline distT="0" distB="0" distL="114300" distR="114300">
            <wp:extent cx="4902200" cy="3530600"/>
            <wp:effectExtent l="0" t="0" r="1270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2"/>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5"/>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6"/>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7"/>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8"/>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9"/>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p>
    <w:sectPr>
      <w:footerReference r:id="rId4" w:type="default"/>
      <w:footnotePr>
        <w:numFmt w:val="chicago"/>
      </w:footnotePr>
      <w:pgSz w:w="11906" w:h="16838"/>
      <w:pgMar w:top="1440" w:right="1800" w:bottom="1440" w:left="1800" w:header="851" w:footer="992" w:gutter="0"/>
      <w:lnNumType w:countBy="1" w:restart="continuou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Times New Roman (本文 CS 字型)">
    <w:altName w:val="Times New Roman"/>
    <w:panose1 w:val="00000000000000000000"/>
    <w:charset w:val="88"/>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MingLiU">
    <w:altName w:val="PMingLiU-ExtB"/>
    <w:panose1 w:val="02010609000101010101"/>
    <w:charset w:val="88"/>
    <w:family w:val="modern"/>
    <w:pitch w:val="default"/>
    <w:sig w:usb0="00000000" w:usb1="00000000" w:usb2="00000016" w:usb3="00000000" w:csb0="00100001" w:csb1="00000000"/>
  </w:font>
  <w:font w:name="PMingLiU">
    <w:altName w:val="Microsoft JhengHei UI"/>
    <w:panose1 w:val="02010601000101010101"/>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8251137"/>
    </w:sdtPr>
    <w:sdtEndPr>
      <w:rPr>
        <w:rFonts w:ascii="Times New Roman" w:hAnsi="Times New Roman" w:cs="Times New Roman"/>
        <w:sz w:val="21"/>
        <w:szCs w:val="21"/>
      </w:rPr>
    </w:sdtEndPr>
    <w:sdtContent>
      <w:p>
        <w:pPr>
          <w:pStyle w:val="9"/>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contextualSpacing/>
        <w:jc w:val="left"/>
        <w:rPr>
          <w:rFonts w:ascii="Times New Roman" w:hAnsi="Times New Roman"/>
          <w:sz w:val="16"/>
          <w:szCs w:val="16"/>
        </w:rPr>
      </w:pPr>
      <w:r>
        <w:rPr>
          <w:rStyle w:val="20"/>
        </w:rPr>
        <w:footnoteRef/>
      </w:r>
      <w:r>
        <w:t xml:space="preserve"> </w:t>
      </w:r>
      <w:r>
        <w:rPr>
          <w:rFonts w:ascii="Times New Roman" w:hAnsi="Times New Roman"/>
          <w:sz w:val="16"/>
          <w:szCs w:val="16"/>
        </w:rPr>
        <w:t xml:space="preserve">Corresponding author’s email: weiyunjie@amss.ac.cn (Yunjie Wei), </w:t>
      </w:r>
    </w:p>
    <w:p>
      <w:pPr>
        <w:contextualSpacing/>
        <w:jc w:val="left"/>
        <w:rPr>
          <w:rFonts w:ascii="Times New Roman" w:hAnsi="Times New Roman"/>
          <w:sz w:val="16"/>
          <w:szCs w:val="16"/>
        </w:rPr>
      </w:pPr>
      <w:r>
        <w:rPr>
          <w:rFonts w:ascii="Times New Roman" w:hAnsi="Times New Roman"/>
          <w:sz w:val="16"/>
          <w:szCs w:val="16"/>
        </w:rPr>
        <w:t>Postal Address: Academy of Mathematics and Systems Science, Chinese Academy of Sciences, Zhongguancun East Road, # 55, Haidian District, Beijing, PR China, Tel: +86 10 82541655</w:t>
      </w:r>
    </w:p>
    <w:p>
      <w:pPr>
        <w:pStyle w:val="11"/>
      </w:pPr>
      <w:r>
        <w:rPr>
          <w:rFonts w:ascii="Times New Roman" w:hAnsi="Times New Roman"/>
          <w:sz w:val="16"/>
          <w:szCs w:val="16"/>
        </w:rPr>
        <w:t>Acknowledgements: This research work was partly supported by the National Natural Science Foundation of China under Grants No. 72171223, No. 71801213 and No. 71988101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550354"/>
    <w:multiLevelType w:val="singleLevel"/>
    <w:tmpl w:val="2955035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footnotePr>
    <w:numFmt w:val="chicago"/>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YTFkMWQyNDg1NGI5NTI0ZWU5YWIxOWU0ZjEyYTcifQ=="/>
  </w:docVars>
  <w:rsids>
    <w:rsidRoot w:val="4C032F81"/>
    <w:rsid w:val="00004081"/>
    <w:rsid w:val="0000692B"/>
    <w:rsid w:val="00012457"/>
    <w:rsid w:val="00016FB3"/>
    <w:rsid w:val="000257F6"/>
    <w:rsid w:val="000475FD"/>
    <w:rsid w:val="00060EE8"/>
    <w:rsid w:val="00067AFA"/>
    <w:rsid w:val="0009142B"/>
    <w:rsid w:val="00092551"/>
    <w:rsid w:val="000A3F26"/>
    <w:rsid w:val="000B508D"/>
    <w:rsid w:val="000C73F0"/>
    <w:rsid w:val="000D2DB8"/>
    <w:rsid w:val="000F38A9"/>
    <w:rsid w:val="000F7799"/>
    <w:rsid w:val="00155EB4"/>
    <w:rsid w:val="001634EC"/>
    <w:rsid w:val="0016406D"/>
    <w:rsid w:val="0016703A"/>
    <w:rsid w:val="00177A25"/>
    <w:rsid w:val="00196573"/>
    <w:rsid w:val="00196633"/>
    <w:rsid w:val="001A2C6F"/>
    <w:rsid w:val="001B07E0"/>
    <w:rsid w:val="001E4490"/>
    <w:rsid w:val="002250FE"/>
    <w:rsid w:val="002271F9"/>
    <w:rsid w:val="00231E2C"/>
    <w:rsid w:val="00234484"/>
    <w:rsid w:val="00256097"/>
    <w:rsid w:val="00277011"/>
    <w:rsid w:val="002971B2"/>
    <w:rsid w:val="002D2FDB"/>
    <w:rsid w:val="002E645F"/>
    <w:rsid w:val="003211EF"/>
    <w:rsid w:val="00341903"/>
    <w:rsid w:val="003448B8"/>
    <w:rsid w:val="003658D1"/>
    <w:rsid w:val="00373CAB"/>
    <w:rsid w:val="003839E5"/>
    <w:rsid w:val="00390347"/>
    <w:rsid w:val="003A5036"/>
    <w:rsid w:val="003C4F99"/>
    <w:rsid w:val="003E3FB5"/>
    <w:rsid w:val="003F742F"/>
    <w:rsid w:val="0041076F"/>
    <w:rsid w:val="00411AB2"/>
    <w:rsid w:val="00423EB3"/>
    <w:rsid w:val="00433C17"/>
    <w:rsid w:val="004664B0"/>
    <w:rsid w:val="00473E59"/>
    <w:rsid w:val="004E7EF0"/>
    <w:rsid w:val="004F3BC5"/>
    <w:rsid w:val="00513708"/>
    <w:rsid w:val="005311ED"/>
    <w:rsid w:val="00535AA5"/>
    <w:rsid w:val="00545EA6"/>
    <w:rsid w:val="005625C9"/>
    <w:rsid w:val="005B39BC"/>
    <w:rsid w:val="005D0BF5"/>
    <w:rsid w:val="005D4CBA"/>
    <w:rsid w:val="005F4805"/>
    <w:rsid w:val="005F5404"/>
    <w:rsid w:val="00601F5F"/>
    <w:rsid w:val="00616232"/>
    <w:rsid w:val="00635643"/>
    <w:rsid w:val="00647A84"/>
    <w:rsid w:val="00650DA1"/>
    <w:rsid w:val="00675F80"/>
    <w:rsid w:val="00677365"/>
    <w:rsid w:val="006806B3"/>
    <w:rsid w:val="006835C5"/>
    <w:rsid w:val="006B32BC"/>
    <w:rsid w:val="006B785D"/>
    <w:rsid w:val="006D038B"/>
    <w:rsid w:val="006D475E"/>
    <w:rsid w:val="006E189A"/>
    <w:rsid w:val="006E219E"/>
    <w:rsid w:val="006F09ED"/>
    <w:rsid w:val="00703084"/>
    <w:rsid w:val="007050CC"/>
    <w:rsid w:val="007216E3"/>
    <w:rsid w:val="00721866"/>
    <w:rsid w:val="007370DD"/>
    <w:rsid w:val="007518ED"/>
    <w:rsid w:val="00764BE3"/>
    <w:rsid w:val="00776A5C"/>
    <w:rsid w:val="00785328"/>
    <w:rsid w:val="00791671"/>
    <w:rsid w:val="007A5D93"/>
    <w:rsid w:val="007B0C19"/>
    <w:rsid w:val="007B4117"/>
    <w:rsid w:val="007C33DC"/>
    <w:rsid w:val="007D7427"/>
    <w:rsid w:val="007E24ED"/>
    <w:rsid w:val="0081260F"/>
    <w:rsid w:val="00831453"/>
    <w:rsid w:val="00846650"/>
    <w:rsid w:val="00862061"/>
    <w:rsid w:val="00885E36"/>
    <w:rsid w:val="008A53EA"/>
    <w:rsid w:val="008B677A"/>
    <w:rsid w:val="0090235D"/>
    <w:rsid w:val="00911D94"/>
    <w:rsid w:val="00912F3A"/>
    <w:rsid w:val="00923736"/>
    <w:rsid w:val="009466E7"/>
    <w:rsid w:val="00951468"/>
    <w:rsid w:val="00952953"/>
    <w:rsid w:val="009604DC"/>
    <w:rsid w:val="00967D0D"/>
    <w:rsid w:val="00976EE3"/>
    <w:rsid w:val="00995CDC"/>
    <w:rsid w:val="009A3817"/>
    <w:rsid w:val="009B1C76"/>
    <w:rsid w:val="009E0EAB"/>
    <w:rsid w:val="009E6FFA"/>
    <w:rsid w:val="009F59D4"/>
    <w:rsid w:val="00A03986"/>
    <w:rsid w:val="00A127EA"/>
    <w:rsid w:val="00A16A99"/>
    <w:rsid w:val="00A2278D"/>
    <w:rsid w:val="00A23188"/>
    <w:rsid w:val="00A25ECB"/>
    <w:rsid w:val="00AA13E8"/>
    <w:rsid w:val="00B00C7A"/>
    <w:rsid w:val="00B1562C"/>
    <w:rsid w:val="00B15648"/>
    <w:rsid w:val="00B33D81"/>
    <w:rsid w:val="00B6720D"/>
    <w:rsid w:val="00B75F2C"/>
    <w:rsid w:val="00B922B1"/>
    <w:rsid w:val="00BA55E7"/>
    <w:rsid w:val="00BD10DA"/>
    <w:rsid w:val="00BD3F97"/>
    <w:rsid w:val="00BE4195"/>
    <w:rsid w:val="00BF361E"/>
    <w:rsid w:val="00C021CE"/>
    <w:rsid w:val="00C04AE1"/>
    <w:rsid w:val="00C07E28"/>
    <w:rsid w:val="00C337E8"/>
    <w:rsid w:val="00C3539A"/>
    <w:rsid w:val="00C361D2"/>
    <w:rsid w:val="00C42C33"/>
    <w:rsid w:val="00C640EF"/>
    <w:rsid w:val="00C866B8"/>
    <w:rsid w:val="00CA53B9"/>
    <w:rsid w:val="00CC1C2B"/>
    <w:rsid w:val="00CC5344"/>
    <w:rsid w:val="00CE4048"/>
    <w:rsid w:val="00D11E81"/>
    <w:rsid w:val="00D12C6A"/>
    <w:rsid w:val="00D17053"/>
    <w:rsid w:val="00D27498"/>
    <w:rsid w:val="00D33021"/>
    <w:rsid w:val="00D36081"/>
    <w:rsid w:val="00D434A2"/>
    <w:rsid w:val="00D474DF"/>
    <w:rsid w:val="00D52AA1"/>
    <w:rsid w:val="00D5540F"/>
    <w:rsid w:val="00D630A9"/>
    <w:rsid w:val="00D766F6"/>
    <w:rsid w:val="00D827BB"/>
    <w:rsid w:val="00D90845"/>
    <w:rsid w:val="00DB2CD1"/>
    <w:rsid w:val="00DD25DB"/>
    <w:rsid w:val="00DD62CA"/>
    <w:rsid w:val="00DD6C1B"/>
    <w:rsid w:val="00DE2A96"/>
    <w:rsid w:val="00DE504C"/>
    <w:rsid w:val="00DE57E1"/>
    <w:rsid w:val="00DE7F09"/>
    <w:rsid w:val="00E04D4C"/>
    <w:rsid w:val="00E20BD5"/>
    <w:rsid w:val="00E21ED9"/>
    <w:rsid w:val="00E27237"/>
    <w:rsid w:val="00E36F8D"/>
    <w:rsid w:val="00E4586C"/>
    <w:rsid w:val="00E4597E"/>
    <w:rsid w:val="00E670BC"/>
    <w:rsid w:val="00E723DA"/>
    <w:rsid w:val="00E94A5C"/>
    <w:rsid w:val="00EB30E7"/>
    <w:rsid w:val="00EF2D18"/>
    <w:rsid w:val="00F13265"/>
    <w:rsid w:val="00F1705D"/>
    <w:rsid w:val="00F25CB2"/>
    <w:rsid w:val="00F52869"/>
    <w:rsid w:val="00F6180C"/>
    <w:rsid w:val="00F90754"/>
    <w:rsid w:val="00FA28C3"/>
    <w:rsid w:val="00FC55C1"/>
    <w:rsid w:val="00FE1AC1"/>
    <w:rsid w:val="00FE721D"/>
    <w:rsid w:val="05E61928"/>
    <w:rsid w:val="11E3705D"/>
    <w:rsid w:val="13625B66"/>
    <w:rsid w:val="169A4F8F"/>
    <w:rsid w:val="1A3B3953"/>
    <w:rsid w:val="1BFFCC7F"/>
    <w:rsid w:val="1E241B26"/>
    <w:rsid w:val="1E761045"/>
    <w:rsid w:val="1E8C282B"/>
    <w:rsid w:val="1FDF151B"/>
    <w:rsid w:val="200666B0"/>
    <w:rsid w:val="23FF0A58"/>
    <w:rsid w:val="2FD5C2AE"/>
    <w:rsid w:val="2FD600FB"/>
    <w:rsid w:val="313F9D89"/>
    <w:rsid w:val="32E0684A"/>
    <w:rsid w:val="333F17C2"/>
    <w:rsid w:val="33F407FF"/>
    <w:rsid w:val="36DFB535"/>
    <w:rsid w:val="379540A7"/>
    <w:rsid w:val="37CC06CE"/>
    <w:rsid w:val="37DF3C8B"/>
    <w:rsid w:val="39DC420F"/>
    <w:rsid w:val="39FFB787"/>
    <w:rsid w:val="3B3C505C"/>
    <w:rsid w:val="3B798571"/>
    <w:rsid w:val="3D463317"/>
    <w:rsid w:val="3D7F19C0"/>
    <w:rsid w:val="3D9D4B32"/>
    <w:rsid w:val="3FDFE5B2"/>
    <w:rsid w:val="3FE7758E"/>
    <w:rsid w:val="42916079"/>
    <w:rsid w:val="42D55C9F"/>
    <w:rsid w:val="47BE3F1E"/>
    <w:rsid w:val="48AC09DF"/>
    <w:rsid w:val="490D6193"/>
    <w:rsid w:val="495F2766"/>
    <w:rsid w:val="4C032F81"/>
    <w:rsid w:val="4DADF613"/>
    <w:rsid w:val="4FEF60A8"/>
    <w:rsid w:val="4FFEFAE4"/>
    <w:rsid w:val="505D7080"/>
    <w:rsid w:val="55D0153B"/>
    <w:rsid w:val="56AFAE39"/>
    <w:rsid w:val="57B7D6B4"/>
    <w:rsid w:val="58A41254"/>
    <w:rsid w:val="592DC02E"/>
    <w:rsid w:val="5BBE0AFD"/>
    <w:rsid w:val="5D6E95FF"/>
    <w:rsid w:val="5EF7C9B0"/>
    <w:rsid w:val="5F1F0576"/>
    <w:rsid w:val="5FB16998"/>
    <w:rsid w:val="5FDD485A"/>
    <w:rsid w:val="5FFFF7E8"/>
    <w:rsid w:val="60EC092C"/>
    <w:rsid w:val="61016585"/>
    <w:rsid w:val="61F05543"/>
    <w:rsid w:val="64155AA4"/>
    <w:rsid w:val="64C14913"/>
    <w:rsid w:val="66668CE3"/>
    <w:rsid w:val="66A80E51"/>
    <w:rsid w:val="671F0B87"/>
    <w:rsid w:val="68AC49F3"/>
    <w:rsid w:val="692F676C"/>
    <w:rsid w:val="69F84D48"/>
    <w:rsid w:val="6BFFDF47"/>
    <w:rsid w:val="6D45389E"/>
    <w:rsid w:val="6DDF123D"/>
    <w:rsid w:val="6EF6C67B"/>
    <w:rsid w:val="6FFDF5BF"/>
    <w:rsid w:val="704C6791"/>
    <w:rsid w:val="70D2369A"/>
    <w:rsid w:val="70DF7B65"/>
    <w:rsid w:val="70DF8B50"/>
    <w:rsid w:val="71EE76CE"/>
    <w:rsid w:val="729A1F96"/>
    <w:rsid w:val="73E55492"/>
    <w:rsid w:val="75D419AB"/>
    <w:rsid w:val="75E59FF3"/>
    <w:rsid w:val="765E5FCB"/>
    <w:rsid w:val="77594E41"/>
    <w:rsid w:val="77D77224"/>
    <w:rsid w:val="77F77962"/>
    <w:rsid w:val="794C6296"/>
    <w:rsid w:val="79F89FBD"/>
    <w:rsid w:val="7B3E2DBF"/>
    <w:rsid w:val="7B9822DA"/>
    <w:rsid w:val="7BF10231"/>
    <w:rsid w:val="7DBB097C"/>
    <w:rsid w:val="7DDF0098"/>
    <w:rsid w:val="7DDF0A25"/>
    <w:rsid w:val="7EEF69EF"/>
    <w:rsid w:val="7EFB5C31"/>
    <w:rsid w:val="7F756E3A"/>
    <w:rsid w:val="7FEF2999"/>
    <w:rsid w:val="7FFDC66F"/>
    <w:rsid w:val="9333E4CA"/>
    <w:rsid w:val="94CF6F4C"/>
    <w:rsid w:val="AE7FBBA5"/>
    <w:rsid w:val="B37EB3AF"/>
    <w:rsid w:val="B3F773A8"/>
    <w:rsid w:val="B7C906CA"/>
    <w:rsid w:val="B97B01B9"/>
    <w:rsid w:val="BED59E72"/>
    <w:rsid w:val="BF9BF38D"/>
    <w:rsid w:val="BFC7F0E8"/>
    <w:rsid w:val="BFCB243A"/>
    <w:rsid w:val="BFFF9827"/>
    <w:rsid w:val="CFEA5150"/>
    <w:rsid w:val="CFFFBE3E"/>
    <w:rsid w:val="D9D692EA"/>
    <w:rsid w:val="D9FFC5D4"/>
    <w:rsid w:val="DBBDFB46"/>
    <w:rsid w:val="DCA79715"/>
    <w:rsid w:val="DDBE09A8"/>
    <w:rsid w:val="DDF75847"/>
    <w:rsid w:val="DEFBA4EA"/>
    <w:rsid w:val="DFAF0B2E"/>
    <w:rsid w:val="DFDFE13E"/>
    <w:rsid w:val="DFFF06D7"/>
    <w:rsid w:val="DFFF5D0C"/>
    <w:rsid w:val="E1DC87C6"/>
    <w:rsid w:val="E51FEC37"/>
    <w:rsid w:val="E76794B0"/>
    <w:rsid w:val="E96E5A86"/>
    <w:rsid w:val="EDFF154D"/>
    <w:rsid w:val="EFF753AC"/>
    <w:rsid w:val="F32F3623"/>
    <w:rsid w:val="F5933835"/>
    <w:rsid w:val="F6F9A3F3"/>
    <w:rsid w:val="F72AB291"/>
    <w:rsid w:val="F73BFBF7"/>
    <w:rsid w:val="F7B664B4"/>
    <w:rsid w:val="F9AF52E5"/>
    <w:rsid w:val="FB9D7444"/>
    <w:rsid w:val="FBB1C041"/>
    <w:rsid w:val="FBF89251"/>
    <w:rsid w:val="FBF8DFF9"/>
    <w:rsid w:val="FBFF9D2B"/>
    <w:rsid w:val="FDFAF7C8"/>
    <w:rsid w:val="FEA5DD7F"/>
    <w:rsid w:val="FEFEB9BE"/>
    <w:rsid w:val="FFBF6CEF"/>
    <w:rsid w:val="FFBFD982"/>
    <w:rsid w:val="FFFE56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annotation text"/>
    <w:basedOn w:val="1"/>
    <w:link w:val="23"/>
    <w:qFormat/>
    <w:uiPriority w:val="0"/>
    <w:pPr>
      <w:jc w:val="left"/>
    </w:pPr>
  </w:style>
  <w:style w:type="paragraph" w:styleId="7">
    <w:name w:val="endnote text"/>
    <w:basedOn w:val="1"/>
    <w:unhideWhenUsed/>
    <w:qFormat/>
    <w:uiPriority w:val="99"/>
    <w:pPr>
      <w:snapToGrid w:val="0"/>
    </w:pPr>
  </w:style>
  <w:style w:type="paragraph" w:styleId="8">
    <w:name w:val="Balloon Text"/>
    <w:basedOn w:val="1"/>
    <w:link w:val="27"/>
    <w:qFormat/>
    <w:uiPriority w:val="0"/>
    <w:rPr>
      <w:sz w:val="18"/>
      <w:szCs w:val="18"/>
    </w:rPr>
  </w:style>
  <w:style w:type="paragraph" w:styleId="9">
    <w:name w:val="footer"/>
    <w:basedOn w:val="1"/>
    <w:qFormat/>
    <w:uiPriority w:val="99"/>
    <w:pPr>
      <w:tabs>
        <w:tab w:val="center" w:pos="4153"/>
        <w:tab w:val="right" w:pos="8306"/>
      </w:tabs>
      <w:snapToGrid w:val="0"/>
      <w:jc w:val="left"/>
    </w:pPr>
    <w:rPr>
      <w:sz w:val="18"/>
      <w:szCs w:val="18"/>
    </w:rPr>
  </w:style>
  <w:style w:type="paragraph" w:styleId="10">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11">
    <w:name w:val="footnote text"/>
    <w:basedOn w:val="1"/>
    <w:link w:val="26"/>
    <w:qFormat/>
    <w:uiPriority w:val="0"/>
    <w:pPr>
      <w:snapToGrid w:val="0"/>
      <w:jc w:val="left"/>
    </w:pPr>
    <w:rPr>
      <w:sz w:val="18"/>
      <w:szCs w:val="18"/>
    </w:rPr>
  </w:style>
  <w:style w:type="paragraph" w:styleId="12">
    <w:name w:val="Normal (Web)"/>
    <w:basedOn w:val="1"/>
    <w:qFormat/>
    <w:uiPriority w:val="0"/>
    <w:pPr>
      <w:spacing w:beforeAutospacing="1" w:afterAutospacing="1"/>
    </w:pPr>
    <w:rPr>
      <w:rFonts w:cs="Times New Roman"/>
    </w:rPr>
  </w:style>
  <w:style w:type="paragraph" w:styleId="13">
    <w:name w:val="annotation subject"/>
    <w:basedOn w:val="6"/>
    <w:next w:val="6"/>
    <w:link w:val="24"/>
    <w:qFormat/>
    <w:uiPriority w:val="0"/>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line number"/>
    <w:basedOn w:val="16"/>
    <w:qFormat/>
    <w:uiPriority w:val="0"/>
  </w:style>
  <w:style w:type="character" w:styleId="18">
    <w:name w:val="Hyperlink"/>
    <w:basedOn w:val="16"/>
    <w:qFormat/>
    <w:uiPriority w:val="0"/>
    <w:rPr>
      <w:color w:val="0000FF"/>
      <w:u w:val="single"/>
    </w:rPr>
  </w:style>
  <w:style w:type="character" w:styleId="19">
    <w:name w:val="annotation reference"/>
    <w:basedOn w:val="16"/>
    <w:qFormat/>
    <w:uiPriority w:val="0"/>
    <w:rPr>
      <w:sz w:val="21"/>
      <w:szCs w:val="21"/>
    </w:rPr>
  </w:style>
  <w:style w:type="character" w:styleId="20">
    <w:name w:val="footnote reference"/>
    <w:basedOn w:val="16"/>
    <w:qFormat/>
    <w:uiPriority w:val="99"/>
    <w:rPr>
      <w:vertAlign w:val="superscript"/>
    </w:rPr>
  </w:style>
  <w:style w:type="paragraph" w:styleId="21">
    <w:name w:val="List Paragraph"/>
    <w:basedOn w:val="1"/>
    <w:qFormat/>
    <w:uiPriority w:val="34"/>
    <w:pPr>
      <w:ind w:left="480" w:leftChars="200"/>
    </w:pPr>
  </w:style>
  <w:style w:type="character" w:customStyle="1" w:styleId="22">
    <w:name w:val="页眉 字符"/>
    <w:basedOn w:val="16"/>
    <w:link w:val="10"/>
    <w:qFormat/>
    <w:uiPriority w:val="0"/>
    <w:rPr>
      <w:kern w:val="2"/>
      <w:sz w:val="18"/>
      <w:szCs w:val="18"/>
    </w:rPr>
  </w:style>
  <w:style w:type="character" w:customStyle="1" w:styleId="23">
    <w:name w:val="批注文字 字符"/>
    <w:basedOn w:val="16"/>
    <w:link w:val="6"/>
    <w:qFormat/>
    <w:uiPriority w:val="0"/>
    <w:rPr>
      <w:kern w:val="2"/>
      <w:sz w:val="21"/>
      <w:szCs w:val="24"/>
    </w:rPr>
  </w:style>
  <w:style w:type="character" w:customStyle="1" w:styleId="24">
    <w:name w:val="批注主题 字符"/>
    <w:basedOn w:val="23"/>
    <w:link w:val="13"/>
    <w:qFormat/>
    <w:uiPriority w:val="0"/>
    <w:rPr>
      <w:b/>
      <w:bCs/>
      <w:kern w:val="2"/>
      <w:sz w:val="21"/>
      <w:szCs w:val="24"/>
    </w:rPr>
  </w:style>
  <w:style w:type="character" w:styleId="25">
    <w:name w:val="Placeholder Text"/>
    <w:basedOn w:val="16"/>
    <w:semiHidden/>
    <w:qFormat/>
    <w:uiPriority w:val="99"/>
    <w:rPr>
      <w:color w:val="808080"/>
    </w:rPr>
  </w:style>
  <w:style w:type="character" w:customStyle="1" w:styleId="26">
    <w:name w:val="脚注文本 字符"/>
    <w:basedOn w:val="16"/>
    <w:link w:val="11"/>
    <w:qFormat/>
    <w:uiPriority w:val="0"/>
    <w:rPr>
      <w:kern w:val="2"/>
      <w:sz w:val="18"/>
      <w:szCs w:val="18"/>
      <w:lang w:eastAsia="zh-CN"/>
    </w:rPr>
  </w:style>
  <w:style w:type="character" w:customStyle="1" w:styleId="27">
    <w:name w:val="批注框文本 字符"/>
    <w:basedOn w:val="16"/>
    <w:link w:val="8"/>
    <w:qFormat/>
    <w:uiPriority w:val="0"/>
    <w:rPr>
      <w:kern w:val="2"/>
      <w:sz w:val="18"/>
      <w:szCs w:val="18"/>
      <w:lang w:eastAsia="zh-CN"/>
    </w:rPr>
  </w:style>
  <w:style w:type="paragraph" w:customStyle="1" w:styleId="28">
    <w:name w:val="修订1"/>
    <w:hidden/>
    <w:semiHidden/>
    <w:qFormat/>
    <w:uiPriority w:val="99"/>
    <w:rPr>
      <w:rFonts w:asciiTheme="minorHAnsi" w:hAnsiTheme="minorHAnsi" w:eastAsiaTheme="minorEastAsia" w:cstheme="minorBidi"/>
      <w:kern w:val="2"/>
      <w:sz w:val="21"/>
      <w:szCs w:val="24"/>
      <w:lang w:val="en-US" w:eastAsia="zh-CN" w:bidi="ar-SA"/>
    </w:rPr>
  </w:style>
  <w:style w:type="table" w:customStyle="1" w:styleId="29">
    <w:name w:val="表格內文1"/>
    <w:basedOn w:val="14"/>
    <w:semiHidden/>
    <w:qFormat/>
    <w:uiPriority w:val="0"/>
    <w:rPr>
      <w:rFonts w:cs="Times New Roman (本文 CS 字型)"/>
      <w:kern w:val="2"/>
      <w:sz w:val="24"/>
      <w:szCs w:val="24"/>
    </w:rPr>
  </w:style>
  <w:style w:type="character" w:customStyle="1" w:styleId="30">
    <w:name w:val="10"/>
    <w:basedOn w:val="16"/>
    <w:qFormat/>
    <w:uiPriority w:val="0"/>
    <w:rPr>
      <w:rFonts w:hint="default" w:ascii="Times New Roman" w:hAnsi="Times New Roman" w:cs="Times New Roman"/>
    </w:rPr>
  </w:style>
  <w:style w:type="character" w:customStyle="1" w:styleId="31">
    <w:name w:val="15"/>
    <w:basedOn w:val="16"/>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834348E-8892-459F-BD8B-B0ADB0777C20}">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10049</Words>
  <Characters>57283</Characters>
  <Lines>477</Lines>
  <Paragraphs>134</Paragraphs>
  <TotalTime>14</TotalTime>
  <ScaleCrop>false</ScaleCrop>
  <LinksUpToDate>false</LinksUpToDate>
  <CharactersWithSpaces>67198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2023-08-20T16:41:00Z</dcterms:created>
  <dc:creator>小尘</dc:creator>
  <cp:lastModifiedBy>小尘</cp:lastModifiedBy>
  <cp:lastPrinted>2023-03-03T22:03:00Z</cp:lastPrinted>
  <dcterms:modified xsi:type="dcterms:W3CDTF">2023-08-21T02:40:27Z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D17DB24FC1A84F0483400C2BA0717D3F_13</vt:lpwstr>
  </property>
  <property fmtid="{D5CDD505-2E9C-101B-9397-08002B2CF9AE}" pid="4" name="GrammarlyDocumentId">
    <vt:lpwstr>b080343e0cd8976ca09b37e863a902b51c1071802fd2131989ed3fa66b39fdf6</vt:lpwstr>
  </property>
</Properties>
</file>