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pacing w:line="240" w:lineRule="auto"/>
        <w:jc w:val="left"/>
        <w:rPr>
          <w:sz w:val="32"/>
          <w:szCs w:val="32"/>
        </w:rPr>
      </w:pPr>
      <w:r>
        <w:rPr>
          <w:rStyle w:val="7"/>
          <w:rFonts w:ascii="宋体" w:hAnsi="宋体" w:eastAsia="宋体" w:cs="宋体"/>
          <w:color w:val="0E101A"/>
          <w:kern w:val="0"/>
          <w:sz w:val="32"/>
          <w:szCs w:val="32"/>
          <w:lang w:val="en-US" w:eastAsia="zh-CN" w:bidi="ar"/>
        </w:rPr>
        <w:t xml:space="preserve">1. Introduction </w:t>
      </w:r>
    </w:p>
    <w:p>
      <w:pPr>
        <w:pStyle w:val="3"/>
        <w:keepNext w:val="0"/>
        <w:keepLines w:val="0"/>
        <w:widowControl/>
        <w:suppressLineNumbers w:val="0"/>
        <w:spacing w:before="0" w:beforeAutospacing="0" w:after="0" w:afterAutospacing="0" w:line="360" w:lineRule="auto"/>
        <w:ind w:left="0" w:right="0"/>
        <w:rPr>
          <w:color w:val="494949"/>
          <w:sz w:val="22"/>
          <w:szCs w:val="22"/>
        </w:rPr>
      </w:pPr>
      <w:r>
        <w:rPr>
          <w:color w:val="0E101A"/>
          <w:sz w:val="22"/>
          <w:szCs w:val="22"/>
        </w:rPr>
        <w:t xml:space="preserve">Foreign exchange rates are always characterized by high volatility and uncertainty since it is influenced by numerous unstable factors, such as geopolitical events and environmental factors </w:t>
      </w:r>
      <w:r>
        <w:rPr>
          <w:color w:val="494949"/>
          <w:sz w:val="22"/>
          <w:szCs w:val="22"/>
        </w:rPr>
        <w:t>(Njindan Iyke, 2020)</w:t>
      </w:r>
      <w:r>
        <w:rPr>
          <w:color w:val="0E101A"/>
          <w:sz w:val="22"/>
          <w:szCs w:val="22"/>
        </w:rPr>
        <w:t xml:space="preserve">. However, forecasting the foreign exchange rates is essential for the government as it relates to the country’s financial security and may be used to improve the accuracy and foresight of policy making </w:t>
      </w:r>
      <w:r>
        <w:rPr>
          <w:color w:val="494949"/>
          <w:sz w:val="22"/>
          <w:szCs w:val="22"/>
        </w:rPr>
        <w:t>(Sun et al., 2020)</w:t>
      </w:r>
      <w:r>
        <w:rPr>
          <w:color w:val="0E101A"/>
          <w:sz w:val="22"/>
          <w:szCs w:val="22"/>
        </w:rPr>
        <w:t xml:space="preserve">. Moreover, for enterprises and individuals, accurate foreign exchange rates may help them to hedge risks and gain considerable investment income. Thus, different models are adopted to precisely capture the complexity and nonlinearity of the foreign exchange rates </w:t>
      </w:r>
      <w:r>
        <w:rPr>
          <w:color w:val="494949"/>
          <w:sz w:val="22"/>
          <w:szCs w:val="22"/>
        </w:rPr>
        <w:t>(Rossi, 2013)</w:t>
      </w:r>
      <w:r>
        <w:rPr>
          <w:color w:val="0E101A"/>
          <w:sz w:val="22"/>
          <w:szCs w:val="22"/>
        </w:rPr>
        <w:t xml:space="preserve">. This research aims to predict the exchange rate of USD/CNY by employing new combinations of variables and using different neural network models, improving the original methodology. </w:t>
      </w:r>
    </w:p>
    <w:p>
      <w:pPr>
        <w:pStyle w:val="3"/>
        <w:keepNext w:val="0"/>
        <w:keepLines w:val="0"/>
        <w:widowControl/>
        <w:suppressLineNumbers w:val="0"/>
        <w:spacing w:before="0" w:beforeAutospacing="0" w:after="0" w:afterAutospacing="0" w:line="360" w:lineRule="auto"/>
        <w:ind w:left="0" w:right="0"/>
        <w:rPr>
          <w:rFonts w:hint="default" w:eastAsiaTheme="minorEastAsia"/>
          <w:color w:val="0E101A"/>
          <w:sz w:val="22"/>
          <w:szCs w:val="22"/>
          <w:lang w:val="en-US" w:eastAsia="zh-CN"/>
        </w:rPr>
      </w:pPr>
      <w:r>
        <w:rPr>
          <w:color w:val="0E101A"/>
          <w:sz w:val="22"/>
          <w:szCs w:val="22"/>
        </w:rPr>
        <w:t xml:space="preserve">These methods can be divided into three categories: 1) </w:t>
      </w:r>
      <w:r>
        <w:rPr>
          <w:color w:val="0E101A"/>
          <w:sz w:val="22"/>
          <w:szCs w:val="22"/>
          <w:highlight w:val="yellow"/>
        </w:rPr>
        <w:t xml:space="preserve">econometric and statistic methods, </w:t>
      </w:r>
      <w:r>
        <w:rPr>
          <w:color w:val="0E101A"/>
          <w:sz w:val="22"/>
          <w:szCs w:val="22"/>
        </w:rPr>
        <w:t>including ARIMA, GARCH, VAR, etc. Econometric and statistical methods always have the stationarity assumption and perform better with stationary data. However, the predictions would be far less than ideal with the nonstationary data. 2)</w:t>
      </w:r>
      <w:r>
        <w:rPr>
          <w:color w:val="0E101A"/>
          <w:sz w:val="22"/>
          <w:szCs w:val="22"/>
          <w:highlight w:val="yellow"/>
        </w:rPr>
        <w:t xml:space="preserve"> artificial intelligence model, </w:t>
      </w:r>
      <w:r>
        <w:rPr>
          <w:color w:val="0E101A"/>
          <w:sz w:val="22"/>
          <w:szCs w:val="22"/>
        </w:rPr>
        <w:t>including ANN, SVR, NN, etc. Artificial intelligence models overcome the shortages of econometric and statistic methods, but also have parameters optimal and overfitting problems. 3)</w:t>
      </w:r>
      <w:r>
        <w:rPr>
          <w:color w:val="0E101A"/>
          <w:sz w:val="22"/>
          <w:szCs w:val="22"/>
          <w:highlight w:val="yellow"/>
        </w:rPr>
        <w:t xml:space="preserve"> Hybrid approach, </w:t>
      </w:r>
      <w:r>
        <w:rPr>
          <w:color w:val="0E101A"/>
          <w:sz w:val="22"/>
          <w:szCs w:val="22"/>
        </w:rPr>
        <w:t>which can combine parametric and nonparametric techniques</w:t>
      </w:r>
      <w:r>
        <w:rPr>
          <w:rFonts w:hint="eastAsia"/>
          <w:color w:val="0E101A"/>
          <w:sz w:val="22"/>
          <w:szCs w:val="22"/>
          <w:lang w:val="en-US" w:eastAsia="zh-CN"/>
        </w:rPr>
        <w:t xml:space="preserve">, selects various models feature to help improve forecasting result. For example, </w:t>
      </w:r>
      <w:r>
        <w:rPr>
          <w:color w:val="0E101A"/>
          <w:sz w:val="22"/>
          <w:szCs w:val="22"/>
        </w:rPr>
        <w:t xml:space="preserve">Ince &amp; Trafalis divided the prediction process into two stages, using ARIMA to determine the correct input in the first stage, and combining ANN and SVR to forecast the exchange rate in the second stage (Ince &amp; Trafailis, 2006). Henríquez &amp; Kristjanpoller (2019) firstly used ICA to extract the noise of time series and then used NN in forecasting. Whereas existing literature mainly adopted a data-driven framework. The long-term result may not be captured accurately without comprehensively considering the influence of correlated variables. </w:t>
      </w:r>
      <w:r>
        <w:rPr>
          <w:rFonts w:hint="eastAsia"/>
          <w:color w:val="0E101A"/>
          <w:sz w:val="22"/>
          <w:szCs w:val="22"/>
          <w:lang w:val="en-US" w:eastAsia="zh-CN"/>
        </w:rPr>
        <w:t>Further analysis will be demonstrated in literature review section.</w:t>
      </w:r>
    </w:p>
    <w:p>
      <w:pPr>
        <w:pStyle w:val="3"/>
        <w:keepNext w:val="0"/>
        <w:keepLines w:val="0"/>
        <w:widowControl/>
        <w:suppressLineNumbers w:val="0"/>
        <w:spacing w:before="0" w:beforeAutospacing="0" w:after="0" w:afterAutospacing="0" w:line="360" w:lineRule="auto"/>
        <w:ind w:left="0" w:right="0"/>
        <w:rPr>
          <w:color w:val="0E101A"/>
          <w:sz w:val="22"/>
          <w:szCs w:val="22"/>
        </w:rPr>
      </w:pPr>
    </w:p>
    <w:p>
      <w:pPr>
        <w:pStyle w:val="3"/>
        <w:keepNext w:val="0"/>
        <w:keepLines w:val="0"/>
        <w:widowControl/>
        <w:suppressLineNumbers w:val="0"/>
        <w:spacing w:before="0" w:beforeAutospacing="0" w:after="0" w:afterAutospacing="0" w:line="360" w:lineRule="auto"/>
        <w:ind w:left="0" w:right="0"/>
        <w:rPr>
          <w:color w:val="0E101A"/>
          <w:sz w:val="22"/>
          <w:szCs w:val="22"/>
        </w:rPr>
      </w:pPr>
      <w:r>
        <w:rPr>
          <w:color w:val="0E101A"/>
          <w:sz w:val="22"/>
          <w:szCs w:val="22"/>
        </w:rPr>
        <w:t xml:space="preserve">Other hybrid models such as ANN-GJR (Baffour et al., 2019), and GRU-LSTM (Islam &amp; Hossain, 2020) were used in recent years. </w:t>
      </w:r>
    </w:p>
    <w:p>
      <w:pPr>
        <w:pStyle w:val="3"/>
        <w:keepNext w:val="0"/>
        <w:keepLines w:val="0"/>
        <w:widowControl/>
        <w:suppressLineNumbers w:val="0"/>
        <w:spacing w:before="0" w:beforeAutospacing="0" w:after="0" w:afterAutospacing="0" w:line="360" w:lineRule="auto"/>
        <w:ind w:left="0" w:right="0"/>
        <w:rPr>
          <w:color w:val="494949"/>
          <w:sz w:val="22"/>
          <w:szCs w:val="22"/>
        </w:rPr>
      </w:pPr>
      <w:r>
        <w:rPr>
          <w:color w:val="0E101A"/>
          <w:sz w:val="22"/>
          <w:szCs w:val="22"/>
        </w:rPr>
        <w:t xml:space="preserve">Traditionally, macroeconomic and market-level variables are used to forecast the exchange rate. Since macroeconomic variables and the exchange rate are strongly and directly correlated, the predictions were made in various countries. Nor &amp; Masron (2020) analyzed the situation in Somalia and illustrated that shocks and macroeconomic factors lead the high volatility. Kim &amp; Park concluded that specific macroeconomic variables affect short-term and long-term fluctuations of the exchange rate in the US, respectively. Moreover, the relationships between macroeconomic variables and the exchange rate vary in different countries.  </w:t>
      </w:r>
    </w:p>
    <w:p>
      <w:pPr>
        <w:pStyle w:val="3"/>
        <w:keepNext w:val="0"/>
        <w:keepLines w:val="0"/>
        <w:widowControl/>
        <w:suppressLineNumbers w:val="0"/>
        <w:spacing w:before="0" w:beforeAutospacing="0" w:after="0" w:afterAutospacing="0" w:line="360" w:lineRule="auto"/>
        <w:ind w:left="0" w:right="0"/>
        <w:rPr>
          <w:color w:val="494949"/>
          <w:sz w:val="22"/>
          <w:szCs w:val="22"/>
        </w:rPr>
      </w:pPr>
      <w:r>
        <w:rPr>
          <w:color w:val="0E101A"/>
          <w:sz w:val="22"/>
          <w:szCs w:val="22"/>
        </w:rPr>
        <w:t xml:space="preserve">Market-level variables may be divided into different categories. For instance, for the commodity market, the cross-correlations between the exchange rate and commodity prices were analyzed (Cashin et al., 2004) (Lu et al., 2017). Some pieces of literature may focus on specific commodities and take the financial market into account, studying correlations across energy, gold, the stock market, and the exchange rate (Sujit &amp; Kumar, 2011) (Jain &amp; Biswal, 2016) (Singhal et al., 2019). Others may use google trends to predict the exchange rates since it represents public opinions to a certain degree and may be more accurate in predicting the actual directions of change in the nominal exchange rate (Bulut, 2018).  </w:t>
      </w:r>
    </w:p>
    <w:p>
      <w:pPr>
        <w:pStyle w:val="3"/>
        <w:keepNext w:val="0"/>
        <w:keepLines w:val="0"/>
        <w:widowControl/>
        <w:suppressLineNumbers w:val="0"/>
        <w:spacing w:before="0" w:beforeAutospacing="0" w:after="0" w:afterAutospacing="0" w:line="360" w:lineRule="auto"/>
        <w:ind w:left="0" w:right="0"/>
        <w:rPr>
          <w:color w:val="494949"/>
          <w:sz w:val="22"/>
          <w:szCs w:val="22"/>
          <w:highlight w:val="yellow"/>
        </w:rPr>
      </w:pPr>
      <w:r>
        <w:rPr>
          <w:color w:val="0E101A"/>
          <w:sz w:val="22"/>
          <w:szCs w:val="22"/>
          <w:highlight w:val="yellow"/>
        </w:rPr>
        <w:t xml:space="preserve">However, existing literature uses only macroeconomics variables or market-level variables to predict the exchange rate, and a few uses both. Moreover, among these variables, some may have the highest relevance to the exchange rate (Wei et al., 2018). Thus, selecting out the most necessary variables and excluding variables with weak relevance may reduce noise, providing a more accurate result. </w:t>
      </w:r>
    </w:p>
    <w:p>
      <w:pPr>
        <w:pStyle w:val="3"/>
        <w:keepNext w:val="0"/>
        <w:keepLines w:val="0"/>
        <w:widowControl/>
        <w:suppressLineNumbers w:val="0"/>
        <w:spacing w:before="0" w:beforeAutospacing="0" w:after="0" w:afterAutospacing="0" w:line="360" w:lineRule="auto"/>
        <w:ind w:left="0" w:right="0"/>
        <w:rPr>
          <w:color w:val="494949"/>
          <w:sz w:val="22"/>
          <w:szCs w:val="22"/>
        </w:rPr>
      </w:pPr>
      <w:r>
        <w:rPr>
          <w:color w:val="494949"/>
          <w:sz w:val="22"/>
          <w:szCs w:val="22"/>
        </w:rPr>
        <w:t xml:space="preserve">Based on the considerations above, this paper's contributions mainly includes three aspects: 1) compared with the previous study, it is the first time that the market-based variables and macroeconomic variables both have been selected to predict the exchange rate of USD/CNY. This new method may take market sentiment, uncertainty, public opinions, and other explicit relationships between macroeconomic variables and exchange rate into account. 2) LASSO selects out six variables with the highest relevance before the models are utilized since excessive variables may lead to overfitting. 3) to the best of our knowledge, BiLSTM is used to predict the exchange rate for the first time. And the empirical study shows that the proposed LASSO-BiLSTM approach outperforms the benchmarks. </w:t>
      </w:r>
    </w:p>
    <w:p>
      <w:pPr>
        <w:pStyle w:val="3"/>
        <w:keepNext w:val="0"/>
        <w:keepLines w:val="0"/>
        <w:widowControl/>
        <w:suppressLineNumbers w:val="0"/>
        <w:spacing w:before="0" w:beforeAutospacing="0" w:after="0" w:afterAutospacing="0" w:line="360" w:lineRule="auto"/>
        <w:ind w:left="0" w:right="0"/>
        <w:rPr>
          <w:color w:val="494949"/>
          <w:sz w:val="22"/>
          <w:szCs w:val="22"/>
        </w:rPr>
      </w:pPr>
      <w:r>
        <w:rPr>
          <w:color w:val="0E101A"/>
          <w:sz w:val="22"/>
          <w:szCs w:val="22"/>
        </w:rPr>
        <w:t xml:space="preserve">The rest of this study is organized as follows. Section 2 </w:t>
      </w:r>
      <w:r>
        <w:rPr>
          <w:rFonts w:hint="eastAsia"/>
          <w:color w:val="0E101A"/>
          <w:sz w:val="22"/>
          <w:szCs w:val="22"/>
          <w:lang w:val="en-US" w:eastAsia="zh-CN"/>
        </w:rPr>
        <w:t xml:space="preserve">provides literature review. Section 3 </w:t>
      </w:r>
      <w:r>
        <w:rPr>
          <w:color w:val="0E101A"/>
          <w:sz w:val="22"/>
          <w:szCs w:val="22"/>
        </w:rPr>
        <w:t xml:space="preserve">introduces the related models, including LASSO, SVR, ELM, LSTM, BiLSTM, and KELM. Section </w:t>
      </w:r>
      <w:r>
        <w:rPr>
          <w:rFonts w:hint="eastAsia"/>
          <w:color w:val="0E101A"/>
          <w:sz w:val="22"/>
          <w:szCs w:val="22"/>
          <w:lang w:val="en-US" w:eastAsia="zh-CN"/>
        </w:rPr>
        <w:t>4</w:t>
      </w:r>
      <w:r>
        <w:rPr>
          <w:color w:val="0E101A"/>
          <w:sz w:val="22"/>
          <w:szCs w:val="22"/>
        </w:rPr>
        <w:t xml:space="preserve"> proposes 29 initially chosen variables in four different categories, six selected variables with the most significant relevance, and the adopted evaluation criteria. Finally, the performances of five neural network models and the other five LASSO-combining models are compared horizontally in Section </w:t>
      </w:r>
      <w:r>
        <w:rPr>
          <w:rFonts w:hint="eastAsia"/>
          <w:color w:val="0E101A"/>
          <w:sz w:val="22"/>
          <w:szCs w:val="22"/>
          <w:lang w:val="en-US" w:eastAsia="zh-CN"/>
        </w:rPr>
        <w:t>5</w:t>
      </w:r>
      <w:r>
        <w:rPr>
          <w:color w:val="0E101A"/>
          <w:sz w:val="22"/>
          <w:szCs w:val="22"/>
        </w:rPr>
        <w:t xml:space="preserve">. </w:t>
      </w:r>
    </w:p>
    <w:p/>
    <w:p>
      <w:pPr>
        <w:numPr>
          <w:ilvl w:val="0"/>
          <w:numId w:val="1"/>
        </w:numPr>
        <w:rPr>
          <w:rFonts w:hint="default" w:eastAsiaTheme="minorEastAsia"/>
          <w:lang w:val="en-US" w:eastAsia="zh-CN"/>
        </w:rPr>
      </w:pPr>
      <w:r>
        <w:rPr>
          <w:rFonts w:hint="eastAsia"/>
          <w:lang w:val="en-US" w:eastAsia="zh-CN"/>
        </w:rPr>
        <w:t>Literature reveiw</w:t>
      </w:r>
    </w:p>
    <w:p>
      <w:pPr>
        <w:widowControl w:val="0"/>
        <w:numPr>
          <w:ilvl w:val="0"/>
          <w:numId w:val="0"/>
        </w:numPr>
        <w:jc w:val="both"/>
        <w:rPr>
          <w:rFonts w:hint="eastAsia"/>
          <w:lang w:val="en-US" w:eastAsia="zh-CN"/>
        </w:rPr>
      </w:pPr>
      <w:r>
        <w:rPr>
          <w:rFonts w:hint="eastAsia"/>
          <w:lang w:val="en-US" w:eastAsia="zh-CN"/>
        </w:rPr>
        <w:t xml:space="preserve">This section reviews relevant literature about exchange rate forecast with model adoptions and variables selection. </w:t>
      </w:r>
    </w:p>
    <w:p>
      <w:pPr>
        <w:widowControl w:val="0"/>
        <w:numPr>
          <w:ilvl w:val="0"/>
          <w:numId w:val="0"/>
        </w:numPr>
        <w:jc w:val="both"/>
        <w:rPr>
          <w:rFonts w:hint="eastAsia"/>
          <w:lang w:val="en-US" w:eastAsia="zh-CN"/>
        </w:rPr>
      </w:pPr>
      <w:r>
        <w:rPr>
          <w:rFonts w:hint="eastAsia"/>
          <w:lang w:val="en-US" w:eastAsia="zh-CN"/>
        </w:rPr>
        <w:t xml:space="preserve">Traditionally, econometrics and statistic methods are univariate or multivariate analysis on time series. For example, by adopting ARIMA, Reddy SK (2015) investigates the behavior of daily exchange rates of the Indian Rupee (INR) against four other currencies. To improve, ensemble approaches based on econometrics and statistic models is used, such as ARIMA-based time series methods, GARCH-based and VAR-based learning (Pilbeam &amp; Langeland, 2014; Khashei et al., 2015; Brownlees &amp; Gallo, 2009; Epaphra, 2017; Parot et al., 2019). </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However, univariate or multivariate analysis has limited capacity to analyze nonlinear data and requires linearity assumption. Machine learning can overcome the barriers effectively. For instance, Panda and Narasimhan (2007) found that neural network ANN outperforms linear autoregressive (LAR) and random walk (RW) models. Evolutionary support vector machine (SVR) and other ensemble learning approach all demonstrate adaptive properties such as non-parametric, noise tolerant allow machine learning models map non-linear functions effectively (Fu et al., 2019; Sun &amp; Yu, 2019; Amelot et al., 2020; Kaushik &amp; Giri, 2020).</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The remaining shortages of machine learning, such as overfitting, backpropagated error decay, are then improved by deep learning method. Kaushik and Giri (2020) proposed LSTM-RNN model that achieves higher prediction accuracy. Sun et al. (2020) proposed a new ensemble deep learning approach LSTM-B to improve forecasting accuracy and potential trading profitability. Dautel et al. (2020) examine the effectiveness of GRU and indicate its suitability in exchange rate forecast.</w:t>
      </w:r>
      <w:r>
        <w:rPr>
          <w:rFonts w:hint="eastAsia"/>
          <w:color w:val="0000FF"/>
          <w:lang w:val="en-US" w:eastAsia="zh-CN"/>
        </w:rPr>
        <w:t xml:space="preserve"> Other deep learning models ,such as MLP, CNN, NGCU and MFRFNN, are also implemented in time series prediction (Wang et al., 2021; </w:t>
      </w:r>
      <w:bookmarkStart w:id="0" w:name="OLE_LINK1"/>
      <w:r>
        <w:rPr>
          <w:rFonts w:hint="eastAsia"/>
          <w:color w:val="0000FF"/>
          <w:lang w:val="en-US" w:eastAsia="zh-CN"/>
        </w:rPr>
        <w:t xml:space="preserve">Wang et al., 2022; Nasiri &amp; Ebadzadeh, 2022; </w:t>
      </w:r>
      <w:bookmarkStart w:id="1" w:name="_GoBack"/>
      <w:bookmarkEnd w:id="1"/>
      <w:r>
        <w:rPr>
          <w:rFonts w:hint="eastAsia"/>
          <w:color w:val="0000FF"/>
          <w:lang w:val="en-US" w:eastAsia="zh-CN"/>
        </w:rPr>
        <w:t>Singh et al., 2022</w:t>
      </w:r>
      <w:bookmarkEnd w:id="0"/>
      <w:r>
        <w:rPr>
          <w:rFonts w:hint="eastAsia"/>
          <w:color w:val="0000FF"/>
          <w:lang w:val="en-US" w:eastAsia="zh-CN"/>
        </w:rPr>
        <w:t>; Liu et al., 2023)</w:t>
      </w:r>
      <w:r>
        <w:rPr>
          <w:rFonts w:hint="eastAsia"/>
          <w:lang w:val="en-US" w:eastAsia="zh-CN"/>
        </w:rPr>
        <w:t xml:space="preserve">. However, deep learning model BiLSTM is rarely adopted in Forex Prediction. According to existing literature, it is mainly adopted to analyze sentimental texts, financial market, and tourism demand (Chen et al., 2017; Zhang et al., 2018; Rhanoui et al., 2019; Xu et al., 2019; Mustaqeem et al., 2020; Kulshrestha et al., 2020; Lu et al., 2020; Yang &amp; Wang, 2022) Even if it is adopted, BiLSTM has only compared to a few variables and  benchmarks (Siami-Namini et al., 2019). Since BiLSTM has strong capacity to capture future information and analyze sentiments effectively, adopting BiLSTM in Forex market can better adapt the instability of exchange rate and economic uncertainty. </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 xml:space="preserve">The remaining shortages of machine learning, such as overfitting, and backpropagated error decay, are then improved by deep learning method. Kaushik and Giri (2020) proposed the LSTM-RNN model that achieves higher prediction accuracy. Sun et al. (2020) proposed a new ensemble deep learning approach LSTM-B to improve forecasting accuracy and potential trading profitability. Dautel et al. (2020) examine the effectiveness of GRU and indicate its suitability in exchange rate forecasting. Other deep learning models such as MLP and CNN are also implemented in Forex prediction (Wang et al., 2021; Singh et al., 2022; Liu et al., 2023). However, the deep learning model BiLSTM is rarely adopted in Forex Prediction. According to existing literature, it is mainly adopted to analyze sentimental texts, financial market, and tourism demand (Chen et al., 2017; Zhang et al., 2018; Rhanoui et al., 2019; Xu et al., 2019; Mustaqeem et al., 2020; Kulshrestha et al., 2020; Lu et al., 2020; Yang &amp; Wang, 2022) Even if it is adopted, BiLSTM has only compared to a few variables and benchmarks (Siami-Namini et al., 2019). Since BiLSTM has a strong capacity to capture future information and analyze sentiments effectively, adopting BiLSTM in the Forex market can better adapt to the instability of exchange rates and economic uncertainty. </w:t>
      </w:r>
    </w:p>
    <w:p>
      <w:pPr>
        <w:widowControl w:val="0"/>
        <w:numPr>
          <w:ilvl w:val="0"/>
          <w:numId w:val="0"/>
        </w:numPr>
        <w:jc w:val="both"/>
        <w:rPr>
          <w:rFonts w:hint="eastAsia"/>
          <w:lang w:val="en-US" w:eastAsia="zh-CN"/>
        </w:rPr>
      </w:pPr>
    </w:p>
    <w:p>
      <w:pPr>
        <w:widowControl w:val="0"/>
        <w:numPr>
          <w:ilvl w:val="0"/>
          <w:numId w:val="0"/>
        </w:numPr>
        <w:jc w:val="both"/>
        <w:rPr>
          <w:rFonts w:ascii="宋体" w:hAnsi="宋体" w:eastAsia="宋体" w:cs="宋体"/>
          <w:sz w:val="24"/>
          <w:szCs w:val="24"/>
        </w:rPr>
      </w:pPr>
      <w:r>
        <w:rPr>
          <w:rFonts w:hint="eastAsia"/>
          <w:lang w:val="en-US" w:eastAsia="zh-CN"/>
        </w:rPr>
        <w:t xml:space="preserve">ARIMA: (Mong &amp; Ngan, 2016) </w:t>
      </w:r>
      <w:r>
        <w:rPr>
          <w:rFonts w:ascii="宋体" w:hAnsi="宋体" w:eastAsia="宋体" w:cs="宋体"/>
          <w:sz w:val="24"/>
          <w:szCs w:val="24"/>
        </w:rPr>
        <w:t>this paper introduces Arima model with four steps to forecast foreign exchange rate between VND/USD in the next twelve months of 2016.</w:t>
      </w:r>
    </w:p>
    <w:p>
      <w:pPr>
        <w:widowControl w:val="0"/>
        <w:numPr>
          <w:ilvl w:val="0"/>
          <w:numId w:val="0"/>
        </w:numPr>
        <w:jc w:val="both"/>
        <w:rPr>
          <w:rFonts w:hint="default" w:ascii="Arial" w:hAnsi="Arial" w:eastAsia="Arial" w:cs="Arial"/>
          <w:i w:val="0"/>
          <w:iCs w:val="0"/>
          <w:caps w:val="0"/>
          <w:color w:val="2E2E2E"/>
          <w:spacing w:val="0"/>
          <w:sz w:val="21"/>
          <w:szCs w:val="21"/>
          <w:u w:val="none"/>
        </w:rPr>
      </w:pPr>
      <w:r>
        <w:rPr>
          <w:rFonts w:hint="eastAsia" w:ascii="宋体" w:hAnsi="宋体" w:eastAsia="宋体" w:cs="宋体"/>
          <w:sz w:val="24"/>
          <w:szCs w:val="24"/>
          <w:lang w:val="en-US" w:eastAsia="zh-CN"/>
        </w:rPr>
        <w:t xml:space="preserve">Ensemble: </w:t>
      </w:r>
      <w:r>
        <w:rPr>
          <w:rFonts w:ascii="Arial" w:hAnsi="Arial" w:eastAsia="Arial" w:cs="Arial"/>
          <w:i w:val="0"/>
          <w:iCs w:val="0"/>
          <w:caps w:val="0"/>
          <w:color w:val="2E2E2E"/>
          <w:spacing w:val="0"/>
          <w:sz w:val="21"/>
          <w:szCs w:val="21"/>
          <w:u w:val="none"/>
        </w:rPr>
        <w:fldChar w:fldCharType="begin"/>
      </w:r>
      <w:r>
        <w:rPr>
          <w:rFonts w:ascii="Arial" w:hAnsi="Arial" w:eastAsia="Arial" w:cs="Arial"/>
          <w:i w:val="0"/>
          <w:iCs w:val="0"/>
          <w:caps w:val="0"/>
          <w:color w:val="2E2E2E"/>
          <w:spacing w:val="0"/>
          <w:sz w:val="21"/>
          <w:szCs w:val="21"/>
          <w:u w:val="none"/>
        </w:rPr>
        <w:instrText xml:space="preserve"> HYPERLINK "https://doi.org/10.1016/j.cor.2004.06.024" \o "Persistent link using digital object identifier" \t "https://www.sciencedirect.com/science/article/abs/pii/_blank" </w:instrText>
      </w:r>
      <w:r>
        <w:rPr>
          <w:rFonts w:ascii="Arial" w:hAnsi="Arial" w:eastAsia="Arial" w:cs="Arial"/>
          <w:i w:val="0"/>
          <w:iCs w:val="0"/>
          <w:caps w:val="0"/>
          <w:color w:val="2E2E2E"/>
          <w:spacing w:val="0"/>
          <w:sz w:val="21"/>
          <w:szCs w:val="21"/>
          <w:u w:val="none"/>
        </w:rPr>
        <w:fldChar w:fldCharType="separate"/>
      </w:r>
      <w:r>
        <w:rPr>
          <w:rStyle w:val="8"/>
          <w:rFonts w:hint="default" w:ascii="Arial" w:hAnsi="Arial" w:eastAsia="Arial" w:cs="Arial"/>
          <w:i w:val="0"/>
          <w:iCs w:val="0"/>
          <w:caps w:val="0"/>
          <w:color w:val="2E2E2E"/>
          <w:spacing w:val="0"/>
          <w:sz w:val="21"/>
          <w:szCs w:val="21"/>
          <w:u w:val="none"/>
        </w:rPr>
        <w:t>https://doi.org/10.1016/j.cor.2004.06.024</w:t>
      </w:r>
      <w:r>
        <w:rPr>
          <w:rFonts w:hint="default" w:ascii="Arial" w:hAnsi="Arial" w:eastAsia="Arial" w:cs="Arial"/>
          <w:i w:val="0"/>
          <w:iCs w:val="0"/>
          <w:caps w:val="0"/>
          <w:color w:val="2E2E2E"/>
          <w:spacing w:val="0"/>
          <w:sz w:val="21"/>
          <w:szCs w:val="21"/>
          <w:u w:val="none"/>
        </w:rPr>
        <w:fldChar w:fldCharType="end"/>
      </w:r>
    </w:p>
    <w:p>
      <w:pPr>
        <w:widowControl w:val="0"/>
        <w:numPr>
          <w:ilvl w:val="0"/>
          <w:numId w:val="0"/>
        </w:numPr>
        <w:jc w:val="both"/>
        <w:rPr>
          <w:rFonts w:ascii="Segoe UI" w:hAnsi="Segoe UI" w:eastAsia="Segoe UI" w:cs="Segoe UI"/>
          <w:i w:val="0"/>
          <w:iCs w:val="0"/>
          <w:caps w:val="0"/>
          <w:color w:val="333333"/>
          <w:spacing w:val="0"/>
          <w:sz w:val="24"/>
          <w:szCs w:val="24"/>
          <w:shd w:val="clear" w:fill="FCFCFC"/>
        </w:rPr>
      </w:pPr>
      <w:r>
        <w:rPr>
          <w:rFonts w:ascii="Segoe UI" w:hAnsi="Segoe UI" w:eastAsia="Segoe UI" w:cs="Segoe UI"/>
          <w:i w:val="0"/>
          <w:iCs w:val="0"/>
          <w:caps w:val="0"/>
          <w:color w:val="333333"/>
          <w:spacing w:val="0"/>
          <w:sz w:val="24"/>
          <w:szCs w:val="24"/>
          <w:shd w:val="clear" w:fill="FCFCFC"/>
        </w:rPr>
        <w:fldChar w:fldCharType="begin"/>
      </w:r>
      <w:r>
        <w:rPr>
          <w:rFonts w:ascii="Segoe UI" w:hAnsi="Segoe UI" w:eastAsia="Segoe UI" w:cs="Segoe UI"/>
          <w:i w:val="0"/>
          <w:iCs w:val="0"/>
          <w:caps w:val="0"/>
          <w:color w:val="333333"/>
          <w:spacing w:val="0"/>
          <w:sz w:val="24"/>
          <w:szCs w:val="24"/>
          <w:shd w:val="clear" w:fill="FCFCFC"/>
        </w:rPr>
        <w:instrText xml:space="preserve"> HYPERLINK "https://doi.org/10.1007/s10614-019-09896-w" </w:instrText>
      </w:r>
      <w:r>
        <w:rPr>
          <w:rFonts w:ascii="Segoe UI" w:hAnsi="Segoe UI" w:eastAsia="Segoe UI" w:cs="Segoe UI"/>
          <w:i w:val="0"/>
          <w:iCs w:val="0"/>
          <w:caps w:val="0"/>
          <w:color w:val="333333"/>
          <w:spacing w:val="0"/>
          <w:sz w:val="24"/>
          <w:szCs w:val="24"/>
          <w:shd w:val="clear" w:fill="FCFCFC"/>
        </w:rPr>
        <w:fldChar w:fldCharType="separate"/>
      </w:r>
      <w:r>
        <w:rPr>
          <w:rStyle w:val="8"/>
          <w:rFonts w:ascii="Segoe UI" w:hAnsi="Segoe UI" w:eastAsia="Segoe UI" w:cs="Segoe UI"/>
          <w:i w:val="0"/>
          <w:iCs w:val="0"/>
          <w:caps w:val="0"/>
          <w:spacing w:val="0"/>
          <w:sz w:val="24"/>
          <w:szCs w:val="24"/>
          <w:shd w:val="clear" w:fill="FCFCFC"/>
        </w:rPr>
        <w:t>https://doi.org/10.1007/s10614-019-09896-w</w:t>
      </w:r>
      <w:r>
        <w:rPr>
          <w:rFonts w:ascii="Segoe UI" w:hAnsi="Segoe UI" w:eastAsia="Segoe UI" w:cs="Segoe UI"/>
          <w:i w:val="0"/>
          <w:iCs w:val="0"/>
          <w:caps w:val="0"/>
          <w:color w:val="333333"/>
          <w:spacing w:val="0"/>
          <w:sz w:val="24"/>
          <w:szCs w:val="24"/>
          <w:shd w:val="clear" w:fill="FCFCFC"/>
        </w:rPr>
        <w:fldChar w:fldCharType="end"/>
      </w:r>
    </w:p>
    <w:p>
      <w:pPr>
        <w:widowControl w:val="0"/>
        <w:numPr>
          <w:ilvl w:val="0"/>
          <w:numId w:val="0"/>
        </w:numPr>
        <w:jc w:val="both"/>
        <w:rPr>
          <w:rFonts w:hint="eastAsia" w:ascii="Arial" w:hAnsi="Arial" w:eastAsia="宋体" w:cs="Arial"/>
          <w:i w:val="0"/>
          <w:iCs w:val="0"/>
          <w:caps w:val="0"/>
          <w:color w:val="2E2E2E"/>
          <w:spacing w:val="0"/>
          <w:sz w:val="21"/>
          <w:szCs w:val="21"/>
          <w:u w:val="none"/>
          <w:lang w:val="en-US" w:eastAsia="zh-CN"/>
        </w:rPr>
      </w:pPr>
      <w:r>
        <w:rPr>
          <w:rFonts w:ascii="Arial" w:hAnsi="Arial" w:eastAsia="Arial" w:cs="Arial"/>
          <w:i w:val="0"/>
          <w:iCs w:val="0"/>
          <w:caps w:val="0"/>
          <w:color w:val="2E2E2E"/>
          <w:spacing w:val="0"/>
          <w:sz w:val="21"/>
          <w:szCs w:val="21"/>
          <w:u w:val="none"/>
        </w:rPr>
        <w:fldChar w:fldCharType="begin"/>
      </w:r>
      <w:r>
        <w:rPr>
          <w:rFonts w:ascii="Arial" w:hAnsi="Arial" w:eastAsia="Arial" w:cs="Arial"/>
          <w:i w:val="0"/>
          <w:iCs w:val="0"/>
          <w:caps w:val="0"/>
          <w:color w:val="2E2E2E"/>
          <w:spacing w:val="0"/>
          <w:sz w:val="21"/>
          <w:szCs w:val="21"/>
          <w:u w:val="none"/>
        </w:rPr>
        <w:instrText xml:space="preserve"> HYPERLINK "https://doi.org/10.1016/j.jer.2023.100079" \o "Persistent link using digital object identifier" \t "https://www.sciencedirect.com/science/article/pii/_blank" </w:instrText>
      </w:r>
      <w:r>
        <w:rPr>
          <w:rFonts w:ascii="Arial" w:hAnsi="Arial" w:eastAsia="Arial" w:cs="Arial"/>
          <w:i w:val="0"/>
          <w:iCs w:val="0"/>
          <w:caps w:val="0"/>
          <w:color w:val="2E2E2E"/>
          <w:spacing w:val="0"/>
          <w:sz w:val="21"/>
          <w:szCs w:val="21"/>
          <w:u w:val="none"/>
        </w:rPr>
        <w:fldChar w:fldCharType="separate"/>
      </w:r>
      <w:r>
        <w:rPr>
          <w:rStyle w:val="8"/>
          <w:rFonts w:hint="default" w:ascii="Arial" w:hAnsi="Arial" w:eastAsia="Arial" w:cs="Arial"/>
          <w:i w:val="0"/>
          <w:iCs w:val="0"/>
          <w:caps w:val="0"/>
          <w:color w:val="2E2E2E"/>
          <w:spacing w:val="0"/>
          <w:sz w:val="21"/>
          <w:szCs w:val="21"/>
          <w:u w:val="none"/>
        </w:rPr>
        <w:t>https://doi.org/10.1016/j.jer.2023.100079</w:t>
      </w:r>
      <w:r>
        <w:rPr>
          <w:rFonts w:hint="default" w:ascii="Arial" w:hAnsi="Arial" w:eastAsia="Arial" w:cs="Arial"/>
          <w:i w:val="0"/>
          <w:iCs w:val="0"/>
          <w:caps w:val="0"/>
          <w:color w:val="2E2E2E"/>
          <w:spacing w:val="0"/>
          <w:sz w:val="21"/>
          <w:szCs w:val="21"/>
          <w:u w:val="none"/>
        </w:rPr>
        <w:fldChar w:fldCharType="end"/>
      </w:r>
      <w:r>
        <w:rPr>
          <w:rFonts w:hint="eastAsia" w:ascii="Arial" w:hAnsi="Arial" w:eastAsia="宋体" w:cs="Arial"/>
          <w:i w:val="0"/>
          <w:iCs w:val="0"/>
          <w:caps w:val="0"/>
          <w:color w:val="2E2E2E"/>
          <w:spacing w:val="0"/>
          <w:sz w:val="21"/>
          <w:szCs w:val="21"/>
          <w:u w:val="none"/>
          <w:lang w:val="en-US" w:eastAsia="zh-CN"/>
        </w:rPr>
        <w:t>--deep learning</w:t>
      </w:r>
    </w:p>
    <w:p>
      <w:pPr>
        <w:widowControl w:val="0"/>
        <w:numPr>
          <w:ilvl w:val="0"/>
          <w:numId w:val="0"/>
        </w:numPr>
        <w:jc w:val="both"/>
        <w:rPr>
          <w:rFonts w:hint="eastAsia" w:ascii="Arial" w:hAnsi="Arial" w:eastAsia="宋体" w:cs="Arial"/>
          <w:i w:val="0"/>
          <w:iCs w:val="0"/>
          <w:caps w:val="0"/>
          <w:color w:val="2E2E2E"/>
          <w:spacing w:val="0"/>
          <w:sz w:val="21"/>
          <w:szCs w:val="21"/>
          <w:u w:val="none"/>
          <w:lang w:val="en-US" w:eastAsia="zh-CN"/>
        </w:rPr>
      </w:pPr>
    </w:p>
    <w:p>
      <w:pPr>
        <w:widowControl w:val="0"/>
        <w:numPr>
          <w:ilvl w:val="0"/>
          <w:numId w:val="0"/>
        </w:numPr>
        <w:jc w:val="both"/>
        <w:rPr>
          <w:rFonts w:hint="eastAsia" w:ascii="Arial" w:hAnsi="Arial" w:eastAsia="宋体" w:cs="Arial"/>
          <w:i w:val="0"/>
          <w:iCs w:val="0"/>
          <w:caps w:val="0"/>
          <w:color w:val="2E2E2E"/>
          <w:spacing w:val="0"/>
          <w:sz w:val="21"/>
          <w:szCs w:val="21"/>
          <w:u w:val="none"/>
          <w:lang w:val="en-US" w:eastAsia="zh-CN"/>
        </w:rPr>
      </w:pPr>
    </w:p>
    <w:p>
      <w:pPr>
        <w:widowControl w:val="0"/>
        <w:numPr>
          <w:ilvl w:val="0"/>
          <w:numId w:val="0"/>
        </w:numPr>
        <w:jc w:val="both"/>
        <w:rPr>
          <w:rFonts w:hint="eastAsia" w:ascii="Arial" w:hAnsi="Arial" w:eastAsia="宋体" w:cs="Arial"/>
          <w:i w:val="0"/>
          <w:iCs w:val="0"/>
          <w:caps w:val="0"/>
          <w:color w:val="2E2E2E"/>
          <w:spacing w:val="0"/>
          <w:sz w:val="21"/>
          <w:szCs w:val="21"/>
          <w:u w:val="none"/>
          <w:lang w:val="en-US" w:eastAsia="zh-CN"/>
        </w:rPr>
      </w:pPr>
      <w:r>
        <w:rPr>
          <w:rFonts w:hint="eastAsia" w:ascii="Arial" w:hAnsi="Arial" w:eastAsia="宋体" w:cs="Arial"/>
          <w:i w:val="0"/>
          <w:iCs w:val="0"/>
          <w:color w:val="2E2E2E"/>
          <w:spacing w:val="0"/>
          <w:sz w:val="21"/>
          <w:szCs w:val="21"/>
          <w:u w:val="none"/>
          <w:lang w:val="en-US" w:eastAsia="zh-CN"/>
        </w:rPr>
        <w:t>V</w:t>
      </w:r>
      <w:r>
        <w:rPr>
          <w:rFonts w:hint="eastAsia" w:ascii="Arial" w:hAnsi="Arial" w:eastAsia="宋体" w:cs="Arial"/>
          <w:i w:val="0"/>
          <w:iCs w:val="0"/>
          <w:caps w:val="0"/>
          <w:color w:val="2E2E2E"/>
          <w:spacing w:val="0"/>
          <w:sz w:val="21"/>
          <w:szCs w:val="21"/>
          <w:u w:val="none"/>
          <w:lang w:val="en-US" w:eastAsia="zh-CN"/>
        </w:rPr>
        <w:t xml:space="preserve">ariables: </w:t>
      </w:r>
    </w:p>
    <w:p>
      <w:pPr>
        <w:widowControl w:val="0"/>
        <w:numPr>
          <w:ilvl w:val="0"/>
          <w:numId w:val="0"/>
        </w:numPr>
        <w:jc w:val="both"/>
        <w:rPr>
          <w:rFonts w:hint="eastAsia" w:ascii="Arial" w:hAnsi="Arial" w:eastAsia="宋体" w:cs="Arial"/>
          <w:i w:val="0"/>
          <w:iCs w:val="0"/>
          <w:caps w:val="0"/>
          <w:color w:val="2E2E2E"/>
          <w:spacing w:val="0"/>
          <w:sz w:val="21"/>
          <w:szCs w:val="21"/>
          <w:u w:val="none"/>
          <w:lang w:val="en-US" w:eastAsia="zh-CN"/>
        </w:rPr>
      </w:pPr>
      <w:r>
        <w:rPr>
          <w:rFonts w:hint="eastAsia" w:ascii="Arial" w:hAnsi="Arial" w:eastAsia="宋体" w:cs="Arial"/>
          <w:i w:val="0"/>
          <w:iCs w:val="0"/>
          <w:color w:val="2E2E2E"/>
          <w:spacing w:val="0"/>
          <w:sz w:val="21"/>
          <w:szCs w:val="21"/>
          <w:u w:val="none"/>
          <w:lang w:val="en-US" w:eastAsia="zh-CN"/>
        </w:rPr>
        <w:t>M</w:t>
      </w:r>
      <w:r>
        <w:rPr>
          <w:rFonts w:hint="eastAsia" w:ascii="Arial" w:hAnsi="Arial" w:eastAsia="宋体" w:cs="Arial"/>
          <w:i w:val="0"/>
          <w:iCs w:val="0"/>
          <w:caps w:val="0"/>
          <w:color w:val="2E2E2E"/>
          <w:spacing w:val="0"/>
          <w:sz w:val="21"/>
          <w:szCs w:val="21"/>
          <w:u w:val="none"/>
          <w:lang w:val="en-US" w:eastAsia="zh-CN"/>
        </w:rPr>
        <w:t>acroeconomic variable</w:t>
      </w:r>
    </w:p>
    <w:p>
      <w:pPr>
        <w:widowControl w:val="0"/>
        <w:numPr>
          <w:ilvl w:val="0"/>
          <w:numId w:val="0"/>
        </w:numPr>
        <w:jc w:val="both"/>
        <w:rPr>
          <w:rFonts w:hint="default" w:ascii="Arial" w:hAnsi="Arial" w:eastAsia="Arial" w:cs="Arial"/>
          <w:i w:val="0"/>
          <w:iCs w:val="0"/>
          <w:caps w:val="0"/>
          <w:color w:val="2E2E2E"/>
          <w:spacing w:val="0"/>
          <w:sz w:val="21"/>
          <w:szCs w:val="21"/>
          <w:highlight w:val="yellow"/>
          <w:u w:val="none"/>
        </w:rPr>
      </w:pPr>
      <w:r>
        <w:rPr>
          <w:rFonts w:ascii="Arial" w:hAnsi="Arial" w:eastAsia="Arial" w:cs="Arial"/>
          <w:i w:val="0"/>
          <w:iCs w:val="0"/>
          <w:caps w:val="0"/>
          <w:color w:val="2E2E2E"/>
          <w:spacing w:val="0"/>
          <w:sz w:val="21"/>
          <w:szCs w:val="21"/>
          <w:highlight w:val="yellow"/>
          <w:u w:val="none"/>
        </w:rPr>
        <w:fldChar w:fldCharType="begin"/>
      </w:r>
      <w:r>
        <w:rPr>
          <w:rFonts w:ascii="Arial" w:hAnsi="Arial" w:eastAsia="Arial" w:cs="Arial"/>
          <w:i w:val="0"/>
          <w:iCs w:val="0"/>
          <w:caps w:val="0"/>
          <w:color w:val="2E2E2E"/>
          <w:spacing w:val="0"/>
          <w:sz w:val="21"/>
          <w:szCs w:val="21"/>
          <w:highlight w:val="yellow"/>
          <w:u w:val="none"/>
        </w:rPr>
        <w:instrText xml:space="preserve"> HYPERLINK "https://doi.org/10.1016/j.jinteco.2009.03.005" \o "Persistent link using digital object identifier" \t "https://www.sciencedirect.com/science/article/abs/pii/_blank" </w:instrText>
      </w:r>
      <w:r>
        <w:rPr>
          <w:rFonts w:ascii="Arial" w:hAnsi="Arial" w:eastAsia="Arial" w:cs="Arial"/>
          <w:i w:val="0"/>
          <w:iCs w:val="0"/>
          <w:caps w:val="0"/>
          <w:color w:val="2E2E2E"/>
          <w:spacing w:val="0"/>
          <w:sz w:val="21"/>
          <w:szCs w:val="21"/>
          <w:highlight w:val="yellow"/>
          <w:u w:val="none"/>
        </w:rPr>
        <w:fldChar w:fldCharType="separate"/>
      </w:r>
      <w:r>
        <w:rPr>
          <w:rStyle w:val="8"/>
          <w:rFonts w:hint="default" w:ascii="Arial" w:hAnsi="Arial" w:eastAsia="Arial" w:cs="Arial"/>
          <w:i w:val="0"/>
          <w:iCs w:val="0"/>
          <w:caps w:val="0"/>
          <w:color w:val="2E2E2E"/>
          <w:spacing w:val="0"/>
          <w:sz w:val="21"/>
          <w:szCs w:val="21"/>
          <w:highlight w:val="yellow"/>
          <w:u w:val="none"/>
        </w:rPr>
        <w:t>https://doi.org/10.1016/j.jinteco.2009.03.005</w:t>
      </w:r>
      <w:r>
        <w:rPr>
          <w:rFonts w:hint="default" w:ascii="Arial" w:hAnsi="Arial" w:eastAsia="Arial" w:cs="Arial"/>
          <w:i w:val="0"/>
          <w:iCs w:val="0"/>
          <w:caps w:val="0"/>
          <w:color w:val="2E2E2E"/>
          <w:spacing w:val="0"/>
          <w:sz w:val="21"/>
          <w:szCs w:val="21"/>
          <w:highlight w:val="yellow"/>
          <w:u w:val="none"/>
        </w:rPr>
        <w:fldChar w:fldCharType="end"/>
      </w:r>
    </w:p>
    <w:p>
      <w:pPr>
        <w:widowControl w:val="0"/>
        <w:numPr>
          <w:ilvl w:val="0"/>
          <w:numId w:val="0"/>
        </w:numPr>
        <w:jc w:val="both"/>
        <w:rPr>
          <w:rFonts w:hint="default" w:ascii="Arial" w:hAnsi="Arial" w:eastAsia="Arial" w:cs="Arial"/>
          <w:i w:val="0"/>
          <w:iCs w:val="0"/>
          <w:caps w:val="0"/>
          <w:color w:val="2E2E2E"/>
          <w:spacing w:val="0"/>
          <w:sz w:val="21"/>
          <w:szCs w:val="21"/>
          <w:highlight w:val="yellow"/>
          <w:u w:val="none"/>
          <w:lang w:val="en-US" w:eastAsia="zh-CN"/>
        </w:rPr>
      </w:pPr>
      <w:r>
        <w:rPr>
          <w:rFonts w:hint="default" w:ascii="Arial" w:hAnsi="Arial" w:eastAsia="Arial" w:cs="Arial"/>
          <w:i w:val="0"/>
          <w:iCs w:val="0"/>
          <w:caps w:val="0"/>
          <w:color w:val="2E2E2E"/>
          <w:spacing w:val="0"/>
          <w:sz w:val="21"/>
          <w:szCs w:val="21"/>
          <w:highlight w:val="yellow"/>
          <w:u w:val="none"/>
          <w:lang w:val="en-US" w:eastAsia="zh-CN"/>
        </w:rPr>
        <w:fldChar w:fldCharType="begin"/>
      </w:r>
      <w:r>
        <w:rPr>
          <w:rFonts w:hint="default" w:ascii="Arial" w:hAnsi="Arial" w:eastAsia="Arial" w:cs="Arial"/>
          <w:i w:val="0"/>
          <w:iCs w:val="0"/>
          <w:caps w:val="0"/>
          <w:color w:val="2E2E2E"/>
          <w:spacing w:val="0"/>
          <w:sz w:val="21"/>
          <w:szCs w:val="21"/>
          <w:highlight w:val="yellow"/>
          <w:u w:val="none"/>
          <w:lang w:val="en-US" w:eastAsia="zh-CN"/>
        </w:rPr>
        <w:instrText xml:space="preserve"> HYPERLINK "https://www.sciencedirect.com/science/article/abs/pii/S0022199617300375" </w:instrText>
      </w:r>
      <w:r>
        <w:rPr>
          <w:rFonts w:hint="default" w:ascii="Arial" w:hAnsi="Arial" w:eastAsia="Arial" w:cs="Arial"/>
          <w:i w:val="0"/>
          <w:iCs w:val="0"/>
          <w:caps w:val="0"/>
          <w:color w:val="2E2E2E"/>
          <w:spacing w:val="0"/>
          <w:sz w:val="21"/>
          <w:szCs w:val="21"/>
          <w:highlight w:val="yellow"/>
          <w:u w:val="none"/>
          <w:lang w:val="en-US" w:eastAsia="zh-CN"/>
        </w:rPr>
        <w:fldChar w:fldCharType="separate"/>
      </w:r>
      <w:r>
        <w:rPr>
          <w:rStyle w:val="8"/>
          <w:rFonts w:hint="default" w:ascii="Arial" w:hAnsi="Arial" w:eastAsia="Arial" w:cs="Arial"/>
          <w:i w:val="0"/>
          <w:iCs w:val="0"/>
          <w:caps w:val="0"/>
          <w:color w:val="2E2E2E"/>
          <w:spacing w:val="0"/>
          <w:sz w:val="21"/>
          <w:szCs w:val="21"/>
          <w:highlight w:val="yellow"/>
          <w:lang w:val="en-US" w:eastAsia="zh-CN"/>
        </w:rPr>
        <w:t>https://www.sciencedirect.com/science/article/abs/pii/S0022199617300375</w:t>
      </w:r>
      <w:r>
        <w:rPr>
          <w:rFonts w:hint="default" w:ascii="Arial" w:hAnsi="Arial" w:eastAsia="Arial" w:cs="Arial"/>
          <w:i w:val="0"/>
          <w:iCs w:val="0"/>
          <w:caps w:val="0"/>
          <w:color w:val="2E2E2E"/>
          <w:spacing w:val="0"/>
          <w:sz w:val="21"/>
          <w:szCs w:val="21"/>
          <w:highlight w:val="yellow"/>
          <w:u w:val="none"/>
          <w:lang w:val="en-US" w:eastAsia="zh-CN"/>
        </w:rPr>
        <w:fldChar w:fldCharType="end"/>
      </w:r>
    </w:p>
    <w:p>
      <w:pPr>
        <w:widowControl w:val="0"/>
        <w:numPr>
          <w:ilvl w:val="0"/>
          <w:numId w:val="0"/>
        </w:numPr>
        <w:jc w:val="both"/>
        <w:rPr>
          <w:rFonts w:hint="eastAsia" w:ascii="Arial" w:hAnsi="Arial" w:eastAsia="Arial" w:cs="Arial"/>
          <w:i w:val="0"/>
          <w:iCs w:val="0"/>
          <w:caps w:val="0"/>
          <w:color w:val="2E2E2E"/>
          <w:spacing w:val="0"/>
          <w:sz w:val="21"/>
          <w:szCs w:val="21"/>
          <w:highlight w:val="yellow"/>
          <w:u w:val="none"/>
          <w:lang w:val="en-US" w:eastAsia="zh-CN"/>
        </w:rPr>
      </w:pPr>
      <w:r>
        <w:rPr>
          <w:rFonts w:hint="eastAsia" w:ascii="Arial" w:hAnsi="Arial" w:eastAsia="Arial" w:cs="Arial"/>
          <w:i w:val="0"/>
          <w:iCs w:val="0"/>
          <w:caps w:val="0"/>
          <w:color w:val="2E2E2E"/>
          <w:spacing w:val="0"/>
          <w:sz w:val="21"/>
          <w:szCs w:val="21"/>
          <w:highlight w:val="yellow"/>
          <w:u w:val="none"/>
          <w:lang w:val="en-US" w:eastAsia="zh-CN"/>
        </w:rPr>
        <w:fldChar w:fldCharType="begin"/>
      </w:r>
      <w:r>
        <w:rPr>
          <w:rFonts w:hint="eastAsia" w:ascii="Arial" w:hAnsi="Arial" w:eastAsia="Arial" w:cs="Arial"/>
          <w:i w:val="0"/>
          <w:iCs w:val="0"/>
          <w:caps w:val="0"/>
          <w:color w:val="2E2E2E"/>
          <w:spacing w:val="0"/>
          <w:sz w:val="21"/>
          <w:szCs w:val="21"/>
          <w:highlight w:val="yellow"/>
          <w:u w:val="none"/>
          <w:lang w:val="en-US" w:eastAsia="zh-CN"/>
        </w:rPr>
        <w:instrText xml:space="preserve"> HYPERLINK "https://arxiv.org/abs/1607.02093" </w:instrText>
      </w:r>
      <w:r>
        <w:rPr>
          <w:rFonts w:hint="eastAsia" w:ascii="Arial" w:hAnsi="Arial" w:eastAsia="Arial" w:cs="Arial"/>
          <w:i w:val="0"/>
          <w:iCs w:val="0"/>
          <w:caps w:val="0"/>
          <w:color w:val="2E2E2E"/>
          <w:spacing w:val="0"/>
          <w:sz w:val="21"/>
          <w:szCs w:val="21"/>
          <w:highlight w:val="yellow"/>
          <w:u w:val="none"/>
          <w:lang w:val="en-US" w:eastAsia="zh-CN"/>
        </w:rPr>
        <w:fldChar w:fldCharType="separate"/>
      </w:r>
      <w:r>
        <w:rPr>
          <w:rStyle w:val="8"/>
          <w:rFonts w:hint="eastAsia" w:ascii="Arial" w:hAnsi="Arial" w:eastAsia="Arial" w:cs="Arial"/>
          <w:i w:val="0"/>
          <w:iCs w:val="0"/>
          <w:caps w:val="0"/>
          <w:color w:val="2E2E2E"/>
          <w:spacing w:val="0"/>
          <w:sz w:val="21"/>
          <w:szCs w:val="21"/>
          <w:highlight w:val="yellow"/>
          <w:lang w:val="en-US" w:eastAsia="zh-CN"/>
        </w:rPr>
        <w:t>https://arxiv.org/abs/1607.02093</w:t>
      </w:r>
      <w:r>
        <w:rPr>
          <w:rFonts w:hint="eastAsia" w:ascii="Arial" w:hAnsi="Arial" w:eastAsia="Arial" w:cs="Arial"/>
          <w:i w:val="0"/>
          <w:iCs w:val="0"/>
          <w:caps w:val="0"/>
          <w:color w:val="2E2E2E"/>
          <w:spacing w:val="0"/>
          <w:sz w:val="21"/>
          <w:szCs w:val="21"/>
          <w:highlight w:val="yellow"/>
          <w:u w:val="none"/>
          <w:lang w:val="en-US" w:eastAsia="zh-CN"/>
        </w:rPr>
        <w:fldChar w:fldCharType="end"/>
      </w: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r>
        <w:rPr>
          <w:rFonts w:hint="eastAsia" w:ascii="Arial" w:hAnsi="Arial" w:eastAsia="Arial" w:cs="Arial"/>
          <w:i w:val="0"/>
          <w:iCs w:val="0"/>
          <w:caps w:val="0"/>
          <w:color w:val="2E2E2E"/>
          <w:spacing w:val="0"/>
          <w:sz w:val="21"/>
          <w:szCs w:val="21"/>
          <w:u w:val="none"/>
          <w:lang w:val="en-US" w:eastAsia="zh-CN"/>
        </w:rPr>
        <w:t>--</w:t>
      </w:r>
      <w:r>
        <w:rPr>
          <w:rFonts w:ascii="Helvetica" w:hAnsi="Helvetica" w:eastAsia="Helvetica" w:cs="Helvetica"/>
          <w:i w:val="0"/>
          <w:iCs w:val="0"/>
          <w:caps w:val="0"/>
          <w:color w:val="000000"/>
          <w:spacing w:val="0"/>
          <w:sz w:val="20"/>
          <w:szCs w:val="20"/>
          <w:shd w:val="clear" w:fill="FFFFFF"/>
        </w:rPr>
        <w:t>current account and the capital account of the balance of payments.</w:t>
      </w:r>
    </w:p>
    <w:p>
      <w:pPr>
        <w:widowControl w:val="0"/>
        <w:numPr>
          <w:ilvl w:val="0"/>
          <w:numId w:val="0"/>
        </w:numPr>
        <w:jc w:val="both"/>
        <w:rPr>
          <w:rFonts w:hint="default" w:ascii="Arial" w:hAnsi="Arial" w:eastAsia="Arial" w:cs="Arial"/>
          <w:i w:val="0"/>
          <w:iCs w:val="0"/>
          <w:caps w:val="0"/>
          <w:color w:val="2E2E2E"/>
          <w:spacing w:val="0"/>
          <w:sz w:val="21"/>
          <w:szCs w:val="21"/>
          <w:highlight w:val="yellow"/>
          <w:u w:val="none"/>
          <w:lang w:val="en-US" w:eastAsia="zh-CN"/>
        </w:rPr>
      </w:pPr>
      <w:r>
        <w:rPr>
          <w:rFonts w:hint="default" w:ascii="Arial" w:hAnsi="Arial" w:eastAsia="Arial" w:cs="Arial"/>
          <w:i w:val="0"/>
          <w:iCs w:val="0"/>
          <w:caps w:val="0"/>
          <w:color w:val="2E2E2E"/>
          <w:spacing w:val="0"/>
          <w:sz w:val="21"/>
          <w:szCs w:val="21"/>
          <w:highlight w:val="yellow"/>
          <w:u w:val="none"/>
          <w:lang w:val="en-US" w:eastAsia="zh-CN"/>
        </w:rPr>
        <w:fldChar w:fldCharType="begin"/>
      </w:r>
      <w:r>
        <w:rPr>
          <w:rFonts w:hint="default" w:ascii="Arial" w:hAnsi="Arial" w:eastAsia="Arial" w:cs="Arial"/>
          <w:i w:val="0"/>
          <w:iCs w:val="0"/>
          <w:caps w:val="0"/>
          <w:color w:val="2E2E2E"/>
          <w:spacing w:val="0"/>
          <w:sz w:val="21"/>
          <w:szCs w:val="21"/>
          <w:highlight w:val="yellow"/>
          <w:u w:val="none"/>
          <w:lang w:val="en-US" w:eastAsia="zh-CN"/>
        </w:rPr>
        <w:instrText xml:space="preserve"> HYPERLINK "https://sci-hub.se/https:/doi.org/10.1142/S0219622004000969" </w:instrText>
      </w:r>
      <w:r>
        <w:rPr>
          <w:rFonts w:hint="default" w:ascii="Arial" w:hAnsi="Arial" w:eastAsia="Arial" w:cs="Arial"/>
          <w:i w:val="0"/>
          <w:iCs w:val="0"/>
          <w:caps w:val="0"/>
          <w:color w:val="2E2E2E"/>
          <w:spacing w:val="0"/>
          <w:sz w:val="21"/>
          <w:szCs w:val="21"/>
          <w:highlight w:val="yellow"/>
          <w:u w:val="none"/>
          <w:lang w:val="en-US" w:eastAsia="zh-CN"/>
        </w:rPr>
        <w:fldChar w:fldCharType="separate"/>
      </w:r>
      <w:r>
        <w:rPr>
          <w:rStyle w:val="8"/>
          <w:rFonts w:hint="default" w:ascii="Arial" w:hAnsi="Arial" w:eastAsia="Arial" w:cs="Arial"/>
          <w:i w:val="0"/>
          <w:iCs w:val="0"/>
          <w:caps w:val="0"/>
          <w:color w:val="2E2E2E"/>
          <w:spacing w:val="0"/>
          <w:sz w:val="21"/>
          <w:szCs w:val="21"/>
          <w:highlight w:val="yellow"/>
          <w:lang w:val="en-US" w:eastAsia="zh-CN"/>
        </w:rPr>
        <w:t>https://sci-hub.se/https://doi.org/10.1142/S0219622004000969</w:t>
      </w:r>
      <w:r>
        <w:rPr>
          <w:rFonts w:hint="default" w:ascii="Arial" w:hAnsi="Arial" w:eastAsia="Arial" w:cs="Arial"/>
          <w:i w:val="0"/>
          <w:iCs w:val="0"/>
          <w:caps w:val="0"/>
          <w:color w:val="2E2E2E"/>
          <w:spacing w:val="0"/>
          <w:sz w:val="21"/>
          <w:szCs w:val="21"/>
          <w:highlight w:val="yellow"/>
          <w:u w:val="none"/>
          <w:lang w:val="en-US" w:eastAsia="zh-CN"/>
        </w:rPr>
        <w:fldChar w:fldCharType="end"/>
      </w:r>
    </w:p>
    <w:p>
      <w:pPr>
        <w:widowControl w:val="0"/>
        <w:numPr>
          <w:ilvl w:val="0"/>
          <w:numId w:val="0"/>
        </w:numPr>
        <w:jc w:val="both"/>
        <w:rPr>
          <w:rFonts w:hint="eastAsia" w:ascii="Arial" w:hAnsi="Arial" w:eastAsia="Arial" w:cs="Arial"/>
          <w:i w:val="0"/>
          <w:iCs w:val="0"/>
          <w:caps w:val="0"/>
          <w:color w:val="2E2E2E"/>
          <w:spacing w:val="0"/>
          <w:sz w:val="21"/>
          <w:szCs w:val="21"/>
          <w:u w:val="none"/>
          <w:lang w:val="en-US" w:eastAsia="zh-CN"/>
        </w:rPr>
      </w:pPr>
      <w:r>
        <w:rPr>
          <w:rFonts w:hint="eastAsia" w:ascii="Arial" w:hAnsi="Arial" w:eastAsia="Arial" w:cs="Arial"/>
          <w:i w:val="0"/>
          <w:iCs w:val="0"/>
          <w:caps w:val="0"/>
          <w:color w:val="2E2E2E"/>
          <w:spacing w:val="0"/>
          <w:sz w:val="21"/>
          <w:szCs w:val="21"/>
          <w:u w:val="none"/>
          <w:lang w:val="en-US" w:eastAsia="zh-CN"/>
        </w:rPr>
        <w:t>+delayed time input</w:t>
      </w:r>
    </w:p>
    <w:p>
      <w:pPr>
        <w:widowControl w:val="0"/>
        <w:numPr>
          <w:ilvl w:val="0"/>
          <w:numId w:val="0"/>
        </w:numPr>
        <w:jc w:val="both"/>
        <w:rPr>
          <w:rFonts w:hint="default" w:ascii="Arial" w:hAnsi="Arial" w:eastAsia="Arial" w:cs="Arial"/>
          <w:i w:val="0"/>
          <w:iCs w:val="0"/>
          <w:caps w:val="0"/>
          <w:color w:val="2E2E2E"/>
          <w:spacing w:val="0"/>
          <w:sz w:val="21"/>
          <w:szCs w:val="21"/>
          <w:highlight w:val="yellow"/>
          <w:u w:val="none"/>
          <w:lang w:val="en-US" w:eastAsia="zh-CN"/>
        </w:rPr>
      </w:pPr>
      <w:r>
        <w:rPr>
          <w:rFonts w:hint="default" w:ascii="Arial" w:hAnsi="Arial" w:eastAsia="Arial" w:cs="Arial"/>
          <w:i w:val="0"/>
          <w:iCs w:val="0"/>
          <w:caps w:val="0"/>
          <w:color w:val="2E2E2E"/>
          <w:spacing w:val="0"/>
          <w:sz w:val="21"/>
          <w:szCs w:val="21"/>
          <w:highlight w:val="yellow"/>
          <w:u w:val="none"/>
          <w:lang w:val="en-US" w:eastAsia="zh-CN"/>
        </w:rPr>
        <w:fldChar w:fldCharType="begin"/>
      </w:r>
      <w:r>
        <w:rPr>
          <w:rFonts w:hint="default" w:ascii="Arial" w:hAnsi="Arial" w:eastAsia="Arial" w:cs="Arial"/>
          <w:i w:val="0"/>
          <w:iCs w:val="0"/>
          <w:caps w:val="0"/>
          <w:color w:val="2E2E2E"/>
          <w:spacing w:val="0"/>
          <w:sz w:val="21"/>
          <w:szCs w:val="21"/>
          <w:highlight w:val="yellow"/>
          <w:u w:val="none"/>
          <w:lang w:val="en-US" w:eastAsia="zh-CN"/>
        </w:rPr>
        <w:instrText xml:space="preserve"> HYPERLINK "https://www.journals.uchicago.edu/doi/full/10.1086/669584" </w:instrText>
      </w:r>
      <w:r>
        <w:rPr>
          <w:rFonts w:hint="default" w:ascii="Arial" w:hAnsi="Arial" w:eastAsia="Arial" w:cs="Arial"/>
          <w:i w:val="0"/>
          <w:iCs w:val="0"/>
          <w:caps w:val="0"/>
          <w:color w:val="2E2E2E"/>
          <w:spacing w:val="0"/>
          <w:sz w:val="21"/>
          <w:szCs w:val="21"/>
          <w:highlight w:val="yellow"/>
          <w:u w:val="none"/>
          <w:lang w:val="en-US" w:eastAsia="zh-CN"/>
        </w:rPr>
        <w:fldChar w:fldCharType="separate"/>
      </w:r>
      <w:r>
        <w:rPr>
          <w:rStyle w:val="8"/>
          <w:rFonts w:hint="default" w:ascii="Arial" w:hAnsi="Arial" w:eastAsia="Arial" w:cs="Arial"/>
          <w:i w:val="0"/>
          <w:iCs w:val="0"/>
          <w:caps w:val="0"/>
          <w:color w:val="2E2E2E"/>
          <w:spacing w:val="0"/>
          <w:sz w:val="21"/>
          <w:szCs w:val="21"/>
          <w:highlight w:val="yellow"/>
          <w:lang w:val="en-US" w:eastAsia="zh-CN"/>
        </w:rPr>
        <w:t>https://www.journals.uchicago.edu/doi/full/10.1086/669584</w:t>
      </w:r>
      <w:r>
        <w:rPr>
          <w:rFonts w:hint="default" w:ascii="Arial" w:hAnsi="Arial" w:eastAsia="Arial" w:cs="Arial"/>
          <w:i w:val="0"/>
          <w:iCs w:val="0"/>
          <w:caps w:val="0"/>
          <w:color w:val="2E2E2E"/>
          <w:spacing w:val="0"/>
          <w:sz w:val="21"/>
          <w:szCs w:val="21"/>
          <w:highlight w:val="yellow"/>
          <w:u w:val="none"/>
          <w:lang w:val="en-US" w:eastAsia="zh-CN"/>
        </w:rPr>
        <w:fldChar w:fldCharType="end"/>
      </w:r>
    </w:p>
    <w:p>
      <w:pPr>
        <w:widowControl w:val="0"/>
        <w:numPr>
          <w:ilvl w:val="0"/>
          <w:numId w:val="0"/>
        </w:numPr>
        <w:jc w:val="both"/>
        <w:rPr>
          <w:rFonts w:hint="default" w:ascii="Arial" w:hAnsi="Arial" w:eastAsia="Arial" w:cs="Arial"/>
          <w:i w:val="0"/>
          <w:iCs w:val="0"/>
          <w:caps w:val="0"/>
          <w:color w:val="2E2E2E"/>
          <w:spacing w:val="0"/>
          <w:sz w:val="21"/>
          <w:szCs w:val="21"/>
          <w:highlight w:val="yellow"/>
          <w:u w:val="none"/>
          <w:lang w:val="en-US" w:eastAsia="zh-CN"/>
        </w:rPr>
      </w:pPr>
      <w:r>
        <w:rPr>
          <w:rFonts w:hint="default" w:ascii="Arial" w:hAnsi="Arial" w:eastAsia="Arial" w:cs="Arial"/>
          <w:i w:val="0"/>
          <w:iCs w:val="0"/>
          <w:caps w:val="0"/>
          <w:color w:val="2E2E2E"/>
          <w:spacing w:val="0"/>
          <w:sz w:val="21"/>
          <w:szCs w:val="21"/>
          <w:highlight w:val="yellow"/>
          <w:u w:val="none"/>
          <w:lang w:val="en-US" w:eastAsia="zh-CN"/>
        </w:rPr>
        <w:fldChar w:fldCharType="begin"/>
      </w:r>
      <w:r>
        <w:rPr>
          <w:rFonts w:hint="default" w:ascii="Arial" w:hAnsi="Arial" w:eastAsia="Arial" w:cs="Arial"/>
          <w:i w:val="0"/>
          <w:iCs w:val="0"/>
          <w:caps w:val="0"/>
          <w:color w:val="2E2E2E"/>
          <w:spacing w:val="0"/>
          <w:sz w:val="21"/>
          <w:szCs w:val="21"/>
          <w:highlight w:val="yellow"/>
          <w:u w:val="none"/>
          <w:lang w:val="en-US" w:eastAsia="zh-CN"/>
        </w:rPr>
        <w:instrText xml:space="preserve"> HYPERLINK "https://sci-hub.se/https:/doi.org/10.1016/j.jimonfin.2015.07.001" </w:instrText>
      </w:r>
      <w:r>
        <w:rPr>
          <w:rFonts w:hint="default" w:ascii="Arial" w:hAnsi="Arial" w:eastAsia="Arial" w:cs="Arial"/>
          <w:i w:val="0"/>
          <w:iCs w:val="0"/>
          <w:caps w:val="0"/>
          <w:color w:val="2E2E2E"/>
          <w:spacing w:val="0"/>
          <w:sz w:val="21"/>
          <w:szCs w:val="21"/>
          <w:highlight w:val="yellow"/>
          <w:u w:val="none"/>
          <w:lang w:val="en-US" w:eastAsia="zh-CN"/>
        </w:rPr>
        <w:fldChar w:fldCharType="separate"/>
      </w:r>
      <w:r>
        <w:rPr>
          <w:rStyle w:val="8"/>
          <w:rFonts w:hint="default" w:ascii="Arial" w:hAnsi="Arial" w:eastAsia="Arial" w:cs="Arial"/>
          <w:i w:val="0"/>
          <w:iCs w:val="0"/>
          <w:caps w:val="0"/>
          <w:color w:val="2E2E2E"/>
          <w:spacing w:val="0"/>
          <w:sz w:val="21"/>
          <w:szCs w:val="21"/>
          <w:highlight w:val="yellow"/>
          <w:lang w:val="en-US" w:eastAsia="zh-CN"/>
        </w:rPr>
        <w:t>https://sci-hub.se/https://doi.org/10.1016/j.jimonfin.2015.07.001</w:t>
      </w:r>
      <w:r>
        <w:rPr>
          <w:rFonts w:hint="default" w:ascii="Arial" w:hAnsi="Arial" w:eastAsia="Arial" w:cs="Arial"/>
          <w:i w:val="0"/>
          <w:iCs w:val="0"/>
          <w:caps w:val="0"/>
          <w:color w:val="2E2E2E"/>
          <w:spacing w:val="0"/>
          <w:sz w:val="21"/>
          <w:szCs w:val="21"/>
          <w:highlight w:val="yellow"/>
          <w:u w:val="none"/>
          <w:lang w:val="en-US" w:eastAsia="zh-CN"/>
        </w:rPr>
        <w:fldChar w:fldCharType="end"/>
      </w:r>
    </w:p>
    <w:p>
      <w:pPr>
        <w:widowControl w:val="0"/>
        <w:numPr>
          <w:ilvl w:val="0"/>
          <w:numId w:val="0"/>
        </w:numPr>
        <w:jc w:val="both"/>
        <w:rPr>
          <w:rFonts w:hint="eastAsia" w:ascii="Arial" w:hAnsi="Arial" w:eastAsia="宋体" w:cs="Arial"/>
          <w:i w:val="0"/>
          <w:iCs w:val="0"/>
          <w:caps w:val="0"/>
          <w:color w:val="2E2E2E"/>
          <w:spacing w:val="0"/>
          <w:sz w:val="21"/>
          <w:szCs w:val="21"/>
          <w:u w:val="none"/>
          <w:lang w:val="en-US" w:eastAsia="zh-CN"/>
        </w:rPr>
      </w:pPr>
      <w:r>
        <w:rPr>
          <w:rFonts w:ascii="Arial" w:hAnsi="Arial" w:eastAsia="Arial" w:cs="Arial"/>
          <w:i w:val="0"/>
          <w:iCs w:val="0"/>
          <w:caps w:val="0"/>
          <w:color w:val="2E2E2E"/>
          <w:spacing w:val="0"/>
          <w:sz w:val="21"/>
          <w:szCs w:val="21"/>
          <w:highlight w:val="yellow"/>
          <w:u w:val="none"/>
        </w:rPr>
        <w:fldChar w:fldCharType="begin"/>
      </w:r>
      <w:r>
        <w:rPr>
          <w:rFonts w:ascii="Arial" w:hAnsi="Arial" w:eastAsia="Arial" w:cs="Arial"/>
          <w:i w:val="0"/>
          <w:iCs w:val="0"/>
          <w:caps w:val="0"/>
          <w:color w:val="2E2E2E"/>
          <w:spacing w:val="0"/>
          <w:sz w:val="21"/>
          <w:szCs w:val="21"/>
          <w:highlight w:val="yellow"/>
          <w:u w:val="none"/>
        </w:rPr>
        <w:instrText xml:space="preserve"> HYPERLINK "https://doi.org/10.1016/j.ejpoleco.2016.06.003" \o "Persistent link using digital object identifier" \t "https://www.sciencedirect.com/science/article/abs/pii/_blank" </w:instrText>
      </w:r>
      <w:r>
        <w:rPr>
          <w:rFonts w:ascii="Arial" w:hAnsi="Arial" w:eastAsia="Arial" w:cs="Arial"/>
          <w:i w:val="0"/>
          <w:iCs w:val="0"/>
          <w:caps w:val="0"/>
          <w:color w:val="2E2E2E"/>
          <w:spacing w:val="0"/>
          <w:sz w:val="21"/>
          <w:szCs w:val="21"/>
          <w:highlight w:val="yellow"/>
          <w:u w:val="none"/>
        </w:rPr>
        <w:fldChar w:fldCharType="separate"/>
      </w:r>
      <w:r>
        <w:rPr>
          <w:rStyle w:val="8"/>
          <w:rFonts w:hint="default" w:ascii="Arial" w:hAnsi="Arial" w:eastAsia="Arial" w:cs="Arial"/>
          <w:i w:val="0"/>
          <w:iCs w:val="0"/>
          <w:caps w:val="0"/>
          <w:color w:val="2E2E2E"/>
          <w:spacing w:val="0"/>
          <w:sz w:val="21"/>
          <w:szCs w:val="21"/>
          <w:highlight w:val="yellow"/>
          <w:u w:val="none"/>
        </w:rPr>
        <w:t>https://doi.org/10.1016/j.ejpoleco.2016.06.003</w:t>
      </w:r>
      <w:r>
        <w:rPr>
          <w:rFonts w:hint="default" w:ascii="Arial" w:hAnsi="Arial" w:eastAsia="Arial" w:cs="Arial"/>
          <w:i w:val="0"/>
          <w:iCs w:val="0"/>
          <w:caps w:val="0"/>
          <w:color w:val="2E2E2E"/>
          <w:spacing w:val="0"/>
          <w:sz w:val="21"/>
          <w:szCs w:val="21"/>
          <w:highlight w:val="yellow"/>
          <w:u w:val="none"/>
        </w:rPr>
        <w:fldChar w:fldCharType="end"/>
      </w:r>
      <w:r>
        <w:rPr>
          <w:rFonts w:hint="eastAsia" w:ascii="Arial" w:hAnsi="Arial" w:eastAsia="宋体" w:cs="Arial"/>
          <w:i w:val="0"/>
          <w:iCs w:val="0"/>
          <w:caps w:val="0"/>
          <w:color w:val="2E2E2E"/>
          <w:spacing w:val="0"/>
          <w:sz w:val="21"/>
          <w:szCs w:val="21"/>
          <w:u w:val="none"/>
          <w:lang w:val="en-US" w:eastAsia="zh-CN"/>
        </w:rPr>
        <w:t>---policy uncertainty</w:t>
      </w:r>
    </w:p>
    <w:p>
      <w:pPr>
        <w:widowControl w:val="0"/>
        <w:numPr>
          <w:ilvl w:val="0"/>
          <w:numId w:val="0"/>
        </w:numPr>
        <w:jc w:val="both"/>
        <w:rPr>
          <w:rFonts w:hint="default" w:ascii="Arial" w:hAnsi="Arial" w:eastAsia="宋体" w:cs="Arial"/>
          <w:i w:val="0"/>
          <w:iCs w:val="0"/>
          <w:caps w:val="0"/>
          <w:color w:val="2E2E2E"/>
          <w:spacing w:val="0"/>
          <w:sz w:val="21"/>
          <w:szCs w:val="21"/>
          <w:u w:val="none"/>
          <w:lang w:val="en-US" w:eastAsia="zh-CN"/>
        </w:rPr>
      </w:pP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eastAsia" w:ascii="Arial" w:hAnsi="Arial" w:eastAsia="Arial" w:cs="Arial"/>
          <w:i w:val="0"/>
          <w:iCs w:val="0"/>
          <w:caps w:val="0"/>
          <w:color w:val="2E2E2E"/>
          <w:spacing w:val="0"/>
          <w:sz w:val="21"/>
          <w:szCs w:val="21"/>
          <w:u w:val="none"/>
          <w:lang w:val="en-US" w:eastAsia="zh-CN"/>
        </w:rPr>
      </w:pPr>
      <w:r>
        <w:rPr>
          <w:rFonts w:hint="eastAsia" w:ascii="Arial" w:hAnsi="Arial" w:eastAsia="Arial" w:cs="Arial"/>
          <w:i w:val="0"/>
          <w:iCs w:val="0"/>
          <w:color w:val="2E2E2E"/>
          <w:spacing w:val="0"/>
          <w:sz w:val="21"/>
          <w:szCs w:val="21"/>
          <w:u w:val="none"/>
          <w:lang w:val="en-US" w:eastAsia="zh-CN"/>
        </w:rPr>
        <w:t>E</w:t>
      </w:r>
      <w:r>
        <w:rPr>
          <w:rFonts w:hint="eastAsia" w:ascii="Arial" w:hAnsi="Arial" w:eastAsia="Arial" w:cs="Arial"/>
          <w:i w:val="0"/>
          <w:iCs w:val="0"/>
          <w:caps w:val="0"/>
          <w:color w:val="2E2E2E"/>
          <w:spacing w:val="0"/>
          <w:sz w:val="21"/>
          <w:szCs w:val="21"/>
          <w:u w:val="none"/>
          <w:lang w:val="en-US" w:eastAsia="zh-CN"/>
        </w:rPr>
        <w:t>xchange rate itself as an input(no other explanatory variables)</w:t>
      </w: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r>
        <w:rPr>
          <w:rFonts w:hint="default" w:ascii="Arial" w:hAnsi="Arial" w:eastAsia="Arial" w:cs="Arial"/>
          <w:i w:val="0"/>
          <w:iCs w:val="0"/>
          <w:caps w:val="0"/>
          <w:color w:val="2E2E2E"/>
          <w:spacing w:val="0"/>
          <w:sz w:val="21"/>
          <w:szCs w:val="21"/>
          <w:u w:val="none"/>
          <w:lang w:val="en-US" w:eastAsia="zh-CN"/>
        </w:rPr>
        <w:fldChar w:fldCharType="begin"/>
      </w:r>
      <w:r>
        <w:rPr>
          <w:rFonts w:hint="default" w:ascii="Arial" w:hAnsi="Arial" w:eastAsia="Arial" w:cs="Arial"/>
          <w:i w:val="0"/>
          <w:iCs w:val="0"/>
          <w:caps w:val="0"/>
          <w:color w:val="2E2E2E"/>
          <w:spacing w:val="0"/>
          <w:sz w:val="21"/>
          <w:szCs w:val="21"/>
          <w:u w:val="none"/>
          <w:lang w:val="en-US" w:eastAsia="zh-CN"/>
        </w:rPr>
        <w:instrText xml:space="preserve"> HYPERLINK "https://sci-hub.se/https:/doi.org/10.1016/j.dss.2005.09.001" </w:instrText>
      </w:r>
      <w:r>
        <w:rPr>
          <w:rFonts w:hint="default" w:ascii="Arial" w:hAnsi="Arial" w:eastAsia="Arial" w:cs="Arial"/>
          <w:i w:val="0"/>
          <w:iCs w:val="0"/>
          <w:caps w:val="0"/>
          <w:color w:val="2E2E2E"/>
          <w:spacing w:val="0"/>
          <w:sz w:val="21"/>
          <w:szCs w:val="21"/>
          <w:u w:val="none"/>
          <w:lang w:val="en-US" w:eastAsia="zh-CN"/>
        </w:rPr>
        <w:fldChar w:fldCharType="separate"/>
      </w:r>
      <w:r>
        <w:rPr>
          <w:rStyle w:val="8"/>
          <w:rFonts w:hint="default" w:ascii="Arial" w:hAnsi="Arial" w:eastAsia="Arial" w:cs="Arial"/>
          <w:i w:val="0"/>
          <w:iCs w:val="0"/>
          <w:caps w:val="0"/>
          <w:color w:val="2E2E2E"/>
          <w:spacing w:val="0"/>
          <w:sz w:val="21"/>
          <w:szCs w:val="21"/>
          <w:lang w:val="en-US" w:eastAsia="zh-CN"/>
        </w:rPr>
        <w:t>https://sci-hub.se/https://doi.org/10.1016/j.dss.2005.09.001</w:t>
      </w:r>
      <w:r>
        <w:rPr>
          <w:rFonts w:hint="default" w:ascii="Arial" w:hAnsi="Arial" w:eastAsia="Arial" w:cs="Arial"/>
          <w:i w:val="0"/>
          <w:iCs w:val="0"/>
          <w:caps w:val="0"/>
          <w:color w:val="2E2E2E"/>
          <w:spacing w:val="0"/>
          <w:sz w:val="21"/>
          <w:szCs w:val="21"/>
          <w:u w:val="none"/>
          <w:lang w:val="en-US" w:eastAsia="zh-CN"/>
        </w:rPr>
        <w:fldChar w:fldCharType="end"/>
      </w: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r>
        <w:rPr>
          <w:rFonts w:hint="default" w:ascii="Arial" w:hAnsi="Arial" w:eastAsia="Arial" w:cs="Arial"/>
          <w:i w:val="0"/>
          <w:iCs w:val="0"/>
          <w:caps w:val="0"/>
          <w:color w:val="2E2E2E"/>
          <w:spacing w:val="0"/>
          <w:sz w:val="21"/>
          <w:szCs w:val="21"/>
          <w:u w:val="none"/>
          <w:lang w:val="en-US" w:eastAsia="zh-CN"/>
        </w:rPr>
        <w:fldChar w:fldCharType="begin"/>
      </w:r>
      <w:r>
        <w:rPr>
          <w:rFonts w:hint="default" w:ascii="Arial" w:hAnsi="Arial" w:eastAsia="Arial" w:cs="Arial"/>
          <w:i w:val="0"/>
          <w:iCs w:val="0"/>
          <w:caps w:val="0"/>
          <w:color w:val="2E2E2E"/>
          <w:spacing w:val="0"/>
          <w:sz w:val="21"/>
          <w:szCs w:val="21"/>
          <w:u w:val="none"/>
          <w:lang w:val="en-US" w:eastAsia="zh-CN"/>
        </w:rPr>
        <w:instrText xml:space="preserve"> HYPERLINK "https://sci-hub.se/https:/doi.org/10.1016/j.eswa.2009.03.057" </w:instrText>
      </w:r>
      <w:r>
        <w:rPr>
          <w:rFonts w:hint="default" w:ascii="Arial" w:hAnsi="Arial" w:eastAsia="Arial" w:cs="Arial"/>
          <w:i w:val="0"/>
          <w:iCs w:val="0"/>
          <w:caps w:val="0"/>
          <w:color w:val="2E2E2E"/>
          <w:spacing w:val="0"/>
          <w:sz w:val="21"/>
          <w:szCs w:val="21"/>
          <w:u w:val="none"/>
          <w:lang w:val="en-US" w:eastAsia="zh-CN"/>
        </w:rPr>
        <w:fldChar w:fldCharType="separate"/>
      </w:r>
      <w:r>
        <w:rPr>
          <w:rStyle w:val="8"/>
          <w:rFonts w:hint="default" w:ascii="Arial" w:hAnsi="Arial" w:eastAsia="Arial" w:cs="Arial"/>
          <w:i w:val="0"/>
          <w:iCs w:val="0"/>
          <w:caps w:val="0"/>
          <w:color w:val="2E2E2E"/>
          <w:spacing w:val="0"/>
          <w:sz w:val="21"/>
          <w:szCs w:val="21"/>
          <w:lang w:val="en-US" w:eastAsia="zh-CN"/>
        </w:rPr>
        <w:t>https://sci-hub.se/https://doi.org/10.1016/j.eswa.2009.03.057</w:t>
      </w:r>
      <w:r>
        <w:rPr>
          <w:rFonts w:hint="default" w:ascii="Arial" w:hAnsi="Arial" w:eastAsia="Arial" w:cs="Arial"/>
          <w:i w:val="0"/>
          <w:iCs w:val="0"/>
          <w:caps w:val="0"/>
          <w:color w:val="2E2E2E"/>
          <w:spacing w:val="0"/>
          <w:sz w:val="21"/>
          <w:szCs w:val="21"/>
          <w:u w:val="none"/>
          <w:lang w:val="en-US" w:eastAsia="zh-CN"/>
        </w:rPr>
        <w:fldChar w:fldCharType="end"/>
      </w: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eastAsia" w:ascii="Arial" w:hAnsi="Arial" w:eastAsia="Arial" w:cs="Arial"/>
          <w:i w:val="0"/>
          <w:iCs w:val="0"/>
          <w:caps w:val="0"/>
          <w:color w:val="2E2E2E"/>
          <w:spacing w:val="0"/>
          <w:sz w:val="21"/>
          <w:szCs w:val="21"/>
          <w:u w:val="none"/>
          <w:lang w:val="en-US" w:eastAsia="zh-CN"/>
        </w:rPr>
      </w:pPr>
      <w:r>
        <w:rPr>
          <w:rFonts w:hint="eastAsia" w:ascii="Arial" w:hAnsi="Arial" w:eastAsia="Arial" w:cs="Arial"/>
          <w:i w:val="0"/>
          <w:iCs w:val="0"/>
          <w:caps w:val="0"/>
          <w:color w:val="2E2E2E"/>
          <w:spacing w:val="0"/>
          <w:sz w:val="21"/>
          <w:szCs w:val="21"/>
          <w:u w:val="none"/>
          <w:lang w:val="en-US" w:eastAsia="zh-CN"/>
        </w:rPr>
        <w:t>Financial:</w:t>
      </w:r>
    </w:p>
    <w:p>
      <w:pPr>
        <w:widowControl w:val="0"/>
        <w:numPr>
          <w:ilvl w:val="0"/>
          <w:numId w:val="0"/>
        </w:numPr>
        <w:jc w:val="both"/>
        <w:rPr>
          <w:rFonts w:hint="default" w:ascii="Arial" w:hAnsi="Arial" w:eastAsia="Arial" w:cs="Arial"/>
          <w:i w:val="0"/>
          <w:iCs w:val="0"/>
          <w:caps w:val="0"/>
          <w:color w:val="2E2E2E"/>
          <w:spacing w:val="0"/>
          <w:sz w:val="21"/>
          <w:szCs w:val="21"/>
          <w:highlight w:val="yellow"/>
          <w:u w:val="none"/>
          <w:lang w:val="en-US" w:eastAsia="zh-CN"/>
        </w:rPr>
      </w:pPr>
      <w:r>
        <w:rPr>
          <w:rFonts w:hint="default" w:ascii="Arial" w:hAnsi="Arial" w:eastAsia="Arial" w:cs="Arial"/>
          <w:i w:val="0"/>
          <w:iCs w:val="0"/>
          <w:caps w:val="0"/>
          <w:color w:val="2E2E2E"/>
          <w:spacing w:val="0"/>
          <w:sz w:val="21"/>
          <w:szCs w:val="21"/>
          <w:highlight w:val="yellow"/>
          <w:u w:val="none"/>
          <w:lang w:val="en-US" w:eastAsia="zh-CN"/>
        </w:rPr>
        <w:fldChar w:fldCharType="begin"/>
      </w:r>
      <w:r>
        <w:rPr>
          <w:rFonts w:hint="default" w:ascii="Arial" w:hAnsi="Arial" w:eastAsia="Arial" w:cs="Arial"/>
          <w:i w:val="0"/>
          <w:iCs w:val="0"/>
          <w:caps w:val="0"/>
          <w:color w:val="2E2E2E"/>
          <w:spacing w:val="0"/>
          <w:sz w:val="21"/>
          <w:szCs w:val="21"/>
          <w:highlight w:val="yellow"/>
          <w:u w:val="none"/>
          <w:lang w:val="en-US" w:eastAsia="zh-CN"/>
        </w:rPr>
        <w:instrText xml:space="preserve"> HYPERLINK "https://www.sciencedirect.com/science/article/pii/S2214845020300351" </w:instrText>
      </w:r>
      <w:r>
        <w:rPr>
          <w:rFonts w:hint="default" w:ascii="Arial" w:hAnsi="Arial" w:eastAsia="Arial" w:cs="Arial"/>
          <w:i w:val="0"/>
          <w:iCs w:val="0"/>
          <w:caps w:val="0"/>
          <w:color w:val="2E2E2E"/>
          <w:spacing w:val="0"/>
          <w:sz w:val="21"/>
          <w:szCs w:val="21"/>
          <w:highlight w:val="yellow"/>
          <w:u w:val="none"/>
          <w:lang w:val="en-US" w:eastAsia="zh-CN"/>
        </w:rPr>
        <w:fldChar w:fldCharType="separate"/>
      </w:r>
      <w:r>
        <w:rPr>
          <w:rStyle w:val="8"/>
          <w:rFonts w:hint="default" w:ascii="Arial" w:hAnsi="Arial" w:eastAsia="Arial" w:cs="Arial"/>
          <w:i w:val="0"/>
          <w:iCs w:val="0"/>
          <w:caps w:val="0"/>
          <w:color w:val="2E2E2E"/>
          <w:spacing w:val="0"/>
          <w:sz w:val="21"/>
          <w:szCs w:val="21"/>
          <w:highlight w:val="yellow"/>
          <w:lang w:val="en-US" w:eastAsia="zh-CN"/>
        </w:rPr>
        <w:t>https://www.sciencedirect.com/science/article/pii/S2214845020300351</w:t>
      </w:r>
      <w:r>
        <w:rPr>
          <w:rFonts w:hint="default" w:ascii="Arial" w:hAnsi="Arial" w:eastAsia="Arial" w:cs="Arial"/>
          <w:i w:val="0"/>
          <w:iCs w:val="0"/>
          <w:caps w:val="0"/>
          <w:color w:val="2E2E2E"/>
          <w:spacing w:val="0"/>
          <w:sz w:val="21"/>
          <w:szCs w:val="21"/>
          <w:highlight w:val="yellow"/>
          <w:u w:val="none"/>
          <w:lang w:val="en-US" w:eastAsia="zh-CN"/>
        </w:rPr>
        <w:fldChar w:fldCharType="end"/>
      </w:r>
    </w:p>
    <w:p>
      <w:pPr>
        <w:widowControl w:val="0"/>
        <w:numPr>
          <w:ilvl w:val="0"/>
          <w:numId w:val="0"/>
        </w:numPr>
        <w:jc w:val="both"/>
        <w:rPr>
          <w:rFonts w:hint="eastAsia" w:ascii="Arial" w:hAnsi="Arial" w:eastAsia="宋体" w:cs="Arial"/>
          <w:i w:val="0"/>
          <w:iCs w:val="0"/>
          <w:caps w:val="0"/>
          <w:color w:val="2E2E2E"/>
          <w:spacing w:val="0"/>
          <w:sz w:val="21"/>
          <w:szCs w:val="21"/>
          <w:u w:val="none"/>
          <w:lang w:val="en-US" w:eastAsia="zh-CN"/>
        </w:rPr>
      </w:pPr>
      <w:r>
        <w:rPr>
          <w:rFonts w:ascii="Arial" w:hAnsi="Arial" w:eastAsia="Arial" w:cs="Arial"/>
          <w:i w:val="0"/>
          <w:iCs w:val="0"/>
          <w:caps w:val="0"/>
          <w:color w:val="2E2E2E"/>
          <w:spacing w:val="0"/>
          <w:sz w:val="21"/>
          <w:szCs w:val="21"/>
          <w:highlight w:val="yellow"/>
          <w:u w:val="none"/>
        </w:rPr>
        <w:fldChar w:fldCharType="begin"/>
      </w:r>
      <w:r>
        <w:rPr>
          <w:rFonts w:ascii="Arial" w:hAnsi="Arial" w:eastAsia="Arial" w:cs="Arial"/>
          <w:i w:val="0"/>
          <w:iCs w:val="0"/>
          <w:caps w:val="0"/>
          <w:color w:val="2E2E2E"/>
          <w:spacing w:val="0"/>
          <w:sz w:val="21"/>
          <w:szCs w:val="21"/>
          <w:highlight w:val="yellow"/>
          <w:u w:val="none"/>
        </w:rPr>
        <w:instrText xml:space="preserve"> HYPERLINK "https://doi.org/10.1016/j.mcm.2012.10.004" \o "Persistent link using digital object identifier" \t "https://www.sciencedirect.com/science/article/pii/_blank" </w:instrText>
      </w:r>
      <w:r>
        <w:rPr>
          <w:rFonts w:ascii="Arial" w:hAnsi="Arial" w:eastAsia="Arial" w:cs="Arial"/>
          <w:i w:val="0"/>
          <w:iCs w:val="0"/>
          <w:caps w:val="0"/>
          <w:color w:val="2E2E2E"/>
          <w:spacing w:val="0"/>
          <w:sz w:val="21"/>
          <w:szCs w:val="21"/>
          <w:highlight w:val="yellow"/>
          <w:u w:val="none"/>
        </w:rPr>
        <w:fldChar w:fldCharType="separate"/>
      </w:r>
      <w:r>
        <w:rPr>
          <w:rStyle w:val="8"/>
          <w:rFonts w:hint="default" w:ascii="Arial" w:hAnsi="Arial" w:eastAsia="Arial" w:cs="Arial"/>
          <w:i w:val="0"/>
          <w:iCs w:val="0"/>
          <w:caps w:val="0"/>
          <w:color w:val="2E2E2E"/>
          <w:spacing w:val="0"/>
          <w:sz w:val="21"/>
          <w:szCs w:val="21"/>
          <w:highlight w:val="yellow"/>
          <w:u w:val="none"/>
        </w:rPr>
        <w:t>https://doi.org/10.1016/j.mcm.2012.10.004</w:t>
      </w:r>
      <w:r>
        <w:rPr>
          <w:rFonts w:hint="default" w:ascii="Arial" w:hAnsi="Arial" w:eastAsia="Arial" w:cs="Arial"/>
          <w:i w:val="0"/>
          <w:iCs w:val="0"/>
          <w:caps w:val="0"/>
          <w:color w:val="2E2E2E"/>
          <w:spacing w:val="0"/>
          <w:sz w:val="21"/>
          <w:szCs w:val="21"/>
          <w:highlight w:val="yellow"/>
          <w:u w:val="none"/>
        </w:rPr>
        <w:fldChar w:fldCharType="end"/>
      </w:r>
      <w:r>
        <w:rPr>
          <w:rFonts w:hint="eastAsia" w:ascii="Arial" w:hAnsi="Arial" w:eastAsia="宋体" w:cs="Arial"/>
          <w:i w:val="0"/>
          <w:iCs w:val="0"/>
          <w:caps w:val="0"/>
          <w:color w:val="2E2E2E"/>
          <w:spacing w:val="0"/>
          <w:sz w:val="21"/>
          <w:szCs w:val="21"/>
          <w:u w:val="none"/>
          <w:lang w:val="en-US" w:eastAsia="zh-CN"/>
        </w:rPr>
        <w:t>--dow jone</w:t>
      </w:r>
    </w:p>
    <w:p>
      <w:pPr>
        <w:widowControl w:val="0"/>
        <w:numPr>
          <w:ilvl w:val="0"/>
          <w:numId w:val="0"/>
        </w:numPr>
        <w:jc w:val="both"/>
        <w:rPr>
          <w:rFonts w:hint="eastAsia" w:ascii="Arial" w:hAnsi="Arial" w:eastAsia="宋体" w:cs="Arial"/>
          <w:i w:val="0"/>
          <w:iCs w:val="0"/>
          <w:caps w:val="0"/>
          <w:color w:val="2E2E2E"/>
          <w:spacing w:val="0"/>
          <w:sz w:val="21"/>
          <w:szCs w:val="21"/>
          <w:u w:val="none"/>
          <w:lang w:val="en-US" w:eastAsia="zh-CN"/>
        </w:rPr>
      </w:pPr>
      <w:r>
        <w:rPr>
          <w:rFonts w:hint="eastAsia" w:ascii="Arial" w:hAnsi="Arial" w:eastAsia="宋体" w:cs="Arial"/>
          <w:i w:val="0"/>
          <w:iCs w:val="0"/>
          <w:caps w:val="0"/>
          <w:color w:val="2E2E2E"/>
          <w:spacing w:val="0"/>
          <w:sz w:val="21"/>
          <w:szCs w:val="21"/>
          <w:highlight w:val="yellow"/>
          <w:u w:val="none"/>
          <w:lang w:val="en-US" w:eastAsia="zh-CN"/>
        </w:rPr>
        <w:fldChar w:fldCharType="begin"/>
      </w:r>
      <w:r>
        <w:rPr>
          <w:rFonts w:hint="eastAsia" w:ascii="Arial" w:hAnsi="Arial" w:eastAsia="宋体" w:cs="Arial"/>
          <w:i w:val="0"/>
          <w:iCs w:val="0"/>
          <w:caps w:val="0"/>
          <w:color w:val="2E2E2E"/>
          <w:spacing w:val="0"/>
          <w:sz w:val="21"/>
          <w:szCs w:val="21"/>
          <w:highlight w:val="yellow"/>
          <w:u w:val="none"/>
          <w:lang w:val="en-US" w:eastAsia="zh-CN"/>
        </w:rPr>
        <w:instrText xml:space="preserve"> HYPERLINK "https://doi.org/10.1080/09603107.2012.707769" </w:instrText>
      </w:r>
      <w:r>
        <w:rPr>
          <w:rFonts w:hint="eastAsia" w:ascii="Arial" w:hAnsi="Arial" w:eastAsia="宋体" w:cs="Arial"/>
          <w:i w:val="0"/>
          <w:iCs w:val="0"/>
          <w:caps w:val="0"/>
          <w:color w:val="2E2E2E"/>
          <w:spacing w:val="0"/>
          <w:sz w:val="21"/>
          <w:szCs w:val="21"/>
          <w:highlight w:val="yellow"/>
          <w:u w:val="none"/>
          <w:lang w:val="en-US" w:eastAsia="zh-CN"/>
        </w:rPr>
        <w:fldChar w:fldCharType="separate"/>
      </w:r>
      <w:r>
        <w:rPr>
          <w:rStyle w:val="8"/>
          <w:rFonts w:hint="eastAsia" w:ascii="Arial" w:hAnsi="Arial" w:eastAsia="宋体" w:cs="Arial"/>
          <w:i w:val="0"/>
          <w:iCs w:val="0"/>
          <w:caps w:val="0"/>
          <w:spacing w:val="0"/>
          <w:sz w:val="21"/>
          <w:szCs w:val="21"/>
          <w:highlight w:val="yellow"/>
          <w:lang w:val="en-US" w:eastAsia="zh-CN"/>
        </w:rPr>
        <w:t>https://doi.org/10.1080/09603107.2012.707769</w:t>
      </w:r>
      <w:r>
        <w:rPr>
          <w:rFonts w:hint="eastAsia" w:ascii="Arial" w:hAnsi="Arial" w:eastAsia="宋体" w:cs="Arial"/>
          <w:i w:val="0"/>
          <w:iCs w:val="0"/>
          <w:caps w:val="0"/>
          <w:color w:val="2E2E2E"/>
          <w:spacing w:val="0"/>
          <w:sz w:val="21"/>
          <w:szCs w:val="21"/>
          <w:highlight w:val="yellow"/>
          <w:u w:val="none"/>
          <w:lang w:val="en-US" w:eastAsia="zh-CN"/>
        </w:rPr>
        <w:fldChar w:fldCharType="end"/>
      </w:r>
    </w:p>
    <w:p>
      <w:pPr>
        <w:widowControl w:val="0"/>
        <w:numPr>
          <w:ilvl w:val="0"/>
          <w:numId w:val="0"/>
        </w:numPr>
        <w:jc w:val="both"/>
        <w:rPr>
          <w:rFonts w:hint="default" w:ascii="sans-serif" w:hAnsi="sans-serif" w:eastAsia="sans-serif" w:cs="sans-serif"/>
          <w:i w:val="0"/>
          <w:iCs w:val="0"/>
          <w:caps w:val="0"/>
          <w:color w:val="192B6C"/>
          <w:spacing w:val="0"/>
          <w:sz w:val="21"/>
          <w:szCs w:val="21"/>
          <w:highlight w:val="yellow"/>
          <w:u w:val="none"/>
          <w:shd w:val="clear" w:fill="FFFFFF"/>
        </w:rPr>
      </w:pPr>
      <w:r>
        <w:rPr>
          <w:rFonts w:ascii="sans-serif" w:hAnsi="sans-serif" w:eastAsia="sans-serif" w:cs="sans-serif"/>
          <w:i w:val="0"/>
          <w:iCs w:val="0"/>
          <w:caps w:val="0"/>
          <w:color w:val="192B6C"/>
          <w:spacing w:val="0"/>
          <w:sz w:val="21"/>
          <w:szCs w:val="21"/>
          <w:highlight w:val="yellow"/>
          <w:u w:val="none"/>
          <w:shd w:val="clear" w:fill="FFFFFF"/>
        </w:rPr>
        <w:fldChar w:fldCharType="begin"/>
      </w:r>
      <w:r>
        <w:rPr>
          <w:rFonts w:ascii="sans-serif" w:hAnsi="sans-serif" w:eastAsia="sans-serif" w:cs="sans-serif"/>
          <w:i w:val="0"/>
          <w:iCs w:val="0"/>
          <w:caps w:val="0"/>
          <w:color w:val="192B6C"/>
          <w:spacing w:val="0"/>
          <w:sz w:val="21"/>
          <w:szCs w:val="21"/>
          <w:highlight w:val="yellow"/>
          <w:u w:val="none"/>
          <w:shd w:val="clear" w:fill="FFFFFF"/>
        </w:rPr>
        <w:instrText xml:space="preserve"> HYPERLINK "https://doi.org/10.1142/S021962200700237X" </w:instrText>
      </w:r>
      <w:r>
        <w:rPr>
          <w:rFonts w:ascii="sans-serif" w:hAnsi="sans-serif" w:eastAsia="sans-serif" w:cs="sans-serif"/>
          <w:i w:val="0"/>
          <w:iCs w:val="0"/>
          <w:caps w:val="0"/>
          <w:color w:val="192B6C"/>
          <w:spacing w:val="0"/>
          <w:sz w:val="21"/>
          <w:szCs w:val="21"/>
          <w:highlight w:val="yellow"/>
          <w:u w:val="none"/>
          <w:shd w:val="clear" w:fill="FFFFFF"/>
        </w:rPr>
        <w:fldChar w:fldCharType="separate"/>
      </w:r>
      <w:r>
        <w:rPr>
          <w:rStyle w:val="8"/>
          <w:rFonts w:hint="default" w:ascii="sans-serif" w:hAnsi="sans-serif" w:eastAsia="sans-serif" w:cs="sans-serif"/>
          <w:i w:val="0"/>
          <w:iCs w:val="0"/>
          <w:caps w:val="0"/>
          <w:color w:val="192B6C"/>
          <w:spacing w:val="0"/>
          <w:sz w:val="21"/>
          <w:szCs w:val="21"/>
          <w:highlight w:val="yellow"/>
          <w:u w:val="none"/>
          <w:shd w:val="clear" w:fill="FFFFFF"/>
        </w:rPr>
        <w:t>https://doi.org/10.1142/S021962200700237X</w:t>
      </w:r>
      <w:r>
        <w:rPr>
          <w:rFonts w:hint="default" w:ascii="sans-serif" w:hAnsi="sans-serif" w:eastAsia="sans-serif" w:cs="sans-serif"/>
          <w:i w:val="0"/>
          <w:iCs w:val="0"/>
          <w:caps w:val="0"/>
          <w:color w:val="192B6C"/>
          <w:spacing w:val="0"/>
          <w:sz w:val="21"/>
          <w:szCs w:val="21"/>
          <w:highlight w:val="yellow"/>
          <w:u w:val="none"/>
          <w:shd w:val="clear" w:fill="FFFFFF"/>
        </w:rPr>
        <w:fldChar w:fldCharType="end"/>
      </w:r>
    </w:p>
    <w:p>
      <w:pPr>
        <w:widowControl w:val="0"/>
        <w:numPr>
          <w:ilvl w:val="0"/>
          <w:numId w:val="0"/>
        </w:numPr>
        <w:jc w:val="both"/>
        <w:rPr>
          <w:rFonts w:hint="default" w:ascii="sans-serif" w:hAnsi="sans-serif" w:eastAsia="sans-serif" w:cs="sans-serif"/>
          <w:i w:val="0"/>
          <w:iCs w:val="0"/>
          <w:color w:val="192B6C"/>
          <w:spacing w:val="0"/>
          <w:sz w:val="21"/>
          <w:szCs w:val="21"/>
          <w:highlight w:val="yellow"/>
          <w:u w:val="none"/>
          <w:shd w:val="clear" w:color="auto" w:fill="auto"/>
          <w:lang w:val="en-US" w:eastAsia="zh-CN"/>
        </w:rPr>
      </w:pPr>
      <w:r>
        <w:rPr>
          <w:rFonts w:hint="default" w:ascii="sans-serif" w:hAnsi="sans-serif" w:eastAsia="sans-serif" w:cs="sans-serif"/>
          <w:i w:val="0"/>
          <w:iCs w:val="0"/>
          <w:color w:val="192B6C"/>
          <w:spacing w:val="0"/>
          <w:sz w:val="21"/>
          <w:szCs w:val="21"/>
          <w:highlight w:val="yellow"/>
          <w:u w:val="none"/>
          <w:shd w:val="clear" w:color="auto" w:fill="auto"/>
          <w:lang w:val="en-US" w:eastAsia="zh-CN"/>
        </w:rPr>
        <w:t xml:space="preserve">Neural </w:t>
      </w:r>
      <w:r>
        <w:rPr>
          <w:rFonts w:hint="eastAsia" w:ascii="sans-serif" w:hAnsi="sans-serif" w:eastAsia="sans-serif" w:cs="sans-serif"/>
          <w:i w:val="0"/>
          <w:iCs w:val="0"/>
          <w:color w:val="192B6C"/>
          <w:spacing w:val="0"/>
          <w:sz w:val="21"/>
          <w:szCs w:val="21"/>
          <w:highlight w:val="yellow"/>
          <w:u w:val="none"/>
          <w:shd w:val="clear" w:color="auto" w:fill="auto"/>
          <w:lang w:val="en-US" w:eastAsia="zh-CN"/>
        </w:rPr>
        <w:t>N</w:t>
      </w:r>
      <w:r>
        <w:rPr>
          <w:rFonts w:hint="default" w:ascii="sans-serif" w:hAnsi="sans-serif" w:eastAsia="sans-serif" w:cs="sans-serif"/>
          <w:i w:val="0"/>
          <w:iCs w:val="0"/>
          <w:color w:val="192B6C"/>
          <w:spacing w:val="0"/>
          <w:sz w:val="21"/>
          <w:szCs w:val="21"/>
          <w:highlight w:val="yellow"/>
          <w:u w:val="none"/>
          <w:shd w:val="clear" w:color="auto" w:fill="auto"/>
          <w:lang w:val="en-US" w:eastAsia="zh-CN"/>
        </w:rPr>
        <w:t xml:space="preserve">etworks in </w:t>
      </w:r>
      <w:r>
        <w:rPr>
          <w:rFonts w:hint="eastAsia" w:ascii="sans-serif" w:hAnsi="sans-serif" w:eastAsia="sans-serif" w:cs="sans-serif"/>
          <w:i w:val="0"/>
          <w:iCs w:val="0"/>
          <w:color w:val="192B6C"/>
          <w:spacing w:val="0"/>
          <w:sz w:val="21"/>
          <w:szCs w:val="21"/>
          <w:highlight w:val="yellow"/>
          <w:u w:val="none"/>
          <w:shd w:val="clear" w:color="auto" w:fill="auto"/>
          <w:lang w:val="en-US" w:eastAsia="zh-CN"/>
        </w:rPr>
        <w:t>F</w:t>
      </w:r>
      <w:r>
        <w:rPr>
          <w:rFonts w:hint="default" w:ascii="sans-serif" w:hAnsi="sans-serif" w:eastAsia="sans-serif" w:cs="sans-serif"/>
          <w:i w:val="0"/>
          <w:iCs w:val="0"/>
          <w:color w:val="192B6C"/>
          <w:spacing w:val="0"/>
          <w:sz w:val="21"/>
          <w:szCs w:val="21"/>
          <w:highlight w:val="yellow"/>
          <w:u w:val="none"/>
          <w:shd w:val="clear" w:color="auto" w:fill="auto"/>
          <w:lang w:val="en-US" w:eastAsia="zh-CN"/>
        </w:rPr>
        <w:t xml:space="preserve">inance and </w:t>
      </w:r>
      <w:r>
        <w:rPr>
          <w:rFonts w:hint="eastAsia" w:ascii="sans-serif" w:hAnsi="sans-serif" w:eastAsia="sans-serif" w:cs="sans-serif"/>
          <w:i w:val="0"/>
          <w:iCs w:val="0"/>
          <w:color w:val="192B6C"/>
          <w:spacing w:val="0"/>
          <w:sz w:val="21"/>
          <w:szCs w:val="21"/>
          <w:highlight w:val="yellow"/>
          <w:u w:val="none"/>
          <w:shd w:val="clear" w:color="auto" w:fill="auto"/>
          <w:lang w:val="en-US" w:eastAsia="zh-CN"/>
        </w:rPr>
        <w:t>E</w:t>
      </w:r>
      <w:r>
        <w:rPr>
          <w:rFonts w:hint="default" w:ascii="sans-serif" w:hAnsi="sans-serif" w:eastAsia="sans-serif" w:cs="sans-serif"/>
          <w:i w:val="0"/>
          <w:iCs w:val="0"/>
          <w:color w:val="192B6C"/>
          <w:spacing w:val="0"/>
          <w:sz w:val="21"/>
          <w:szCs w:val="21"/>
          <w:highlight w:val="yellow"/>
          <w:u w:val="none"/>
          <w:shd w:val="clear" w:color="auto" w:fill="auto"/>
          <w:lang w:val="en-US" w:eastAsia="zh-CN"/>
        </w:rPr>
        <w:t xml:space="preserve">conomics </w:t>
      </w:r>
      <w:r>
        <w:rPr>
          <w:rFonts w:hint="eastAsia" w:ascii="sans-serif" w:hAnsi="sans-serif" w:eastAsia="sans-serif" w:cs="sans-serif"/>
          <w:i w:val="0"/>
          <w:iCs w:val="0"/>
          <w:color w:val="192B6C"/>
          <w:spacing w:val="0"/>
          <w:sz w:val="21"/>
          <w:szCs w:val="21"/>
          <w:highlight w:val="yellow"/>
          <w:u w:val="none"/>
          <w:shd w:val="clear" w:color="auto" w:fill="auto"/>
          <w:lang w:val="en-US" w:eastAsia="zh-CN"/>
        </w:rPr>
        <w:t>F</w:t>
      </w:r>
      <w:r>
        <w:rPr>
          <w:rFonts w:hint="default" w:ascii="sans-serif" w:hAnsi="sans-serif" w:eastAsia="sans-serif" w:cs="sans-serif"/>
          <w:i w:val="0"/>
          <w:iCs w:val="0"/>
          <w:color w:val="192B6C"/>
          <w:spacing w:val="0"/>
          <w:sz w:val="21"/>
          <w:szCs w:val="21"/>
          <w:highlight w:val="yellow"/>
          <w:u w:val="none"/>
          <w:shd w:val="clear" w:color="auto" w:fill="auto"/>
          <w:lang w:val="en-US" w:eastAsia="zh-CN"/>
        </w:rPr>
        <w:t>orecasting</w:t>
      </w:r>
    </w:p>
    <w:p>
      <w:pPr>
        <w:widowControl w:val="0"/>
        <w:numPr>
          <w:ilvl w:val="0"/>
          <w:numId w:val="0"/>
        </w:numPr>
        <w:jc w:val="both"/>
        <w:rPr>
          <w:rFonts w:hint="eastAsia"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eastAsia" w:ascii="Arial" w:hAnsi="Arial" w:eastAsia="Arial" w:cs="Arial"/>
          <w:i w:val="0"/>
          <w:iCs w:val="0"/>
          <w:caps w:val="0"/>
          <w:color w:val="2E2E2E"/>
          <w:spacing w:val="0"/>
          <w:sz w:val="21"/>
          <w:szCs w:val="21"/>
          <w:u w:val="none"/>
          <w:lang w:val="en-US" w:eastAsia="zh-CN"/>
        </w:rPr>
      </w:pPr>
      <w:r>
        <w:rPr>
          <w:rFonts w:hint="eastAsia" w:ascii="Arial" w:hAnsi="Arial" w:eastAsia="Arial" w:cs="Arial"/>
          <w:i w:val="0"/>
          <w:iCs w:val="0"/>
          <w:color w:val="2E2E2E"/>
          <w:spacing w:val="0"/>
          <w:sz w:val="21"/>
          <w:szCs w:val="21"/>
          <w:u w:val="none"/>
          <w:lang w:val="en-US" w:eastAsia="zh-CN"/>
        </w:rPr>
        <w:t>S</w:t>
      </w:r>
      <w:r>
        <w:rPr>
          <w:rFonts w:hint="eastAsia" w:ascii="Arial" w:hAnsi="Arial" w:eastAsia="Arial" w:cs="Arial"/>
          <w:i w:val="0"/>
          <w:iCs w:val="0"/>
          <w:caps w:val="0"/>
          <w:color w:val="2E2E2E"/>
          <w:spacing w:val="0"/>
          <w:sz w:val="21"/>
          <w:szCs w:val="21"/>
          <w:u w:val="none"/>
          <w:lang w:val="en-US" w:eastAsia="zh-CN"/>
        </w:rPr>
        <w:t>entimental:</w:t>
      </w:r>
    </w:p>
    <w:p>
      <w:pPr>
        <w:widowControl w:val="0"/>
        <w:numPr>
          <w:ilvl w:val="0"/>
          <w:numId w:val="0"/>
        </w:numPr>
        <w:jc w:val="both"/>
      </w:pPr>
      <w:r>
        <w:rPr>
          <w:rFonts w:hint="eastAsia" w:ascii="Arial" w:hAnsi="Arial" w:eastAsia="Arial" w:cs="Arial"/>
          <w:i w:val="0"/>
          <w:iCs w:val="0"/>
          <w:color w:val="2E2E2E"/>
          <w:spacing w:val="0"/>
          <w:sz w:val="21"/>
          <w:szCs w:val="21"/>
          <w:u w:val="none"/>
          <w:lang w:val="en-US" w:eastAsia="zh-CN"/>
        </w:rPr>
        <w:t>P</w:t>
      </w:r>
      <w:r>
        <w:rPr>
          <w:rFonts w:hint="eastAsia" w:ascii="Arial" w:hAnsi="Arial" w:eastAsia="Arial" w:cs="Arial"/>
          <w:i w:val="0"/>
          <w:iCs w:val="0"/>
          <w:caps w:val="0"/>
          <w:color w:val="2E2E2E"/>
          <w:spacing w:val="0"/>
          <w:sz w:val="21"/>
          <w:szCs w:val="21"/>
          <w:u w:val="none"/>
          <w:lang w:val="en-US" w:eastAsia="zh-CN"/>
        </w:rPr>
        <w:t xml:space="preserve">ublic attention&amp; baidu index: </w:t>
      </w:r>
      <w:r>
        <w:rPr>
          <w:rFonts w:hint="eastAsia" w:ascii="Arial" w:hAnsi="Arial" w:eastAsia="Arial" w:cs="Arial"/>
          <w:i w:val="0"/>
          <w:iCs w:val="0"/>
          <w:caps w:val="0"/>
          <w:color w:val="2E2E2E"/>
          <w:spacing w:val="0"/>
          <w:sz w:val="21"/>
          <w:szCs w:val="21"/>
          <w:highlight w:val="yellow"/>
          <w:u w:val="none"/>
          <w:lang w:val="en-US" w:eastAsia="zh-CN"/>
        </w:rPr>
        <w:fldChar w:fldCharType="begin"/>
      </w:r>
      <w:r>
        <w:rPr>
          <w:rFonts w:hint="eastAsia" w:ascii="Arial" w:hAnsi="Arial" w:eastAsia="Arial" w:cs="Arial"/>
          <w:i w:val="0"/>
          <w:iCs w:val="0"/>
          <w:caps w:val="0"/>
          <w:color w:val="2E2E2E"/>
          <w:spacing w:val="0"/>
          <w:sz w:val="21"/>
          <w:szCs w:val="21"/>
          <w:highlight w:val="yellow"/>
          <w:u w:val="none"/>
          <w:lang w:val="en-US" w:eastAsia="zh-CN"/>
        </w:rPr>
        <w:instrText xml:space="preserve"> HYPERLINK "https://www.sciencedirect.com/science/article/abs/pii/S0378437122004575" </w:instrText>
      </w:r>
      <w:r>
        <w:rPr>
          <w:rFonts w:hint="eastAsia" w:ascii="Arial" w:hAnsi="Arial" w:eastAsia="Arial" w:cs="Arial"/>
          <w:i w:val="0"/>
          <w:iCs w:val="0"/>
          <w:caps w:val="0"/>
          <w:color w:val="2E2E2E"/>
          <w:spacing w:val="0"/>
          <w:sz w:val="21"/>
          <w:szCs w:val="21"/>
          <w:highlight w:val="yellow"/>
          <w:u w:val="none"/>
          <w:lang w:val="en-US" w:eastAsia="zh-CN"/>
        </w:rPr>
        <w:fldChar w:fldCharType="separate"/>
      </w:r>
      <w:r>
        <w:rPr>
          <w:rStyle w:val="8"/>
          <w:rFonts w:hint="eastAsia" w:ascii="Arial" w:hAnsi="Arial" w:eastAsia="Arial" w:cs="Arial"/>
          <w:i w:val="0"/>
          <w:iCs w:val="0"/>
          <w:caps w:val="0"/>
          <w:color w:val="2E2E2E"/>
          <w:spacing w:val="0"/>
          <w:sz w:val="21"/>
          <w:szCs w:val="21"/>
          <w:highlight w:val="yellow"/>
          <w:lang w:val="en-US" w:eastAsia="zh-CN"/>
        </w:rPr>
        <w:t>https://www.sciencedirect.com/science/article/abs/pii/S0378437122004575</w:t>
      </w:r>
      <w:r>
        <w:rPr>
          <w:rFonts w:hint="eastAsia" w:ascii="Arial" w:hAnsi="Arial" w:eastAsia="Arial" w:cs="Arial"/>
          <w:i w:val="0"/>
          <w:iCs w:val="0"/>
          <w:caps w:val="0"/>
          <w:color w:val="2E2E2E"/>
          <w:spacing w:val="0"/>
          <w:sz w:val="21"/>
          <w:szCs w:val="21"/>
          <w:highlight w:val="yellow"/>
          <w:u w:val="none"/>
          <w:lang w:val="en-US" w:eastAsia="zh-CN"/>
        </w:rPr>
        <w:fldChar w:fldCharType="end"/>
      </w:r>
    </w:p>
    <w:p>
      <w:pPr>
        <w:keepNext w:val="0"/>
        <w:keepLines w:val="0"/>
        <w:widowControl/>
        <w:suppressLineNumbers w:val="0"/>
        <w:shd w:val="clear" w:fill="FFFFFF"/>
        <w:spacing w:before="0" w:beforeAutospacing="0" w:after="0" w:afterAutospacing="0" w:line="17" w:lineRule="atLeast"/>
        <w:ind w:left="0" w:right="0" w:firstLine="0"/>
        <w:jc w:val="left"/>
        <w:rPr>
          <w:highlight w:val="yellow"/>
        </w:rPr>
      </w:pPr>
      <w:r>
        <w:rPr>
          <w:rFonts w:hint="default" w:ascii="sans-serif" w:hAnsi="sans-serif" w:eastAsia="sans-serif" w:cs="sans-serif"/>
          <w:b/>
          <w:bCs/>
          <w:i w:val="0"/>
          <w:iCs w:val="0"/>
          <w:caps w:val="0"/>
          <w:spacing w:val="0"/>
          <w:kern w:val="0"/>
          <w:sz w:val="21"/>
          <w:szCs w:val="21"/>
          <w:highlight w:val="yellow"/>
          <w:u w:val="none"/>
          <w:shd w:val="clear" w:fill="FFFFFF"/>
          <w:lang w:val="en-US" w:eastAsia="zh-CN" w:bidi="ar"/>
        </w:rPr>
        <w:fldChar w:fldCharType="begin"/>
      </w:r>
      <w:r>
        <w:rPr>
          <w:rFonts w:hint="default" w:ascii="sans-serif" w:hAnsi="sans-serif" w:eastAsia="sans-serif" w:cs="sans-serif"/>
          <w:b/>
          <w:bCs/>
          <w:i w:val="0"/>
          <w:iCs w:val="0"/>
          <w:caps w:val="0"/>
          <w:spacing w:val="0"/>
          <w:kern w:val="0"/>
          <w:sz w:val="21"/>
          <w:szCs w:val="21"/>
          <w:highlight w:val="yellow"/>
          <w:u w:val="none"/>
          <w:shd w:val="clear" w:fill="FFFFFF"/>
          <w:lang w:val="en-US" w:eastAsia="zh-CN" w:bidi="ar"/>
        </w:rPr>
        <w:instrText xml:space="preserve"> HYPERLINK "https://doi.org/10.1002/for.2500" </w:instrText>
      </w:r>
      <w:r>
        <w:rPr>
          <w:rFonts w:hint="default" w:ascii="sans-serif" w:hAnsi="sans-serif" w:eastAsia="sans-serif" w:cs="sans-serif"/>
          <w:b/>
          <w:bCs/>
          <w:i w:val="0"/>
          <w:iCs w:val="0"/>
          <w:caps w:val="0"/>
          <w:spacing w:val="0"/>
          <w:kern w:val="0"/>
          <w:sz w:val="21"/>
          <w:szCs w:val="21"/>
          <w:highlight w:val="yellow"/>
          <w:u w:val="none"/>
          <w:shd w:val="clear" w:fill="FFFFFF"/>
          <w:lang w:val="en-US" w:eastAsia="zh-CN" w:bidi="ar"/>
        </w:rPr>
        <w:fldChar w:fldCharType="separate"/>
      </w:r>
      <w:r>
        <w:rPr>
          <w:rStyle w:val="8"/>
          <w:rFonts w:hint="default" w:ascii="sans-serif" w:hAnsi="sans-serif" w:eastAsia="sans-serif" w:cs="sans-serif"/>
          <w:b/>
          <w:bCs/>
          <w:i w:val="0"/>
          <w:iCs w:val="0"/>
          <w:caps w:val="0"/>
          <w:spacing w:val="0"/>
          <w:sz w:val="21"/>
          <w:szCs w:val="21"/>
          <w:highlight w:val="yellow"/>
          <w:u w:val="none"/>
          <w:shd w:val="clear" w:fill="FFFFFF"/>
        </w:rPr>
        <w:t>https://doi.org/10.1002/for.2500</w:t>
      </w:r>
      <w:r>
        <w:rPr>
          <w:rFonts w:hint="default" w:ascii="sans-serif" w:hAnsi="sans-serif" w:eastAsia="sans-serif" w:cs="sans-serif"/>
          <w:b/>
          <w:bCs/>
          <w:i w:val="0"/>
          <w:iCs w:val="0"/>
          <w:caps w:val="0"/>
          <w:spacing w:val="0"/>
          <w:kern w:val="0"/>
          <w:sz w:val="21"/>
          <w:szCs w:val="21"/>
          <w:highlight w:val="yellow"/>
          <w:u w:val="none"/>
          <w:shd w:val="clear" w:fill="FFFFFF"/>
          <w:lang w:val="en-US" w:eastAsia="zh-CN" w:bidi="ar"/>
        </w:rPr>
        <w:fldChar w:fldCharType="end"/>
      </w:r>
    </w:p>
    <w:p>
      <w:pPr>
        <w:keepNext w:val="0"/>
        <w:keepLines w:val="0"/>
        <w:widowControl/>
        <w:suppressLineNumbers w:val="0"/>
        <w:shd w:val="clear" w:fill="FFFFFF"/>
        <w:spacing w:before="0" w:beforeAutospacing="0" w:after="0" w:afterAutospacing="0" w:line="17" w:lineRule="atLeast"/>
        <w:ind w:left="0" w:right="0" w:firstLine="0"/>
        <w:jc w:val="left"/>
        <w:rPr>
          <w:rFonts w:hint="default" w:ascii="sans-serif" w:hAnsi="sans-serif" w:eastAsia="sans-serif" w:cs="sans-serif"/>
          <w:i w:val="0"/>
          <w:iCs w:val="0"/>
          <w:caps w:val="0"/>
          <w:color w:val="767676"/>
          <w:spacing w:val="0"/>
          <w:sz w:val="21"/>
          <w:szCs w:val="21"/>
          <w:highlight w:val="yellow"/>
        </w:rPr>
      </w:pPr>
      <w:r>
        <w:rPr>
          <w:rFonts w:hint="default" w:ascii="sans-serif" w:hAnsi="sans-serif" w:eastAsia="sans-serif" w:cs="sans-serif"/>
          <w:b/>
          <w:bCs/>
          <w:i w:val="0"/>
          <w:iCs w:val="0"/>
          <w:caps w:val="0"/>
          <w:spacing w:val="0"/>
          <w:kern w:val="0"/>
          <w:sz w:val="21"/>
          <w:szCs w:val="21"/>
          <w:highlight w:val="yellow"/>
          <w:u w:val="none"/>
          <w:shd w:val="clear" w:fill="FFFFFF"/>
          <w:lang w:val="en-US" w:eastAsia="zh-CN" w:bidi="ar"/>
        </w:rPr>
        <w:fldChar w:fldCharType="begin"/>
      </w:r>
      <w:r>
        <w:rPr>
          <w:rFonts w:hint="default" w:ascii="sans-serif" w:hAnsi="sans-serif" w:eastAsia="sans-serif" w:cs="sans-serif"/>
          <w:b/>
          <w:bCs/>
          <w:i w:val="0"/>
          <w:iCs w:val="0"/>
          <w:caps w:val="0"/>
          <w:spacing w:val="0"/>
          <w:kern w:val="0"/>
          <w:sz w:val="21"/>
          <w:szCs w:val="21"/>
          <w:highlight w:val="yellow"/>
          <w:u w:val="none"/>
          <w:shd w:val="clear" w:fill="FFFFFF"/>
          <w:lang w:val="en-US" w:eastAsia="zh-CN" w:bidi="ar"/>
        </w:rPr>
        <w:instrText xml:space="preserve"> HYPERLINK "https://doi.org/10.1111/j.1468-036X.2010.00593.x" </w:instrText>
      </w:r>
      <w:r>
        <w:rPr>
          <w:rFonts w:hint="default" w:ascii="sans-serif" w:hAnsi="sans-serif" w:eastAsia="sans-serif" w:cs="sans-serif"/>
          <w:b/>
          <w:bCs/>
          <w:i w:val="0"/>
          <w:iCs w:val="0"/>
          <w:caps w:val="0"/>
          <w:spacing w:val="0"/>
          <w:kern w:val="0"/>
          <w:sz w:val="21"/>
          <w:szCs w:val="21"/>
          <w:highlight w:val="yellow"/>
          <w:u w:val="none"/>
          <w:shd w:val="clear" w:fill="FFFFFF"/>
          <w:lang w:val="en-US" w:eastAsia="zh-CN" w:bidi="ar"/>
        </w:rPr>
        <w:fldChar w:fldCharType="separate"/>
      </w:r>
      <w:r>
        <w:rPr>
          <w:rStyle w:val="8"/>
          <w:rFonts w:hint="default" w:ascii="sans-serif" w:hAnsi="sans-serif" w:eastAsia="sans-serif" w:cs="sans-serif"/>
          <w:b/>
          <w:bCs/>
          <w:i w:val="0"/>
          <w:iCs w:val="0"/>
          <w:caps w:val="0"/>
          <w:spacing w:val="0"/>
          <w:sz w:val="21"/>
          <w:szCs w:val="21"/>
          <w:highlight w:val="yellow"/>
          <w:u w:val="none"/>
          <w:shd w:val="clear" w:fill="FFFFFF"/>
        </w:rPr>
        <w:t>https://doi.org/10.1111/j.1468-036X.2010.00593.x</w:t>
      </w:r>
      <w:r>
        <w:rPr>
          <w:rFonts w:hint="default" w:ascii="sans-serif" w:hAnsi="sans-serif" w:eastAsia="sans-serif" w:cs="sans-serif"/>
          <w:b/>
          <w:bCs/>
          <w:i w:val="0"/>
          <w:iCs w:val="0"/>
          <w:caps w:val="0"/>
          <w:spacing w:val="0"/>
          <w:kern w:val="0"/>
          <w:sz w:val="21"/>
          <w:szCs w:val="21"/>
          <w:highlight w:val="yellow"/>
          <w:u w:val="none"/>
          <w:shd w:val="clear" w:fill="FFFFFF"/>
          <w:lang w:val="en-US" w:eastAsia="zh-CN" w:bidi="ar"/>
        </w:rPr>
        <w:fldChar w:fldCharType="end"/>
      </w:r>
    </w:p>
    <w:p>
      <w:pPr>
        <w:widowControl w:val="0"/>
        <w:numPr>
          <w:ilvl w:val="0"/>
          <w:numId w:val="0"/>
        </w:numPr>
        <w:jc w:val="both"/>
        <w:rPr>
          <w:rFonts w:hint="eastAsia"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r>
        <w:rPr>
          <w:rFonts w:hint="eastAsia" w:ascii="Arial" w:hAnsi="Arial" w:eastAsia="Arial" w:cs="Arial"/>
          <w:i w:val="0"/>
          <w:iCs w:val="0"/>
          <w:color w:val="2E2E2E"/>
          <w:spacing w:val="0"/>
          <w:sz w:val="21"/>
          <w:szCs w:val="21"/>
          <w:u w:val="none"/>
          <w:lang w:val="en-US" w:eastAsia="zh-CN"/>
        </w:rPr>
        <w:t>M</w:t>
      </w:r>
      <w:r>
        <w:rPr>
          <w:rFonts w:hint="eastAsia" w:ascii="Arial" w:hAnsi="Arial" w:eastAsia="Arial" w:cs="Arial"/>
          <w:i w:val="0"/>
          <w:iCs w:val="0"/>
          <w:caps w:val="0"/>
          <w:color w:val="2E2E2E"/>
          <w:spacing w:val="0"/>
          <w:sz w:val="21"/>
          <w:szCs w:val="21"/>
          <w:u w:val="none"/>
          <w:lang w:val="en-US" w:eastAsia="zh-CN"/>
        </w:rPr>
        <w:t>acroeconomics, asset market, confidence indices(all)</w:t>
      </w:r>
    </w:p>
    <w:p>
      <w:pPr>
        <w:widowControl w:val="0"/>
        <w:numPr>
          <w:ilvl w:val="0"/>
          <w:numId w:val="0"/>
        </w:numPr>
        <w:jc w:val="both"/>
        <w:rPr>
          <w:rFonts w:hint="default" w:ascii="Arial" w:hAnsi="Arial" w:eastAsia="Arial" w:cs="Arial"/>
          <w:i w:val="0"/>
          <w:iCs w:val="0"/>
          <w:caps w:val="0"/>
          <w:color w:val="2E2E2E"/>
          <w:spacing w:val="0"/>
          <w:sz w:val="21"/>
          <w:szCs w:val="21"/>
          <w:u w:val="none"/>
        </w:rPr>
      </w:pPr>
      <w:r>
        <w:rPr>
          <w:rFonts w:ascii="Arial" w:hAnsi="Arial" w:eastAsia="Arial" w:cs="Arial"/>
          <w:i w:val="0"/>
          <w:iCs w:val="0"/>
          <w:caps w:val="0"/>
          <w:color w:val="2E2E2E"/>
          <w:spacing w:val="0"/>
          <w:sz w:val="21"/>
          <w:szCs w:val="21"/>
          <w:u w:val="none"/>
        </w:rPr>
        <w:fldChar w:fldCharType="begin"/>
      </w:r>
      <w:r>
        <w:rPr>
          <w:rFonts w:ascii="Arial" w:hAnsi="Arial" w:eastAsia="Arial" w:cs="Arial"/>
          <w:i w:val="0"/>
          <w:iCs w:val="0"/>
          <w:caps w:val="0"/>
          <w:color w:val="2E2E2E"/>
          <w:spacing w:val="0"/>
          <w:sz w:val="21"/>
          <w:szCs w:val="21"/>
          <w:u w:val="none"/>
        </w:rPr>
        <w:instrText xml:space="preserve"> HYPERLINK "https://doi.org/10.1016/j.ijforecast.2012.10.007" \o "Persistent link using digital object identifier" \t "https://www.sciencedirect.com/science/article/abs/pii/_blank" </w:instrText>
      </w:r>
      <w:r>
        <w:rPr>
          <w:rFonts w:ascii="Arial" w:hAnsi="Arial" w:eastAsia="Arial" w:cs="Arial"/>
          <w:i w:val="0"/>
          <w:iCs w:val="0"/>
          <w:caps w:val="0"/>
          <w:color w:val="2E2E2E"/>
          <w:spacing w:val="0"/>
          <w:sz w:val="21"/>
          <w:szCs w:val="21"/>
          <w:u w:val="none"/>
        </w:rPr>
        <w:fldChar w:fldCharType="separate"/>
      </w:r>
      <w:r>
        <w:rPr>
          <w:rStyle w:val="8"/>
          <w:rFonts w:hint="default" w:ascii="Arial" w:hAnsi="Arial" w:eastAsia="Arial" w:cs="Arial"/>
          <w:i w:val="0"/>
          <w:iCs w:val="0"/>
          <w:caps w:val="0"/>
          <w:color w:val="2E2E2E"/>
          <w:spacing w:val="0"/>
          <w:sz w:val="21"/>
          <w:szCs w:val="21"/>
          <w:u w:val="none"/>
        </w:rPr>
        <w:t>https://doi.org/10.1016/j.ijforecast.2012.10.007</w:t>
      </w:r>
      <w:r>
        <w:rPr>
          <w:rFonts w:hint="default" w:ascii="Arial" w:hAnsi="Arial" w:eastAsia="Arial" w:cs="Arial"/>
          <w:i w:val="0"/>
          <w:iCs w:val="0"/>
          <w:caps w:val="0"/>
          <w:color w:val="2E2E2E"/>
          <w:spacing w:val="0"/>
          <w:sz w:val="21"/>
          <w:szCs w:val="21"/>
          <w:u w:val="none"/>
        </w:rPr>
        <w:fldChar w:fldCharType="end"/>
      </w: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default" w:ascii="Arial" w:hAnsi="Arial" w:eastAsia="Arial" w:cs="Arial"/>
          <w:i w:val="0"/>
          <w:iCs w:val="0"/>
          <w:caps w:val="0"/>
          <w:color w:val="2E2E2E"/>
          <w:spacing w:val="0"/>
          <w:sz w:val="21"/>
          <w:szCs w:val="21"/>
          <w:u w:val="none"/>
          <w:lang w:val="en-US" w:eastAsia="zh-CN"/>
        </w:rPr>
      </w:pPr>
    </w:p>
    <w:p>
      <w:pPr>
        <w:widowControl w:val="0"/>
        <w:numPr>
          <w:ilvl w:val="0"/>
          <w:numId w:val="0"/>
        </w:numPr>
        <w:jc w:val="both"/>
        <w:rPr>
          <w:rFonts w:hint="eastAsia" w:ascii="Arial" w:hAnsi="Arial" w:eastAsia="宋体" w:cs="Arial"/>
          <w:i w:val="0"/>
          <w:iCs w:val="0"/>
          <w:caps w:val="0"/>
          <w:color w:val="2E2E2E"/>
          <w:spacing w:val="0"/>
          <w:sz w:val="21"/>
          <w:szCs w:val="21"/>
          <w:u w:val="none"/>
          <w:lang w:val="en-US" w:eastAsia="zh-CN"/>
        </w:rPr>
      </w:pPr>
      <w:r>
        <w:rPr>
          <w:rFonts w:ascii="Arial" w:hAnsi="Arial" w:eastAsia="Arial" w:cs="Arial"/>
          <w:i w:val="0"/>
          <w:iCs w:val="0"/>
          <w:caps w:val="0"/>
          <w:color w:val="2E2E2E"/>
          <w:spacing w:val="0"/>
          <w:sz w:val="21"/>
          <w:szCs w:val="21"/>
          <w:u w:val="none"/>
        </w:rPr>
        <w:fldChar w:fldCharType="begin"/>
      </w:r>
      <w:r>
        <w:rPr>
          <w:rFonts w:ascii="Arial" w:hAnsi="Arial" w:eastAsia="Arial" w:cs="Arial"/>
          <w:i w:val="0"/>
          <w:iCs w:val="0"/>
          <w:caps w:val="0"/>
          <w:color w:val="2E2E2E"/>
          <w:spacing w:val="0"/>
          <w:sz w:val="21"/>
          <w:szCs w:val="21"/>
          <w:u w:val="none"/>
        </w:rPr>
        <w:instrText xml:space="preserve"> HYPERLINK "https://doi.org/10.1016/j.engappai.2020.103783" \o "Persistent link using digital object identifier" \t "https://www.sciencedirect.com/science/article/abs/pii/_blank" </w:instrText>
      </w:r>
      <w:r>
        <w:rPr>
          <w:rFonts w:ascii="Arial" w:hAnsi="Arial" w:eastAsia="Arial" w:cs="Arial"/>
          <w:i w:val="0"/>
          <w:iCs w:val="0"/>
          <w:caps w:val="0"/>
          <w:color w:val="2E2E2E"/>
          <w:spacing w:val="0"/>
          <w:sz w:val="21"/>
          <w:szCs w:val="21"/>
          <w:u w:val="none"/>
        </w:rPr>
        <w:fldChar w:fldCharType="separate"/>
      </w:r>
      <w:r>
        <w:rPr>
          <w:rStyle w:val="8"/>
          <w:rFonts w:hint="default" w:ascii="Arial" w:hAnsi="Arial" w:eastAsia="Arial" w:cs="Arial"/>
          <w:i w:val="0"/>
          <w:iCs w:val="0"/>
          <w:caps w:val="0"/>
          <w:color w:val="2E2E2E"/>
          <w:spacing w:val="0"/>
          <w:sz w:val="21"/>
          <w:szCs w:val="21"/>
          <w:u w:val="none"/>
        </w:rPr>
        <w:t>https://doi.org/10.1016/j.engappai.2020.103783</w:t>
      </w:r>
      <w:r>
        <w:rPr>
          <w:rFonts w:hint="default" w:ascii="Arial" w:hAnsi="Arial" w:eastAsia="Arial" w:cs="Arial"/>
          <w:i w:val="0"/>
          <w:iCs w:val="0"/>
          <w:caps w:val="0"/>
          <w:color w:val="2E2E2E"/>
          <w:spacing w:val="0"/>
          <w:sz w:val="21"/>
          <w:szCs w:val="21"/>
          <w:u w:val="none"/>
        </w:rPr>
        <w:fldChar w:fldCharType="end"/>
      </w:r>
      <w:r>
        <w:rPr>
          <w:rFonts w:hint="eastAsia" w:ascii="Arial" w:hAnsi="Arial" w:eastAsia="宋体" w:cs="Arial"/>
          <w:i w:val="0"/>
          <w:iCs w:val="0"/>
          <w:caps w:val="0"/>
          <w:color w:val="2E2E2E"/>
          <w:spacing w:val="0"/>
          <w:sz w:val="21"/>
          <w:szCs w:val="21"/>
          <w:u w:val="none"/>
          <w:lang w:val="en-US" w:eastAsia="zh-CN"/>
        </w:rPr>
        <w:t>--oil price</w:t>
      </w:r>
    </w:p>
    <w:p>
      <w:pPr>
        <w:widowControl w:val="0"/>
        <w:numPr>
          <w:ilvl w:val="0"/>
          <w:numId w:val="0"/>
        </w:numPr>
        <w:jc w:val="both"/>
        <w:rPr>
          <w:rFonts w:hint="default" w:ascii="Segoe UI" w:hAnsi="Segoe UI" w:eastAsia="Segoe UI" w:cs="Segoe UI"/>
          <w:i w:val="0"/>
          <w:iCs w:val="0"/>
          <w:caps w:val="0"/>
          <w:color w:val="333333"/>
          <w:spacing w:val="0"/>
          <w:sz w:val="24"/>
          <w:szCs w:val="24"/>
          <w:shd w:val="clear" w:fill="FCFCFC"/>
          <w:lang w:val="en-US" w:eastAsia="zh-CN"/>
        </w:rPr>
      </w:pPr>
    </w:p>
    <w:p>
      <w:pPr>
        <w:widowControl w:val="0"/>
        <w:numPr>
          <w:ilvl w:val="0"/>
          <w:numId w:val="0"/>
        </w:numPr>
        <w:jc w:val="both"/>
        <w:rPr>
          <w:rFonts w:hint="default" w:ascii="Segoe UI" w:hAnsi="Segoe UI" w:eastAsia="Segoe UI" w:cs="Segoe UI"/>
          <w:i w:val="0"/>
          <w:iCs w:val="0"/>
          <w:caps w:val="0"/>
          <w:color w:val="333333"/>
          <w:spacing w:val="0"/>
          <w:sz w:val="24"/>
          <w:szCs w:val="24"/>
          <w:shd w:val="clear" w:fill="FCFCFC"/>
          <w:lang w:val="en-US" w:eastAsia="zh-CN"/>
        </w:rPr>
      </w:pPr>
    </w:p>
    <w:p>
      <w:pPr>
        <w:widowControl w:val="0"/>
        <w:numPr>
          <w:ilvl w:val="0"/>
          <w:numId w:val="0"/>
        </w:numPr>
        <w:jc w:val="both"/>
        <w:rPr>
          <w:rFonts w:hint="default" w:ascii="Segoe UI" w:hAnsi="Segoe UI" w:eastAsia="Segoe UI" w:cs="Segoe UI"/>
          <w:i w:val="0"/>
          <w:iCs w:val="0"/>
          <w:caps w:val="0"/>
          <w:color w:val="333333"/>
          <w:spacing w:val="0"/>
          <w:sz w:val="24"/>
          <w:szCs w:val="24"/>
          <w:shd w:val="clear" w:fill="FCFCFC"/>
          <w:lang w:val="en-US" w:eastAsia="zh-CN"/>
        </w:rPr>
      </w:pPr>
    </w:p>
    <w:p>
      <w:pPr>
        <w:widowControl w:val="0"/>
        <w:numPr>
          <w:ilvl w:val="0"/>
          <w:numId w:val="0"/>
        </w:numPr>
        <w:jc w:val="both"/>
        <w:rPr>
          <w:rFonts w:hint="default" w:ascii="Segoe UI" w:hAnsi="Segoe UI" w:eastAsia="Segoe UI" w:cs="Segoe UI"/>
          <w:i w:val="0"/>
          <w:iCs w:val="0"/>
          <w:caps w:val="0"/>
          <w:color w:val="333333"/>
          <w:spacing w:val="0"/>
          <w:sz w:val="24"/>
          <w:szCs w:val="24"/>
          <w:shd w:val="clear" w:fill="FCFCFC"/>
          <w:lang w:val="en-US" w:eastAsia="zh-CN"/>
        </w:rPr>
      </w:pPr>
    </w:p>
    <w:p>
      <w:pPr>
        <w:widowControl w:val="0"/>
        <w:numPr>
          <w:ilvl w:val="0"/>
          <w:numId w:val="0"/>
        </w:numPr>
        <w:jc w:val="both"/>
        <w:rPr>
          <w:rFonts w:hint="eastAsia"/>
          <w:lang w:val="en-US" w:eastAsia="zh-CN"/>
        </w:rPr>
      </w:pPr>
      <w:r>
        <w:rPr>
          <w:rFonts w:hint="eastAsia"/>
          <w:lang w:val="en-US" w:eastAsia="zh-CN"/>
        </w:rPr>
        <w:t xml:space="preserve">According to existing literature, forecast models now have more capacity to analyze nonlinear data and do not require linearity assumption. This characteristic can be demonstrated by the improvement from univariate or multivariate analysis to artificial intelligence based analysis(Hansen &amp; Hodrick, 1980; Wright, 2008;). Traditionally, </w:t>
      </w: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p>
    <w:p>
      <w:pPr>
        <w:widowControl w:val="0"/>
        <w:numPr>
          <w:ilvl w:val="0"/>
          <w:numId w:val="0"/>
        </w:numPr>
        <w:jc w:val="both"/>
        <w:rPr>
          <w:rFonts w:hint="eastAsia"/>
          <w:lang w:val="en-US" w:eastAsia="zh-CN"/>
        </w:rPr>
      </w:pPr>
      <w:r>
        <w:rPr>
          <w:rFonts w:hint="eastAsia"/>
          <w:lang w:val="en-US" w:eastAsia="zh-CN"/>
        </w:rPr>
        <w:t xml:space="preserve">Variables: </w:t>
      </w:r>
    </w:p>
    <w:p>
      <w:pPr>
        <w:widowControl w:val="0"/>
        <w:numPr>
          <w:ilvl w:val="0"/>
          <w:numId w:val="0"/>
        </w:numPr>
        <w:jc w:val="both"/>
        <w:rPr>
          <w:rFonts w:hint="default"/>
          <w:lang w:val="en-US" w:eastAsia="zh-CN"/>
        </w:rPr>
      </w:pPr>
      <w:r>
        <w:rPr>
          <w:rFonts w:hint="default"/>
          <w:lang w:val="en-US" w:eastAsia="zh-CN"/>
        </w:rPr>
        <w:t xml:space="preserve">Multiple domains of variables are adopted to forecast exchange rates. The most commonly used are macroeconomics variables and research shows that the movement of the exchange rate is tightly related to the performance of macroeconomic fundamentals (Huang et al., 2004; Rime et al., 2010; Molodtsova &amp; Papell, 2012; Chaudhuri &amp; Ghosh, 2016; Beckmann &amp; Schüssler, 2016; Ca’ Zorzi et al., 2017; Beckmann &amp; Czudaj, 2017). Financial variables, such as Dow Jones and stock market indices are also frequently adopted to capture the volatility of exchange rates (Huang et al., 2007; Yuan, 2013; Xiao, 2013; Raheem, 2020). Other variables that reflect market sentiment also show predictive power (Heiden et al., 2013; Bulut, 2017; Lin et al., 2022). However, only a few research adopt variables from different domains at the same time (Morales-Arias &amp; Moura, 2013). To improve, this study selects macroeconomic variables, indicators in financial market, sentimental index, and composite indicators to reflect economic activities comprehensively. </w:t>
      </w: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2"/>
        <w:gridCol w:w="1159"/>
        <w:gridCol w:w="1124"/>
        <w:gridCol w:w="1678"/>
        <w:gridCol w:w="1194"/>
        <w:gridCol w:w="1353"/>
        <w:gridCol w:w="8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vertAlign w:val="baseline"/>
                <w:lang w:val="en-US" w:eastAsia="zh-CN"/>
              </w:rPr>
            </w:pPr>
            <w:r>
              <w:rPr>
                <w:rFonts w:hint="eastAsia"/>
                <w:vertAlign w:val="baseline"/>
                <w:lang w:val="en-US" w:eastAsia="zh-CN"/>
              </w:rPr>
              <w:t>References</w:t>
            </w:r>
          </w:p>
        </w:tc>
        <w:tc>
          <w:tcPr>
            <w:tcW w:w="1217" w:type="dxa"/>
          </w:tcPr>
          <w:p>
            <w:pPr>
              <w:widowControl w:val="0"/>
              <w:numPr>
                <w:ilvl w:val="0"/>
                <w:numId w:val="0"/>
              </w:numPr>
              <w:jc w:val="both"/>
              <w:rPr>
                <w:rFonts w:hint="default"/>
                <w:vertAlign w:val="baseline"/>
                <w:lang w:val="en-US" w:eastAsia="zh-CN"/>
              </w:rPr>
            </w:pPr>
            <w:r>
              <w:rPr>
                <w:rFonts w:hint="eastAsia"/>
                <w:vertAlign w:val="baseline"/>
                <w:lang w:val="en-US" w:eastAsia="zh-CN"/>
              </w:rPr>
              <w:t>Input</w:t>
            </w:r>
          </w:p>
        </w:tc>
        <w:tc>
          <w:tcPr>
            <w:tcW w:w="1217" w:type="dxa"/>
          </w:tcPr>
          <w:p>
            <w:pPr>
              <w:widowControl w:val="0"/>
              <w:numPr>
                <w:ilvl w:val="0"/>
                <w:numId w:val="0"/>
              </w:numPr>
              <w:jc w:val="both"/>
              <w:rPr>
                <w:rFonts w:hint="default"/>
                <w:vertAlign w:val="baseline"/>
                <w:lang w:val="en-US" w:eastAsia="zh-CN"/>
              </w:rPr>
            </w:pPr>
            <w:r>
              <w:rPr>
                <w:rFonts w:hint="eastAsia"/>
                <w:vertAlign w:val="baseline"/>
                <w:lang w:val="en-US" w:eastAsia="zh-CN"/>
              </w:rPr>
              <w:t>Feature selection</w:t>
            </w:r>
          </w:p>
        </w:tc>
        <w:tc>
          <w:tcPr>
            <w:tcW w:w="1217" w:type="dxa"/>
          </w:tcPr>
          <w:p>
            <w:pPr>
              <w:widowControl w:val="0"/>
              <w:numPr>
                <w:ilvl w:val="0"/>
                <w:numId w:val="0"/>
              </w:numPr>
              <w:jc w:val="both"/>
              <w:rPr>
                <w:rFonts w:hint="default"/>
                <w:vertAlign w:val="baseline"/>
                <w:lang w:val="en-US" w:eastAsia="zh-CN"/>
              </w:rPr>
            </w:pPr>
            <w:r>
              <w:rPr>
                <w:rFonts w:hint="eastAsia"/>
                <w:vertAlign w:val="baseline"/>
                <w:lang w:val="en-US" w:eastAsia="zh-CN"/>
              </w:rPr>
              <w:t>Methods</w:t>
            </w:r>
          </w:p>
        </w:tc>
        <w:tc>
          <w:tcPr>
            <w:tcW w:w="1218" w:type="dxa"/>
          </w:tcPr>
          <w:p>
            <w:pPr>
              <w:widowControl w:val="0"/>
              <w:numPr>
                <w:ilvl w:val="0"/>
                <w:numId w:val="0"/>
              </w:numPr>
              <w:jc w:val="both"/>
              <w:rPr>
                <w:rFonts w:hint="default"/>
                <w:vertAlign w:val="baseline"/>
                <w:lang w:val="en-US" w:eastAsia="zh-CN"/>
              </w:rPr>
            </w:pPr>
            <w:r>
              <w:rPr>
                <w:rFonts w:hint="eastAsia"/>
                <w:vertAlign w:val="baseline"/>
                <w:lang w:val="en-US" w:eastAsia="zh-CN"/>
              </w:rPr>
              <w:t>Limitations</w:t>
            </w:r>
          </w:p>
        </w:tc>
        <w:tc>
          <w:tcPr>
            <w:tcW w:w="1218" w:type="dxa"/>
          </w:tcPr>
          <w:p>
            <w:pPr>
              <w:widowControl w:val="0"/>
              <w:numPr>
                <w:ilvl w:val="0"/>
                <w:numId w:val="0"/>
              </w:numPr>
              <w:jc w:val="both"/>
              <w:rPr>
                <w:rFonts w:hint="default"/>
                <w:vertAlign w:val="baseline"/>
                <w:lang w:val="en-US" w:eastAsia="zh-CN"/>
              </w:rPr>
            </w:pPr>
            <w:r>
              <w:rPr>
                <w:rFonts w:hint="eastAsia"/>
                <w:vertAlign w:val="baseline"/>
                <w:lang w:val="en-US" w:eastAsia="zh-CN"/>
              </w:rPr>
              <w:t>Proposed methodology</w:t>
            </w:r>
          </w:p>
        </w:tc>
        <w:tc>
          <w:tcPr>
            <w:tcW w:w="1218" w:type="dxa"/>
          </w:tcPr>
          <w:p>
            <w:pPr>
              <w:widowControl w:val="0"/>
              <w:numPr>
                <w:ilvl w:val="0"/>
                <w:numId w:val="0"/>
              </w:numPr>
              <w:jc w:val="both"/>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vertAlign w:val="baseline"/>
                <w:lang w:val="en-US" w:eastAsia="zh-CN"/>
              </w:rPr>
            </w:pPr>
            <w:r>
              <w:rPr>
                <w:rFonts w:hint="eastAsia"/>
                <w:lang w:val="en-US" w:eastAsia="zh-CN"/>
              </w:rPr>
              <w:t>Reddy SK (2015)</w:t>
            </w:r>
          </w:p>
        </w:tc>
        <w:tc>
          <w:tcPr>
            <w:tcW w:w="1217" w:type="dxa"/>
          </w:tcPr>
          <w:p>
            <w:pPr>
              <w:widowControl w:val="0"/>
              <w:numPr>
                <w:ilvl w:val="0"/>
                <w:numId w:val="0"/>
              </w:numPr>
              <w:jc w:val="both"/>
              <w:rPr>
                <w:rFonts w:hint="eastAsia"/>
                <w:vertAlign w:val="baseline"/>
                <w:lang w:val="en-US" w:eastAsia="zh-CN"/>
              </w:rPr>
            </w:pPr>
            <w:r>
              <w:rPr>
                <w:rFonts w:hint="eastAsia"/>
                <w:vertAlign w:val="baseline"/>
                <w:lang w:val="en-US" w:eastAsia="zh-CN"/>
              </w:rPr>
              <w:t>Exchange rate</w:t>
            </w:r>
          </w:p>
          <w:p>
            <w:pPr>
              <w:widowControl w:val="0"/>
              <w:numPr>
                <w:ilvl w:val="0"/>
                <w:numId w:val="0"/>
              </w:numPr>
              <w:jc w:val="both"/>
              <w:rPr>
                <w:rFonts w:hint="default"/>
                <w:vertAlign w:val="baseline"/>
                <w:lang w:val="en-US" w:eastAsia="zh-CN"/>
              </w:rPr>
            </w:pPr>
            <w:r>
              <w:rPr>
                <w:rFonts w:hint="eastAsia"/>
                <w:vertAlign w:val="baseline"/>
                <w:lang w:val="en-US" w:eastAsia="zh-CN"/>
              </w:rPr>
              <w:t>(INR/USD, INR/GBP, INR/EUR &amp; INR/JPY)</w:t>
            </w:r>
          </w:p>
        </w:tc>
        <w:tc>
          <w:tcPr>
            <w:tcW w:w="1217" w:type="dxa"/>
          </w:tcPr>
          <w:p>
            <w:pPr>
              <w:widowControl w:val="0"/>
              <w:numPr>
                <w:ilvl w:val="0"/>
                <w:numId w:val="0"/>
              </w:numPr>
              <w:jc w:val="both"/>
              <w:rPr>
                <w:rFonts w:hint="default"/>
                <w:vertAlign w:val="baseline"/>
                <w:lang w:val="en-US" w:eastAsia="zh-CN"/>
              </w:rPr>
            </w:pPr>
            <w:r>
              <w:rPr>
                <w:rFonts w:hint="eastAsia"/>
                <w:vertAlign w:val="baseline"/>
                <w:lang w:val="en-US" w:eastAsia="zh-CN"/>
              </w:rPr>
              <w:t>no</w:t>
            </w:r>
          </w:p>
        </w:tc>
        <w:tc>
          <w:tcPr>
            <w:tcW w:w="1217" w:type="dxa"/>
          </w:tcPr>
          <w:p>
            <w:pPr>
              <w:widowControl w:val="0"/>
              <w:numPr>
                <w:ilvl w:val="0"/>
                <w:numId w:val="0"/>
              </w:numPr>
              <w:jc w:val="both"/>
              <w:rPr>
                <w:rFonts w:hint="default"/>
                <w:vertAlign w:val="baseline"/>
                <w:lang w:val="en-US" w:eastAsia="zh-CN"/>
              </w:rPr>
            </w:pPr>
            <w:r>
              <w:rPr>
                <w:rFonts w:hint="default"/>
                <w:vertAlign w:val="baseline"/>
                <w:lang w:val="en-US" w:eastAsia="zh-CN"/>
              </w:rPr>
              <w:t xml:space="preserve">ARIMA, Neural Network </w:t>
            </w:r>
            <w:r>
              <w:rPr>
                <w:rFonts w:hint="eastAsia"/>
                <w:vertAlign w:val="baseline"/>
                <w:lang w:val="en-US" w:eastAsia="zh-CN"/>
              </w:rPr>
              <w:t xml:space="preserve">&amp; </w:t>
            </w:r>
            <w:r>
              <w:rPr>
                <w:rFonts w:hint="default"/>
                <w:vertAlign w:val="baseline"/>
                <w:lang w:val="en-US" w:eastAsia="zh-CN"/>
              </w:rPr>
              <w:t>Fuzzy models</w:t>
            </w:r>
          </w:p>
        </w:tc>
        <w:tc>
          <w:tcPr>
            <w:tcW w:w="1218" w:type="dxa"/>
          </w:tcPr>
          <w:p>
            <w:pPr>
              <w:widowControl w:val="0"/>
              <w:numPr>
                <w:ilvl w:val="0"/>
                <w:numId w:val="0"/>
              </w:numPr>
              <w:jc w:val="both"/>
              <w:rPr>
                <w:rFonts w:hint="default"/>
                <w:vertAlign w:val="baseline"/>
                <w:lang w:val="en-US" w:eastAsia="zh-CN"/>
              </w:rPr>
            </w:pPr>
            <w:r>
              <w:rPr>
                <w:rFonts w:hint="eastAsia"/>
                <w:vertAlign w:val="baseline"/>
                <w:lang w:val="en-US" w:eastAsia="zh-CN"/>
              </w:rPr>
              <w:t>Limited input and lack of deep learning method</w:t>
            </w:r>
          </w:p>
        </w:tc>
        <w:tc>
          <w:tcPr>
            <w:tcW w:w="1218" w:type="dxa"/>
          </w:tcPr>
          <w:p>
            <w:pPr>
              <w:widowControl w:val="0"/>
              <w:numPr>
                <w:ilvl w:val="0"/>
                <w:numId w:val="0"/>
              </w:numPr>
              <w:jc w:val="both"/>
              <w:rPr>
                <w:rFonts w:hint="default"/>
                <w:vertAlign w:val="baseline"/>
                <w:lang w:val="en-US" w:eastAsia="zh-CN"/>
              </w:rPr>
            </w:pPr>
            <w:r>
              <w:rPr>
                <w:rFonts w:hint="eastAsia"/>
                <w:vertAlign w:val="baseline"/>
                <w:lang w:val="en-US" w:eastAsia="zh-CN"/>
              </w:rPr>
              <w:t>Adopt 29 variables, feature selection, and include LSTM, BiLSTM etc. Deep learning models</w:t>
            </w:r>
          </w:p>
        </w:tc>
        <w:tc>
          <w:tcPr>
            <w:tcW w:w="1218" w:type="dxa"/>
          </w:tcPr>
          <w:p>
            <w:pPr>
              <w:widowControl w:val="0"/>
              <w:numPr>
                <w:ilvl w:val="0"/>
                <w:numId w:val="0"/>
              </w:numPr>
              <w:jc w:val="both"/>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vertAlign w:val="baseline"/>
                <w:lang w:val="en-US" w:eastAsia="zh-CN"/>
              </w:rPr>
            </w:pPr>
            <w:r>
              <w:rPr>
                <w:rFonts w:hint="default"/>
                <w:vertAlign w:val="baseline"/>
                <w:lang w:val="en-US" w:eastAsia="zh-CN"/>
              </w:rPr>
              <w:t>Epaphra, M. (2017)</w:t>
            </w:r>
          </w:p>
        </w:tc>
        <w:tc>
          <w:tcPr>
            <w:tcW w:w="1217" w:type="dxa"/>
          </w:tcPr>
          <w:p>
            <w:pPr>
              <w:widowControl w:val="0"/>
              <w:numPr>
                <w:ilvl w:val="0"/>
                <w:numId w:val="0"/>
              </w:numPr>
              <w:jc w:val="both"/>
              <w:rPr>
                <w:rFonts w:hint="default"/>
                <w:vertAlign w:val="baseline"/>
                <w:lang w:val="en-US" w:eastAsia="zh-CN"/>
              </w:rPr>
            </w:pPr>
            <w:r>
              <w:rPr>
                <w:rFonts w:hint="default"/>
                <w:vertAlign w:val="baseline"/>
                <w:lang w:val="en-US" w:eastAsia="zh-CN"/>
              </w:rPr>
              <w:t>TZS/USD</w:t>
            </w:r>
          </w:p>
        </w:tc>
        <w:tc>
          <w:tcPr>
            <w:tcW w:w="1217" w:type="dxa"/>
          </w:tcPr>
          <w:p>
            <w:pPr>
              <w:widowControl w:val="0"/>
              <w:numPr>
                <w:ilvl w:val="0"/>
                <w:numId w:val="0"/>
              </w:numPr>
              <w:jc w:val="both"/>
              <w:rPr>
                <w:rFonts w:hint="default"/>
                <w:vertAlign w:val="baseline"/>
                <w:lang w:val="en-US" w:eastAsia="zh-CN"/>
              </w:rPr>
            </w:pPr>
            <w:r>
              <w:rPr>
                <w:rFonts w:hint="eastAsia"/>
                <w:vertAlign w:val="baseline"/>
                <w:lang w:val="en-US" w:eastAsia="zh-CN"/>
              </w:rPr>
              <w:t>no</w:t>
            </w:r>
          </w:p>
        </w:tc>
        <w:tc>
          <w:tcPr>
            <w:tcW w:w="1217" w:type="dxa"/>
          </w:tcPr>
          <w:p>
            <w:pPr>
              <w:widowControl w:val="0"/>
              <w:numPr>
                <w:ilvl w:val="0"/>
                <w:numId w:val="0"/>
              </w:numPr>
              <w:jc w:val="both"/>
              <w:rPr>
                <w:rFonts w:hint="default"/>
                <w:vertAlign w:val="baseline"/>
                <w:lang w:val="en-US" w:eastAsia="zh-CN"/>
              </w:rPr>
            </w:pPr>
            <w:r>
              <w:rPr>
                <w:rFonts w:hint="eastAsia"/>
                <w:vertAlign w:val="baseline"/>
                <w:lang w:val="en-US" w:eastAsia="zh-CN"/>
              </w:rPr>
              <w:t>GARCH&amp;EGARCH</w:t>
            </w:r>
          </w:p>
        </w:tc>
        <w:tc>
          <w:tcPr>
            <w:tcW w:w="1218" w:type="dxa"/>
          </w:tcPr>
          <w:p>
            <w:pPr>
              <w:widowControl w:val="0"/>
              <w:numPr>
                <w:ilvl w:val="0"/>
                <w:numId w:val="0"/>
              </w:numPr>
              <w:jc w:val="both"/>
              <w:rPr>
                <w:rFonts w:hint="default"/>
                <w:vertAlign w:val="baseline"/>
                <w:lang w:val="en-US" w:eastAsia="zh-CN"/>
              </w:rPr>
            </w:pPr>
            <w:r>
              <w:rPr>
                <w:rFonts w:hint="eastAsia"/>
                <w:vertAlign w:val="baseline"/>
                <w:lang w:val="en-US" w:eastAsia="zh-CN"/>
              </w:rPr>
              <w:t>Limited input and lack of deep learning method</w:t>
            </w:r>
          </w:p>
        </w:tc>
        <w:tc>
          <w:tcPr>
            <w:tcW w:w="1218" w:type="dxa"/>
          </w:tcPr>
          <w:p>
            <w:pPr>
              <w:widowControl w:val="0"/>
              <w:numPr>
                <w:ilvl w:val="0"/>
                <w:numId w:val="0"/>
              </w:numPr>
              <w:jc w:val="both"/>
              <w:rPr>
                <w:rFonts w:hint="default"/>
                <w:vertAlign w:val="baseline"/>
                <w:lang w:val="en-US" w:eastAsia="zh-CN"/>
              </w:rPr>
            </w:pPr>
            <w:r>
              <w:rPr>
                <w:rFonts w:hint="eastAsia"/>
                <w:vertAlign w:val="baseline"/>
                <w:lang w:val="en-US" w:eastAsia="zh-CN"/>
              </w:rPr>
              <w:t xml:space="preserve">Same </w:t>
            </w:r>
          </w:p>
        </w:tc>
        <w:tc>
          <w:tcPr>
            <w:tcW w:w="1218" w:type="dxa"/>
          </w:tcPr>
          <w:p>
            <w:pPr>
              <w:widowControl w:val="0"/>
              <w:numPr>
                <w:ilvl w:val="0"/>
                <w:numId w:val="0"/>
              </w:numPr>
              <w:jc w:val="both"/>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vertAlign w:val="baseline"/>
                <w:lang w:val="en-US" w:eastAsia="zh-CN"/>
              </w:rPr>
            </w:pPr>
            <w:r>
              <w:rPr>
                <w:rFonts w:hint="default"/>
                <w:lang w:val="en-US" w:eastAsia="zh-CN"/>
              </w:rPr>
              <w:t xml:space="preserve">Lin et al., </w:t>
            </w:r>
            <w:r>
              <w:rPr>
                <w:rFonts w:hint="eastAsia"/>
                <w:lang w:val="en-US" w:eastAsia="zh-CN"/>
              </w:rPr>
              <w:t>(</w:t>
            </w:r>
            <w:r>
              <w:rPr>
                <w:rFonts w:hint="default"/>
                <w:lang w:val="en-US" w:eastAsia="zh-CN"/>
              </w:rPr>
              <w:t>2022</w:t>
            </w:r>
            <w:r>
              <w:rPr>
                <w:rFonts w:hint="eastAsia"/>
                <w:lang w:val="en-US" w:eastAsia="zh-CN"/>
              </w:rPr>
              <w:t>)</w:t>
            </w:r>
          </w:p>
        </w:tc>
        <w:tc>
          <w:tcPr>
            <w:tcW w:w="1217" w:type="dxa"/>
          </w:tcPr>
          <w:p>
            <w:pPr>
              <w:widowControl w:val="0"/>
              <w:numPr>
                <w:ilvl w:val="0"/>
                <w:numId w:val="0"/>
              </w:numPr>
              <w:jc w:val="both"/>
              <w:rPr>
                <w:rFonts w:hint="default"/>
                <w:vertAlign w:val="baseline"/>
                <w:lang w:val="en-US" w:eastAsia="zh-CN"/>
              </w:rPr>
            </w:pPr>
          </w:p>
        </w:tc>
        <w:tc>
          <w:tcPr>
            <w:tcW w:w="1217" w:type="dxa"/>
          </w:tcPr>
          <w:p>
            <w:pPr>
              <w:widowControl w:val="0"/>
              <w:numPr>
                <w:ilvl w:val="0"/>
                <w:numId w:val="0"/>
              </w:numPr>
              <w:jc w:val="both"/>
              <w:rPr>
                <w:rFonts w:hint="default"/>
                <w:vertAlign w:val="baseline"/>
                <w:lang w:val="en-US" w:eastAsia="zh-CN"/>
              </w:rPr>
            </w:pPr>
          </w:p>
        </w:tc>
        <w:tc>
          <w:tcPr>
            <w:tcW w:w="1217" w:type="dxa"/>
          </w:tcPr>
          <w:p>
            <w:pPr>
              <w:widowControl w:val="0"/>
              <w:numPr>
                <w:ilvl w:val="0"/>
                <w:numId w:val="0"/>
              </w:numPr>
              <w:jc w:val="both"/>
              <w:rPr>
                <w:rFonts w:hint="default"/>
                <w:vertAlign w:val="baseline"/>
                <w:lang w:val="en-US" w:eastAsia="zh-CN"/>
              </w:rPr>
            </w:pPr>
          </w:p>
        </w:tc>
        <w:tc>
          <w:tcPr>
            <w:tcW w:w="1218" w:type="dxa"/>
          </w:tcPr>
          <w:p>
            <w:pPr>
              <w:widowControl w:val="0"/>
              <w:numPr>
                <w:ilvl w:val="0"/>
                <w:numId w:val="0"/>
              </w:numPr>
              <w:jc w:val="both"/>
              <w:rPr>
                <w:rFonts w:hint="default"/>
                <w:vertAlign w:val="baseline"/>
                <w:lang w:val="en-US" w:eastAsia="zh-CN"/>
              </w:rPr>
            </w:pPr>
          </w:p>
        </w:tc>
        <w:tc>
          <w:tcPr>
            <w:tcW w:w="1218" w:type="dxa"/>
          </w:tcPr>
          <w:p>
            <w:pPr>
              <w:widowControl w:val="0"/>
              <w:numPr>
                <w:ilvl w:val="0"/>
                <w:numId w:val="0"/>
              </w:numPr>
              <w:jc w:val="both"/>
              <w:rPr>
                <w:rFonts w:hint="default"/>
                <w:vertAlign w:val="baseline"/>
                <w:lang w:val="en-US" w:eastAsia="zh-CN"/>
              </w:rPr>
            </w:pPr>
          </w:p>
        </w:tc>
        <w:tc>
          <w:tcPr>
            <w:tcW w:w="1218" w:type="dxa"/>
          </w:tcPr>
          <w:p>
            <w:pPr>
              <w:widowControl w:val="0"/>
              <w:numPr>
                <w:ilvl w:val="0"/>
                <w:numId w:val="0"/>
              </w:numPr>
              <w:jc w:val="both"/>
              <w:rPr>
                <w:rFonts w:hint="default"/>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pPr>
              <w:widowControl w:val="0"/>
              <w:numPr>
                <w:ilvl w:val="0"/>
                <w:numId w:val="0"/>
              </w:numPr>
              <w:jc w:val="both"/>
              <w:rPr>
                <w:rFonts w:hint="default"/>
                <w:vertAlign w:val="baseline"/>
                <w:lang w:val="en-US" w:eastAsia="zh-CN"/>
              </w:rPr>
            </w:pPr>
          </w:p>
        </w:tc>
        <w:tc>
          <w:tcPr>
            <w:tcW w:w="1217" w:type="dxa"/>
          </w:tcPr>
          <w:p>
            <w:pPr>
              <w:widowControl w:val="0"/>
              <w:numPr>
                <w:ilvl w:val="0"/>
                <w:numId w:val="0"/>
              </w:numPr>
              <w:jc w:val="both"/>
              <w:rPr>
                <w:rFonts w:hint="default"/>
                <w:vertAlign w:val="baseline"/>
                <w:lang w:val="en-US" w:eastAsia="zh-CN"/>
              </w:rPr>
            </w:pPr>
          </w:p>
        </w:tc>
        <w:tc>
          <w:tcPr>
            <w:tcW w:w="1217" w:type="dxa"/>
          </w:tcPr>
          <w:p>
            <w:pPr>
              <w:widowControl w:val="0"/>
              <w:numPr>
                <w:ilvl w:val="0"/>
                <w:numId w:val="0"/>
              </w:numPr>
              <w:jc w:val="both"/>
              <w:rPr>
                <w:rFonts w:hint="default"/>
                <w:vertAlign w:val="baseline"/>
                <w:lang w:val="en-US" w:eastAsia="zh-CN"/>
              </w:rPr>
            </w:pPr>
          </w:p>
        </w:tc>
        <w:tc>
          <w:tcPr>
            <w:tcW w:w="1217" w:type="dxa"/>
          </w:tcPr>
          <w:p>
            <w:pPr>
              <w:widowControl w:val="0"/>
              <w:numPr>
                <w:ilvl w:val="0"/>
                <w:numId w:val="0"/>
              </w:numPr>
              <w:jc w:val="both"/>
              <w:rPr>
                <w:rFonts w:hint="default"/>
                <w:vertAlign w:val="baseline"/>
                <w:lang w:val="en-US" w:eastAsia="zh-CN"/>
              </w:rPr>
            </w:pPr>
          </w:p>
        </w:tc>
        <w:tc>
          <w:tcPr>
            <w:tcW w:w="1218" w:type="dxa"/>
          </w:tcPr>
          <w:p>
            <w:pPr>
              <w:widowControl w:val="0"/>
              <w:numPr>
                <w:ilvl w:val="0"/>
                <w:numId w:val="0"/>
              </w:numPr>
              <w:jc w:val="both"/>
              <w:rPr>
                <w:rFonts w:hint="default"/>
                <w:vertAlign w:val="baseline"/>
                <w:lang w:val="en-US" w:eastAsia="zh-CN"/>
              </w:rPr>
            </w:pPr>
          </w:p>
        </w:tc>
        <w:tc>
          <w:tcPr>
            <w:tcW w:w="1218" w:type="dxa"/>
          </w:tcPr>
          <w:p>
            <w:pPr>
              <w:widowControl w:val="0"/>
              <w:numPr>
                <w:ilvl w:val="0"/>
                <w:numId w:val="0"/>
              </w:numPr>
              <w:jc w:val="both"/>
              <w:rPr>
                <w:rFonts w:hint="default"/>
                <w:vertAlign w:val="baseline"/>
                <w:lang w:val="en-US" w:eastAsia="zh-CN"/>
              </w:rPr>
            </w:pPr>
          </w:p>
        </w:tc>
        <w:tc>
          <w:tcPr>
            <w:tcW w:w="1218" w:type="dxa"/>
          </w:tcPr>
          <w:p>
            <w:pPr>
              <w:widowControl w:val="0"/>
              <w:numPr>
                <w:ilvl w:val="0"/>
                <w:numId w:val="0"/>
              </w:numPr>
              <w:jc w:val="both"/>
              <w:rPr>
                <w:rFonts w:hint="default"/>
                <w:vertAlign w:val="baseline"/>
                <w:lang w:val="en-US" w:eastAsia="zh-CN"/>
              </w:rPr>
            </w:pPr>
          </w:p>
        </w:tc>
      </w:tr>
    </w:tbl>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pStyle w:val="3"/>
        <w:widowControl/>
        <w:numPr>
          <w:ilvl w:val="0"/>
          <w:numId w:val="2"/>
        </w:numPr>
        <w:spacing w:before="312" w:beforeLines="100" w:beforeAutospacing="0" w:after="0" w:afterAutospacing="1" w:line="360" w:lineRule="auto"/>
        <w:ind w:left="0" w:right="0"/>
        <w:jc w:val="left"/>
        <w:outlineLvl w:val="0"/>
        <w:rPr>
          <w:rFonts w:hint="default" w:ascii="Times New Roman" w:hAnsi="Times New Roman" w:eastAsia="宋体" w:cs="Times New Roman"/>
          <w:b/>
          <w:bCs/>
          <w:color w:val="0E101A"/>
          <w:kern w:val="2"/>
          <w:sz w:val="28"/>
          <w:szCs w:val="28"/>
        </w:rPr>
      </w:pPr>
      <w:r>
        <w:rPr>
          <w:rFonts w:hint="default" w:ascii="Times New Roman" w:hAnsi="Times New Roman" w:eastAsia="宋体" w:cs="Times New Roman"/>
          <w:b/>
          <w:bCs/>
          <w:color w:val="0E101A"/>
          <w:kern w:val="2"/>
          <w:sz w:val="28"/>
          <w:szCs w:val="28"/>
          <w:lang w:val="en-US" w:eastAsia="zh-CN" w:bidi="ar"/>
        </w:rPr>
        <w:t>Conclusion</w:t>
      </w:r>
    </w:p>
    <w:p>
      <w:pPr>
        <w:pStyle w:val="3"/>
        <w:widowControl/>
        <w:numPr>
          <w:ilvl w:val="0"/>
          <w:numId w:val="0"/>
        </w:numPr>
        <w:spacing w:before="312" w:beforeLines="100" w:beforeAutospacing="0" w:after="0" w:afterAutospacing="1" w:line="360" w:lineRule="auto"/>
        <w:ind w:leftChars="0" w:right="0" w:rightChars="0"/>
        <w:jc w:val="left"/>
        <w:outlineLvl w:val="0"/>
        <w:rPr>
          <w:rFonts w:hint="default" w:ascii="Times New Roman" w:hAnsi="Times New Roman" w:eastAsia="宋体" w:cs="Times New Roman"/>
          <w:b/>
          <w:bCs/>
          <w:color w:val="0E101A"/>
          <w:kern w:val="2"/>
          <w:sz w:val="28"/>
          <w:szCs w:val="28"/>
          <w:lang w:val="en-US"/>
        </w:rPr>
      </w:pPr>
    </w:p>
    <w:p>
      <w:pPr>
        <w:keepNext w:val="0"/>
        <w:keepLines w:val="0"/>
        <w:widowControl w:val="0"/>
        <w:suppressLineNumbers w:val="0"/>
        <w:spacing w:before="0" w:beforeAutospacing="0" w:after="0" w:afterAutospacing="0" w:line="360" w:lineRule="auto"/>
        <w:ind w:left="0" w:right="0" w:firstLine="420"/>
        <w:jc w:val="both"/>
        <w:rPr>
          <w:rFonts w:hint="default" w:ascii="Times New Roman" w:hAnsi="Times New Roman" w:eastAsia="宋体" w:cs="Times New Roman"/>
          <w:kern w:val="2"/>
          <w:sz w:val="24"/>
          <w:szCs w:val="24"/>
          <w:lang w:val="en-US" w:eastAsia="zh-CN" w:bidi="ar"/>
        </w:rPr>
      </w:pPr>
      <w:r>
        <w:rPr>
          <w:rFonts w:hint="default" w:ascii="Times New Roman" w:hAnsi="Times New Roman" w:eastAsia="宋体" w:cs="Times New Roman"/>
          <w:kern w:val="2"/>
          <w:sz w:val="24"/>
          <w:szCs w:val="24"/>
          <w:lang w:val="en-US" w:eastAsia="zh-CN" w:bidi="ar"/>
        </w:rPr>
        <w:t>In this paper, 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w:t>
      </w:r>
      <w:r>
        <w:rPr>
          <w:rFonts w:hint="eastAsia" w:ascii="Times New Roman" w:hAnsi="Times New Roman" w:eastAsia="宋体" w:cs="Times New Roman"/>
          <w:kern w:val="2"/>
          <w:sz w:val="24"/>
          <w:szCs w:val="24"/>
          <w:lang w:val="en-US" w:eastAsia="zh-CN" w:bidi="ar"/>
        </w:rPr>
        <w:t xml:space="preserve">. </w:t>
      </w:r>
      <w:r>
        <w:rPr>
          <w:rFonts w:hint="eastAsia" w:ascii="Times New Roman" w:hAnsi="Times New Roman" w:eastAsia="宋体" w:cs="Times New Roman"/>
          <w:color w:val="C00000"/>
          <w:kern w:val="2"/>
          <w:sz w:val="24"/>
          <w:szCs w:val="24"/>
          <w:lang w:val="en-US" w:eastAsia="zh-CN" w:bidi="ar"/>
        </w:rPr>
        <w:t xml:space="preserve">Overall, LASSO plays an important role in forecast and </w:t>
      </w:r>
      <w:r>
        <w:rPr>
          <w:rFonts w:hint="default" w:ascii="Times New Roman" w:hAnsi="Times New Roman" w:eastAsia="宋体" w:cs="Times New Roman"/>
          <w:color w:val="C00000"/>
          <w:kern w:val="2"/>
          <w:sz w:val="24"/>
          <w:szCs w:val="24"/>
          <w:lang w:val="en-US" w:eastAsia="zh-CN" w:bidi="ar"/>
        </w:rPr>
        <w:t>LASSO-BiLSTM has the best performance</w:t>
      </w:r>
      <w:r>
        <w:rPr>
          <w:rFonts w:hint="eastAsia" w:ascii="Times New Roman" w:hAnsi="Times New Roman" w:eastAsia="宋体" w:cs="Times New Roman"/>
          <w:color w:val="C00000"/>
          <w:kern w:val="2"/>
          <w:sz w:val="24"/>
          <w:szCs w:val="24"/>
          <w:lang w:val="en-US" w:eastAsia="zh-CN" w:bidi="ar"/>
        </w:rPr>
        <w:t xml:space="preserve"> in 1 step forecasting, 3 steps forecasting and 6 steps forecasting.</w:t>
      </w:r>
      <w:r>
        <w:rPr>
          <w:rFonts w:hint="default" w:ascii="Times New Roman" w:hAnsi="Times New Roman" w:eastAsia="宋体" w:cs="Times New Roman"/>
          <w:kern w:val="2"/>
          <w:sz w:val="24"/>
          <w:szCs w:val="24"/>
          <w:lang w:val="en-US" w:eastAsia="zh-CN" w:bidi="ar"/>
        </w:rPr>
        <w:t xml:space="preserve"> Future studies can apply LASSO-BiLSTM-based ensemble learning approach in other commodity markets or financial markets.</w:t>
      </w:r>
    </w:p>
    <w:p>
      <w:pPr>
        <w:keepNext w:val="0"/>
        <w:keepLines w:val="0"/>
        <w:widowControl w:val="0"/>
        <w:suppressLineNumbers w:val="0"/>
        <w:spacing w:before="0" w:beforeAutospacing="0" w:after="0" w:afterAutospacing="0" w:line="360" w:lineRule="auto"/>
        <w:ind w:left="0" w:right="0" w:firstLine="420"/>
        <w:jc w:val="both"/>
        <w:rPr>
          <w:rFonts w:hint="default" w:ascii="Times New Roman" w:hAnsi="Times New Roman" w:eastAsia="宋体" w:cs="Times New Roman"/>
          <w:kern w:val="2"/>
          <w:sz w:val="24"/>
          <w:szCs w:val="24"/>
          <w:lang w:val="en-US" w:eastAsia="zh-CN" w:bidi="ar"/>
        </w:rPr>
      </w:pPr>
    </w:p>
    <w:p>
      <w:pPr>
        <w:keepNext w:val="0"/>
        <w:keepLines w:val="0"/>
        <w:widowControl w:val="0"/>
        <w:suppressLineNumbers w:val="0"/>
        <w:spacing w:before="0" w:beforeAutospacing="0" w:after="0" w:afterAutospacing="0" w:line="360" w:lineRule="auto"/>
        <w:ind w:left="0" w:right="0" w:firstLine="420"/>
        <w:jc w:val="both"/>
        <w:rPr>
          <w:rFonts w:hint="eastAsia" w:ascii="Times New Roman" w:hAnsi="Times New Roman" w:eastAsia="宋体" w:cs="Times New Roman"/>
          <w:color w:val="C00000"/>
          <w:kern w:val="2"/>
          <w:sz w:val="24"/>
          <w:szCs w:val="24"/>
          <w:lang w:val="en-US" w:eastAsia="zh-CN" w:bidi="ar"/>
        </w:rPr>
      </w:pPr>
      <w:r>
        <w:rPr>
          <w:rFonts w:hint="eastAsia" w:ascii="Times New Roman" w:hAnsi="Times New Roman" w:eastAsia="宋体" w:cs="Times New Roman"/>
          <w:color w:val="C00000"/>
          <w:kern w:val="2"/>
          <w:sz w:val="24"/>
          <w:szCs w:val="24"/>
          <w:lang w:val="en-US" w:eastAsia="zh-CN" w:bidi="ar"/>
        </w:rPr>
        <w:t>The main purpose of this study is to improve the accuracy of exchange rate forecast.</w:t>
      </w:r>
      <w:r>
        <w:rPr>
          <w:rFonts w:hint="eastAsia" w:ascii="Times New Roman" w:hAnsi="Times New Roman" w:eastAsia="宋体" w:cs="Times New Roman"/>
          <w:kern w:val="2"/>
          <w:sz w:val="24"/>
          <w:szCs w:val="24"/>
          <w:lang w:val="en-US" w:eastAsia="zh-CN" w:bidi="ar"/>
        </w:rPr>
        <w:t xml:space="preserve"> To achieve, </w:t>
      </w:r>
      <w:r>
        <w:rPr>
          <w:rFonts w:hint="default" w:ascii="Times New Roman" w:hAnsi="Times New Roman" w:eastAsia="宋体" w:cs="Times New Roman"/>
          <w:kern w:val="2"/>
          <w:sz w:val="24"/>
          <w:szCs w:val="24"/>
          <w:lang w:val="en-US" w:eastAsia="zh-CN" w:bidi="ar"/>
        </w:rPr>
        <w:t>the novel LASSO-BiLSTM-based ensemble learning method is proposed to predict the USD/CNY exchange rate. The framework of the proposed approach includes three steps. Firstly, 29 related variables from four different categories are selected. Secondly, LASSO feature selecting approach is used to choose six variables with the greatest relevance. Lastly, five deep learning methods (SVR, ELM, LSTM, KELM, BiLSTM) that employ 29 related variables and LASSO-combining models (LASSO-SVR, LASSO-ELM, LASSO-LSTM, LASSO-KELM) are adopted to forecast the exchange rate of USD/CNY</w:t>
      </w:r>
      <w:r>
        <w:rPr>
          <w:rFonts w:hint="eastAsia" w:ascii="Times New Roman" w:hAnsi="Times New Roman" w:eastAsia="宋体" w:cs="Times New Roman"/>
          <w:kern w:val="2"/>
          <w:sz w:val="24"/>
          <w:szCs w:val="24"/>
          <w:lang w:val="en-US" w:eastAsia="zh-CN" w:bidi="ar"/>
        </w:rPr>
        <w:t xml:space="preserve">. </w:t>
      </w:r>
      <w:r>
        <w:rPr>
          <w:rFonts w:hint="eastAsia" w:ascii="Times New Roman" w:hAnsi="Times New Roman" w:eastAsia="宋体" w:cs="Times New Roman"/>
          <w:color w:val="C00000"/>
          <w:kern w:val="2"/>
          <w:sz w:val="24"/>
          <w:szCs w:val="24"/>
          <w:lang w:val="en-US" w:eastAsia="zh-CN" w:bidi="ar"/>
        </w:rPr>
        <w:t xml:space="preserve">Overall, LASSO plays a significant role in forecast accuracy and </w:t>
      </w:r>
      <w:r>
        <w:rPr>
          <w:rFonts w:hint="default" w:ascii="Times New Roman" w:hAnsi="Times New Roman" w:eastAsia="宋体" w:cs="Times New Roman"/>
          <w:color w:val="C00000"/>
          <w:kern w:val="2"/>
          <w:sz w:val="24"/>
          <w:szCs w:val="24"/>
          <w:lang w:val="en-US" w:eastAsia="zh-CN" w:bidi="ar"/>
        </w:rPr>
        <w:t>LASSO-BiLSTM has the best performance</w:t>
      </w:r>
      <w:r>
        <w:rPr>
          <w:rFonts w:hint="eastAsia" w:ascii="Times New Roman" w:hAnsi="Times New Roman" w:eastAsia="宋体" w:cs="Times New Roman"/>
          <w:color w:val="C00000"/>
          <w:kern w:val="2"/>
          <w:sz w:val="24"/>
          <w:szCs w:val="24"/>
          <w:lang w:val="en-US" w:eastAsia="zh-CN" w:bidi="ar"/>
        </w:rPr>
        <w:t xml:space="preserve"> in 1 step forecasting, 3 steps forecasting and 6 steps forecasting. To verify the robustness of LASSO-BiLSTM, same test has applied to the forecast of USD/GBP and LASSO-BiLSTM still outperformed the other models.</w:t>
      </w:r>
    </w:p>
    <w:p>
      <w:pPr>
        <w:keepNext w:val="0"/>
        <w:keepLines w:val="0"/>
        <w:widowControl w:val="0"/>
        <w:suppressLineNumbers w:val="0"/>
        <w:spacing w:before="0" w:beforeAutospacing="0" w:after="0" w:afterAutospacing="0" w:line="360" w:lineRule="auto"/>
        <w:ind w:left="0" w:right="0" w:firstLine="420"/>
        <w:jc w:val="both"/>
        <w:rPr>
          <w:rFonts w:hint="eastAsia" w:ascii="Times New Roman" w:hAnsi="Times New Roman" w:eastAsia="宋体" w:cs="Times New Roman"/>
          <w:color w:val="C00000"/>
          <w:kern w:val="2"/>
          <w:sz w:val="24"/>
          <w:szCs w:val="24"/>
          <w:lang w:val="en-US" w:eastAsia="zh-CN" w:bidi="ar"/>
        </w:rPr>
      </w:pPr>
      <w:r>
        <w:rPr>
          <w:rFonts w:hint="eastAsia" w:ascii="Times New Roman" w:hAnsi="Times New Roman" w:eastAsia="宋体" w:cs="Times New Roman"/>
          <w:color w:val="C00000"/>
          <w:kern w:val="2"/>
          <w:sz w:val="24"/>
          <w:szCs w:val="24"/>
          <w:lang w:val="en-US" w:eastAsia="zh-CN" w:bidi="ar"/>
        </w:rPr>
        <w:t>This study has four major implications: (1)LASSO-BiLSTM has outstanding potential to forecast exchange rate (2) Adopting LASSO as feature selection can reduce overfitting effectively and thus improve the result (3) BiLSTM-based model can effectively process information from both direction and thus outperforms other models (4) Considering different types of variables before forecast can better understand economic situation. These conclusions can apply to further study and help improve forecasting performance.</w:t>
      </w:r>
    </w:p>
    <w:p>
      <w:pPr>
        <w:keepNext w:val="0"/>
        <w:keepLines w:val="0"/>
        <w:widowControl w:val="0"/>
        <w:suppressLineNumbers w:val="0"/>
        <w:spacing w:before="0" w:beforeAutospacing="0" w:after="0" w:afterAutospacing="0" w:line="360" w:lineRule="auto"/>
        <w:ind w:left="0" w:right="0" w:firstLine="420"/>
        <w:jc w:val="both"/>
        <w:rPr>
          <w:rFonts w:hint="default" w:ascii="Times New Roman" w:hAnsi="Times New Roman" w:eastAsia="宋体" w:cs="Times New Roman"/>
          <w:color w:val="C00000"/>
          <w:kern w:val="2"/>
          <w:sz w:val="24"/>
          <w:szCs w:val="24"/>
          <w:lang w:val="en-US" w:eastAsia="zh-CN" w:bidi="ar"/>
        </w:rPr>
      </w:pPr>
      <w:r>
        <w:rPr>
          <w:rFonts w:hint="eastAsia" w:ascii="Times New Roman" w:hAnsi="Times New Roman" w:eastAsia="宋体" w:cs="Times New Roman"/>
          <w:color w:val="C00000"/>
          <w:kern w:val="2"/>
          <w:sz w:val="24"/>
          <w:szCs w:val="24"/>
          <w:lang w:val="en-US" w:eastAsia="zh-CN" w:bidi="ar"/>
        </w:rPr>
        <w:t>Since exchange rate is tightly related countries economic status, financial transaction and enterprise decisions, exchange rate forecasting would be highly essential. Therefore, the newly raised methodology will provide two management implications. First, the proposed model can help policy makers make decisions and thus ensure countries</w:t>
      </w:r>
      <w:r>
        <w:rPr>
          <w:rFonts w:hint="default" w:ascii="Times New Roman" w:hAnsi="Times New Roman" w:eastAsia="宋体" w:cs="Times New Roman"/>
          <w:color w:val="C00000"/>
          <w:kern w:val="2"/>
          <w:sz w:val="24"/>
          <w:szCs w:val="24"/>
          <w:lang w:val="en-US" w:eastAsia="zh-CN" w:bidi="ar"/>
        </w:rPr>
        <w:t>’</w:t>
      </w:r>
      <w:r>
        <w:rPr>
          <w:rFonts w:hint="eastAsia" w:ascii="Times New Roman" w:hAnsi="Times New Roman" w:eastAsia="宋体" w:cs="Times New Roman"/>
          <w:color w:val="C00000"/>
          <w:kern w:val="2"/>
          <w:sz w:val="24"/>
          <w:szCs w:val="24"/>
          <w:lang w:val="en-US" w:eastAsia="zh-CN" w:bidi="ar"/>
        </w:rPr>
        <w:t xml:space="preserve"> economic development and security. Second, individual transactors can learn from the signals and thus manage their assets effectively.</w:t>
      </w:r>
    </w:p>
    <w:p>
      <w:pPr>
        <w:keepNext w:val="0"/>
        <w:keepLines w:val="0"/>
        <w:widowControl w:val="0"/>
        <w:suppressLineNumbers w:val="0"/>
        <w:spacing w:before="0" w:beforeAutospacing="0" w:after="0" w:afterAutospacing="0" w:line="360" w:lineRule="auto"/>
        <w:ind w:left="0" w:right="0" w:firstLine="420"/>
        <w:jc w:val="both"/>
        <w:rPr>
          <w:rFonts w:hint="eastAsia" w:ascii="Times New Roman" w:hAnsi="Times New Roman" w:eastAsia="宋体" w:cs="Times New Roman"/>
          <w:color w:val="C00000"/>
          <w:kern w:val="2"/>
          <w:sz w:val="24"/>
          <w:szCs w:val="24"/>
          <w:lang w:val="en-US" w:eastAsia="zh-CN" w:bidi="ar"/>
        </w:rPr>
      </w:pPr>
      <w:r>
        <w:rPr>
          <w:rFonts w:hint="default" w:ascii="Times New Roman" w:hAnsi="Times New Roman" w:eastAsia="宋体" w:cs="Times New Roman"/>
          <w:color w:val="C00000"/>
          <w:kern w:val="2"/>
          <w:sz w:val="24"/>
          <w:szCs w:val="24"/>
          <w:lang w:val="en-US" w:eastAsia="zh-CN" w:bidi="ar"/>
        </w:rPr>
        <w:t>Although the proposed framework has obtained a</w:t>
      </w:r>
      <w:r>
        <w:rPr>
          <w:rFonts w:hint="eastAsia" w:ascii="Times New Roman" w:hAnsi="Times New Roman" w:eastAsia="宋体" w:cs="Times New Roman"/>
          <w:color w:val="C00000"/>
          <w:kern w:val="2"/>
          <w:sz w:val="24"/>
          <w:szCs w:val="24"/>
          <w:lang w:val="en-US" w:eastAsia="zh-CN" w:bidi="ar"/>
        </w:rPr>
        <w:t>n outstanding</w:t>
      </w:r>
      <w:r>
        <w:rPr>
          <w:rFonts w:hint="default" w:ascii="Times New Roman" w:hAnsi="Times New Roman" w:eastAsia="宋体" w:cs="Times New Roman"/>
          <w:color w:val="C00000"/>
          <w:kern w:val="2"/>
          <w:sz w:val="24"/>
          <w:szCs w:val="24"/>
          <w:lang w:val="en-US" w:eastAsia="zh-CN" w:bidi="ar"/>
        </w:rPr>
        <w:t xml:space="preserve"> forecasting performance, </w:t>
      </w:r>
      <w:r>
        <w:rPr>
          <w:rFonts w:hint="eastAsia" w:ascii="Times New Roman" w:hAnsi="Times New Roman" w:eastAsia="宋体" w:cs="Times New Roman"/>
          <w:color w:val="C00000"/>
          <w:kern w:val="2"/>
          <w:sz w:val="24"/>
          <w:szCs w:val="24"/>
          <w:lang w:val="en-US" w:eastAsia="zh-CN" w:bidi="ar"/>
        </w:rPr>
        <w:t>it still have certain</w:t>
      </w:r>
      <w:r>
        <w:rPr>
          <w:rFonts w:hint="default" w:ascii="Times New Roman" w:hAnsi="Times New Roman" w:eastAsia="宋体" w:cs="Times New Roman"/>
          <w:color w:val="C00000"/>
          <w:kern w:val="2"/>
          <w:sz w:val="24"/>
          <w:szCs w:val="24"/>
          <w:lang w:val="en-US" w:eastAsia="zh-CN" w:bidi="ar"/>
        </w:rPr>
        <w:t xml:space="preserve"> limitations</w:t>
      </w:r>
      <w:r>
        <w:rPr>
          <w:rFonts w:hint="eastAsia" w:ascii="Times New Roman" w:hAnsi="Times New Roman" w:eastAsia="宋体" w:cs="Times New Roman"/>
          <w:color w:val="C00000"/>
          <w:kern w:val="2"/>
          <w:sz w:val="24"/>
          <w:szCs w:val="24"/>
          <w:lang w:val="en-US" w:eastAsia="zh-CN" w:bidi="ar"/>
        </w:rPr>
        <w:t>. Firstly, LASSO-BiLSTM has only applied to Forex market but not applied to other markets. Since variables in other financial markets also have high volatility, LASSO-BiLSTM may also have strong potential to forecast those variables. Secondly, this study mainly focuses on short-run forecast. To apply the model in more situations, LASSO-BiLSTM can also be tested in long-run forecast in future study. Lastly, (我不知道写啥了）</w:t>
      </w:r>
    </w:p>
    <w:p>
      <w:pPr>
        <w:keepNext w:val="0"/>
        <w:keepLines w:val="0"/>
        <w:widowControl w:val="0"/>
        <w:suppressLineNumbers w:val="0"/>
        <w:spacing w:before="0" w:beforeAutospacing="0" w:after="0" w:afterAutospacing="0" w:line="360" w:lineRule="auto"/>
        <w:ind w:left="0" w:right="0" w:firstLine="420"/>
        <w:jc w:val="both"/>
        <w:rPr>
          <w:rFonts w:hint="default" w:ascii="Times New Roman" w:hAnsi="Times New Roman" w:eastAsia="宋体" w:cs="Times New Roman"/>
          <w:color w:val="C00000"/>
          <w:kern w:val="2"/>
          <w:sz w:val="24"/>
          <w:szCs w:val="24"/>
          <w:lang w:val="en-US" w:eastAsia="zh-CN" w:bidi="ar"/>
        </w:rPr>
      </w:pPr>
    </w:p>
    <w:p>
      <w:pPr>
        <w:keepNext w:val="0"/>
        <w:keepLines w:val="0"/>
        <w:widowControl w:val="0"/>
        <w:suppressLineNumbers w:val="0"/>
        <w:spacing w:before="0" w:beforeAutospacing="0" w:after="0" w:afterAutospacing="0" w:line="360" w:lineRule="auto"/>
        <w:ind w:left="0" w:right="0" w:firstLine="420"/>
        <w:jc w:val="both"/>
        <w:rPr>
          <w:rFonts w:hint="default" w:ascii="Times New Roman" w:hAnsi="Times New Roman" w:eastAsia="宋体" w:cs="Times New Roman"/>
          <w:kern w:val="2"/>
          <w:sz w:val="24"/>
          <w:szCs w:val="24"/>
        </w:rPr>
      </w:pPr>
      <w:r>
        <w:rPr>
          <w:rFonts w:hint="default" w:ascii="Times New Roman" w:hAnsi="Times New Roman" w:eastAsia="宋体" w:cs="Times New Roman"/>
          <w:kern w:val="2"/>
          <w:sz w:val="24"/>
          <w:szCs w:val="24"/>
          <w:lang w:val="en-US" w:eastAsia="zh-CN" w:bidi="ar"/>
        </w:rPr>
        <w:t xml:space="preserve">our proposed model can outperform the benchmarks in forecasting exchange rate with MAE and RMSE; (2) the LASSO-based models generally outperforms the single models since the LASSO method of feature selection does reduce overfitting and thus gives a more promising result; (3) The BiLSTM-based model is generally performs better than the other models, that is BiLSTM is more suitable to deal with the high volatility and nonlinear patterns in the time series of exchange rates. (4) exchange rate fluctuations are influenced by a variety of factors, and compared with the previous study, it is the first time that the market-based variables and macroeconomic variables have been selected to predict the exchange rate of USD/CNY. The proposed model contains more information to simulate the fluctuations of exchange rate and get more accurate predictions. </w:t>
      </w:r>
    </w:p>
    <w:p>
      <w:pPr>
        <w:keepNext w:val="0"/>
        <w:keepLines w:val="0"/>
        <w:widowControl w:val="0"/>
        <w:suppressLineNumbers w:val="0"/>
        <w:spacing w:before="0" w:beforeAutospacing="0" w:after="0" w:afterAutospacing="0" w:line="360" w:lineRule="auto"/>
        <w:ind w:left="0" w:right="0" w:firstLine="420"/>
        <w:jc w:val="both"/>
        <w:rPr>
          <w:rFonts w:hint="default" w:ascii="Times New Roman" w:hAnsi="Times New Roman" w:eastAsia="宋体" w:cs="Times New Roman"/>
          <w:color w:val="C00000"/>
          <w:kern w:val="2"/>
          <w:sz w:val="24"/>
          <w:szCs w:val="24"/>
          <w:lang w:val="en-US" w:eastAsia="zh-CN" w:bidi="ar"/>
        </w:rPr>
      </w:pPr>
    </w:p>
    <w:p>
      <w:pPr>
        <w:widowControl w:val="0"/>
        <w:numPr>
          <w:ilvl w:val="0"/>
          <w:numId w:val="0"/>
        </w:numPr>
        <w:jc w:val="both"/>
        <w:rPr>
          <w:rFonts w:hint="default"/>
          <w:lang w:val="en-US" w:eastAsia="zh-CN"/>
        </w:rPr>
      </w:pPr>
    </w:p>
    <w:p>
      <w:pPr>
        <w:widowControl w:val="0"/>
        <w:numPr>
          <w:ilvl w:val="0"/>
          <w:numId w:val="0"/>
        </w:numPr>
        <w:jc w:val="both"/>
        <w:rPr>
          <w:rFonts w:hint="default"/>
          <w:lang w:val="en-US" w:eastAsia="zh-CN"/>
        </w:rPr>
      </w:pPr>
    </w:p>
    <w:p>
      <w:pPr>
        <w:widowControl w:val="0"/>
        <w:numPr>
          <w:ilvl w:val="0"/>
          <w:numId w:val="0"/>
        </w:numPr>
        <w:jc w:val="both"/>
        <w:rPr>
          <w:rFonts w:hint="eastAsia"/>
          <w:lang w:val="en-US" w:eastAsia="zh-CN"/>
        </w:rPr>
      </w:pPr>
      <w:r>
        <w:rPr>
          <w:rFonts w:hint="eastAsia"/>
          <w:lang w:val="en-US" w:eastAsia="zh-CN"/>
        </w:rPr>
        <w:t>Intro</w:t>
      </w:r>
    </w:p>
    <w:p>
      <w:pPr>
        <w:keepNext w:val="0"/>
        <w:keepLines w:val="0"/>
        <w:widowControl w:val="0"/>
        <w:suppressLineNumbers w:val="0"/>
        <w:spacing w:before="0" w:beforeAutospacing="0" w:after="0" w:afterAutospacing="0" w:line="360" w:lineRule="auto"/>
        <w:ind w:left="0" w:right="0" w:firstLine="420" w:firstLineChars="0"/>
        <w:jc w:val="both"/>
        <w:rPr>
          <w:rFonts w:hint="default" w:ascii="Times New Roman" w:hAnsi="Times New Roman" w:eastAsia="宋体" w:cs="Times New Roman"/>
          <w:color w:val="FF0000"/>
          <w:kern w:val="2"/>
          <w:sz w:val="24"/>
          <w:szCs w:val="24"/>
        </w:rPr>
      </w:pPr>
      <w:r>
        <w:rPr>
          <w:rFonts w:hint="default" w:ascii="Times New Roman" w:hAnsi="Times New Roman" w:eastAsia="宋体" w:cs="Times New Roman"/>
          <w:color w:val="FF0000"/>
          <w:kern w:val="2"/>
          <w:sz w:val="24"/>
          <w:szCs w:val="24"/>
          <w:lang w:val="en-US" w:eastAsia="zh-CN" w:bidi="ar"/>
        </w:rPr>
        <w:t xml:space="preserve">This section reviews relevant literature about exchange rate forecasting with model adoptions and variable selection. </w:t>
      </w:r>
    </w:p>
    <w:p>
      <w:pPr>
        <w:keepNext w:val="0"/>
        <w:keepLines w:val="0"/>
        <w:widowControl w:val="0"/>
        <w:suppressLineNumbers w:val="0"/>
        <w:spacing w:before="0" w:beforeAutospacing="0" w:after="0" w:afterAutospacing="0" w:line="360" w:lineRule="auto"/>
        <w:ind w:left="0" w:right="0" w:firstLine="420" w:firstLineChars="0"/>
        <w:jc w:val="both"/>
        <w:rPr>
          <w:rFonts w:hint="default" w:ascii="Times New Roman" w:hAnsi="Times New Roman" w:eastAsia="宋体" w:cs="Times New Roman"/>
          <w:color w:val="FF0000"/>
          <w:kern w:val="2"/>
          <w:sz w:val="24"/>
          <w:szCs w:val="24"/>
        </w:rPr>
      </w:pPr>
      <w:r>
        <w:rPr>
          <w:rFonts w:hint="default" w:ascii="Times New Roman" w:hAnsi="Times New Roman" w:eastAsia="宋体" w:cs="Times New Roman"/>
          <w:color w:val="FF0000"/>
          <w:kern w:val="2"/>
          <w:sz w:val="24"/>
          <w:szCs w:val="24"/>
          <w:lang w:val="en-US" w:eastAsia="zh-CN" w:bidi="ar"/>
        </w:rPr>
        <w:t>2.1 Model adoption</w:t>
      </w:r>
    </w:p>
    <w:p>
      <w:pPr>
        <w:keepNext w:val="0"/>
        <w:keepLines w:val="0"/>
        <w:widowControl w:val="0"/>
        <w:suppressLineNumbers w:val="0"/>
        <w:spacing w:before="0" w:beforeAutospacing="0" w:after="0" w:afterAutospacing="0" w:line="360" w:lineRule="auto"/>
        <w:ind w:left="0" w:right="0" w:firstLine="420" w:firstLineChars="0"/>
        <w:jc w:val="both"/>
        <w:rPr>
          <w:rFonts w:hint="default" w:ascii="Times New Roman" w:hAnsi="Times New Roman" w:eastAsia="宋体" w:cs="Times New Roman"/>
          <w:color w:val="FF0000"/>
          <w:kern w:val="2"/>
          <w:sz w:val="24"/>
          <w:szCs w:val="24"/>
        </w:rPr>
      </w:pPr>
      <w:r>
        <w:rPr>
          <w:rFonts w:hint="default" w:ascii="Times New Roman" w:hAnsi="Times New Roman" w:eastAsia="宋体" w:cs="Times New Roman"/>
          <w:color w:val="FF0000"/>
          <w:kern w:val="2"/>
          <w:sz w:val="24"/>
          <w:szCs w:val="24"/>
          <w:lang w:val="en-US" w:eastAsia="zh-CN" w:bidi="ar"/>
        </w:rPr>
        <w:t xml:space="preserve">Traditionally, econometrics and statistic methods are univariate or multivariate analyses of time series. For example, by adopting ARIMA, Reddy SK (2015) investigates the behavior of daily exchange rates of the Indian Rupee (INR) against four other currencies. To improve, ensemble approaches based on econometrics and statistic models are used, such as ARIMA-based time series methods, GARCH-based and VAR-based learning (Pilbeam &amp; Langeland, 2014; Khashei et al., 2015; Brownlees &amp; Gallo, 2009; Epaphra, 2017; Parot et al., 2019). </w:t>
      </w:r>
    </w:p>
    <w:p>
      <w:pPr>
        <w:keepNext w:val="0"/>
        <w:keepLines w:val="0"/>
        <w:widowControl w:val="0"/>
        <w:suppressLineNumbers w:val="0"/>
        <w:spacing w:before="0" w:beforeAutospacing="0" w:after="0" w:afterAutospacing="0" w:line="360" w:lineRule="auto"/>
        <w:ind w:left="0" w:right="0" w:firstLine="420" w:firstLineChars="0"/>
        <w:jc w:val="both"/>
        <w:rPr>
          <w:rFonts w:hint="default" w:ascii="Times New Roman" w:hAnsi="Times New Roman" w:eastAsia="宋体" w:cs="Times New Roman"/>
          <w:color w:val="FF0000"/>
          <w:kern w:val="2"/>
          <w:sz w:val="24"/>
          <w:szCs w:val="24"/>
        </w:rPr>
      </w:pPr>
      <w:r>
        <w:rPr>
          <w:rFonts w:hint="default" w:ascii="Times New Roman" w:hAnsi="Times New Roman" w:eastAsia="宋体" w:cs="Times New Roman"/>
          <w:color w:val="FF0000"/>
          <w:kern w:val="2"/>
          <w:sz w:val="24"/>
          <w:szCs w:val="24"/>
          <w:lang w:val="en-US" w:eastAsia="zh-CN" w:bidi="ar"/>
        </w:rPr>
        <w:t>However, univariate or multivariate analysis has limited capacity to analyze nonlinear data and requires linearity assumption. Machine learning can overcome these barriers effectively. For instance, Panda and Narasimhan (2007) found that neural network ANN outperforms linear autoregressive (LAR) and random walk (RW) models. Evolutionary support vector machine (SVR) and other ensemble learning approaches all demonstrate adaptive properties such as non-parametric, noise-tolerant allow machine learning models to map non-linear functions effectively (Fu et al., 2019; Sun &amp; Yu, 2019; Amelot et al., 2020; Kaushik &amp; Giri, 2020).</w:t>
      </w:r>
    </w:p>
    <w:p>
      <w:pPr>
        <w:keepNext w:val="0"/>
        <w:keepLines w:val="0"/>
        <w:widowControl w:val="0"/>
        <w:suppressLineNumbers w:val="0"/>
        <w:spacing w:before="0" w:beforeAutospacing="0" w:after="0" w:afterAutospacing="0" w:line="360" w:lineRule="auto"/>
        <w:ind w:left="0" w:right="0" w:firstLine="420" w:firstLineChars="0"/>
        <w:jc w:val="both"/>
        <w:rPr>
          <w:rFonts w:hint="default" w:ascii="Times New Roman" w:hAnsi="Times New Roman" w:eastAsia="宋体" w:cs="Times New Roman"/>
          <w:color w:val="FF0000"/>
          <w:kern w:val="2"/>
          <w:sz w:val="24"/>
          <w:szCs w:val="24"/>
        </w:rPr>
      </w:pPr>
      <w:r>
        <w:rPr>
          <w:rFonts w:hint="default" w:ascii="Times New Roman" w:hAnsi="Times New Roman" w:eastAsia="宋体" w:cs="Times New Roman"/>
          <w:color w:val="FF0000"/>
          <w:kern w:val="2"/>
          <w:sz w:val="24"/>
          <w:szCs w:val="24"/>
          <w:lang w:val="en-US" w:eastAsia="zh-CN" w:bidi="ar"/>
        </w:rPr>
        <w:t xml:space="preserve">The remaining shortages of machine learning, such as overfitting, and backpropagated error decay, are then improved by deep learning method. Kaushik and Giri (2020) proposed the LSTM-RNN model that achieves higher prediction accuracy. Sun et al. (2020) proposed a new ensemble deep learning approach LSTM-B to improve forecasting accuracy and potential trading profitability. Dautel et al. (2020) examine the effectiveness of GRU and indicate its suitability in exchange rate forecasting. Other deep learning models such as MLP and CNN are also implemented in Forex prediction (Wang et al., 2021; Singh et al., 2022; Liu et al., 2023). However, to best of our knowledge, the deep learning model BiLSTM hasn't been adopted in Forex Prediction. According to existing literature, it is mainly adopted to analyze sentimental texts, financial market, and tourism demand (Chen et al., 2017; Zhang et al., 2018; Rhanoui et al., 2019; Xu et al., 2019; Mustaqeem et al., 2020; Kulshrestha et al., 2020; Lu et al., 2020; Yang &amp; Wang, 2022). Since BiLSTM has a strong capacity to capture future information and analyze sentiments effectively, adopting BiLSTM in the Forex market can better adapt to the instability of exchange rates and economic uncertainty. </w:t>
      </w:r>
    </w:p>
    <w:p>
      <w:pPr>
        <w:widowControl w:val="0"/>
        <w:numPr>
          <w:ilvl w:val="0"/>
          <w:numId w:val="0"/>
        </w:numPr>
        <w:jc w:val="both"/>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D2ABA3"/>
    <w:multiLevelType w:val="multilevel"/>
    <w:tmpl w:val="1BD2ABA3"/>
    <w:lvl w:ilvl="0" w:tentative="0">
      <w:start w:val="1"/>
      <w:numFmt w:val="decimal"/>
      <w:suff w:val="space"/>
      <w:lvlText w:val="%1."/>
      <w:lvlJc w:val="left"/>
      <w:pPr>
        <w:ind w:left="0" w:firstLine="0"/>
      </w:pPr>
      <w:rPr>
        <w:rFonts w:hint="default" w:ascii="Times New Roman" w:hAnsi="Times New Roman" w:cs="Times New Roman"/>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574C50AF"/>
    <w:multiLevelType w:val="singleLevel"/>
    <w:tmpl w:val="574C50AF"/>
    <w:lvl w:ilvl="0" w:tentative="0">
      <w:start w:val="2"/>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00000000"/>
    <w:rsid w:val="030F7437"/>
    <w:rsid w:val="049E5B69"/>
    <w:rsid w:val="068931F1"/>
    <w:rsid w:val="08E502BF"/>
    <w:rsid w:val="0A1540EB"/>
    <w:rsid w:val="0EA7303D"/>
    <w:rsid w:val="14A7144A"/>
    <w:rsid w:val="151209D1"/>
    <w:rsid w:val="162C1963"/>
    <w:rsid w:val="1B6C7FDA"/>
    <w:rsid w:val="1D586AED"/>
    <w:rsid w:val="210A2D48"/>
    <w:rsid w:val="232E5C5F"/>
    <w:rsid w:val="24FF7DEA"/>
    <w:rsid w:val="2A871171"/>
    <w:rsid w:val="2BA70CA4"/>
    <w:rsid w:val="2D955731"/>
    <w:rsid w:val="32B37F2E"/>
    <w:rsid w:val="360658FC"/>
    <w:rsid w:val="363E0E5F"/>
    <w:rsid w:val="36D828EF"/>
    <w:rsid w:val="3CD74F5C"/>
    <w:rsid w:val="3F3B3785"/>
    <w:rsid w:val="41784096"/>
    <w:rsid w:val="44EE129A"/>
    <w:rsid w:val="462C02CC"/>
    <w:rsid w:val="49080B7C"/>
    <w:rsid w:val="52ED39B7"/>
    <w:rsid w:val="56560FA7"/>
    <w:rsid w:val="576F7D6A"/>
    <w:rsid w:val="58FE3B5F"/>
    <w:rsid w:val="5CBC7347"/>
    <w:rsid w:val="5CCB3F43"/>
    <w:rsid w:val="5D6D4FFA"/>
    <w:rsid w:val="5D88419C"/>
    <w:rsid w:val="61500EBB"/>
    <w:rsid w:val="623459BC"/>
    <w:rsid w:val="65BD759E"/>
    <w:rsid w:val="680C221D"/>
    <w:rsid w:val="69BE439F"/>
    <w:rsid w:val="6D5E2C9D"/>
    <w:rsid w:val="702E5B63"/>
    <w:rsid w:val="705C2F35"/>
    <w:rsid w:val="71A614A9"/>
    <w:rsid w:val="73CE5B38"/>
    <w:rsid w:val="762627C6"/>
    <w:rsid w:val="77BD2282"/>
    <w:rsid w:val="79361F05"/>
    <w:rsid w:val="7A6D1EFD"/>
    <w:rsid w:val="7BEC5703"/>
    <w:rsid w:val="7BF076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qFormat/>
    <w:uiPriority w:val="0"/>
    <w:pPr>
      <w:keepNext w:val="0"/>
      <w:keepLines w:val="0"/>
      <w:widowControl w:val="0"/>
      <w:suppressLineNumbers w:val="0"/>
      <w:spacing w:before="0" w:beforeAutospacing="1" w:after="0" w:afterAutospacing="1"/>
      <w:jc w:val="both"/>
    </w:pPr>
    <w:rPr>
      <w:rFonts w:hint="default" w:ascii="Calibri" w:hAnsi="Calibri" w:eastAsia="宋体" w:cs="Times New Roman"/>
      <w:kern w:val="2"/>
      <w:sz w:val="21"/>
      <w:szCs w:val="21"/>
      <w:lang w:val="en-US" w:eastAsia="zh-CN" w:bidi="ar"/>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2734</Words>
  <Characters>16849</Characters>
  <Lines>0</Lines>
  <Paragraphs>0</Paragraphs>
  <TotalTime>114</TotalTime>
  <ScaleCrop>false</ScaleCrop>
  <LinksUpToDate>false</LinksUpToDate>
  <CharactersWithSpaces>19517</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2023-08-16T02:20:00Z</dcterms:created>
  <dc:creator>爱吃吃的的Sarah</dc:creator>
  <cp:lastModifiedBy>小尘</cp:lastModifiedBy>
  <dcterms:modified xsi:type="dcterms:W3CDTF">2023-08-19T05:51:08Z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891A1038321A45618B76C669D4B07C2B_12</vt:lpwstr>
  </property>
</Properties>
</file>