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bookmarkStart w:id="2" w:name="_GoBack"/>
      <w:bookmarkStart w:id="0" w:name="OLE_LINK2"/>
      <w:r>
        <w:rPr>
          <w:rFonts w:hint="eastAsia"/>
          <w:lang w:val="en-US" w:eastAsia="zh-CN"/>
        </w:rPr>
        <w:t>Footnotes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superscript"/>
          <w:lang w:val="en-US" w:eastAsia="zh-CN"/>
        </w:rPr>
        <w:t xml:space="preserve">1 </w:t>
      </w:r>
      <w:bookmarkStart w:id="1" w:name="OLE_LINK1"/>
      <w:r>
        <w:rPr>
          <w:rFonts w:hint="eastAsia"/>
          <w:vertAlign w:val="baseline"/>
          <w:lang w:val="en-US" w:eastAsia="zh-CN"/>
        </w:rPr>
        <w:t xml:space="preserve">According to Kahnman (2011), system II in mind </w:t>
      </w:r>
      <w:r>
        <w:rPr>
          <w:rFonts w:hint="default"/>
          <w:vertAlign w:val="baseline"/>
          <w:lang w:val="en-US" w:eastAsia="zh-CN"/>
        </w:rPr>
        <w:t>“allocates attention to the effortful mental activities that</w:t>
      </w:r>
      <w:r>
        <w:rPr>
          <w:rFonts w:hint="eastAsia"/>
          <w:vertAlign w:val="baseline"/>
          <w:lang w:val="en-US" w:eastAsia="zh-CN"/>
        </w:rPr>
        <w:t xml:space="preserve"> </w:t>
      </w:r>
      <w:r>
        <w:rPr>
          <w:rFonts w:hint="default"/>
          <w:vertAlign w:val="baseline"/>
          <w:lang w:val="en-US" w:eastAsia="zh-CN"/>
        </w:rPr>
        <w:t>demand it</w:t>
      </w:r>
      <w:r>
        <w:rPr>
          <w:rFonts w:hint="eastAsia"/>
          <w:vertAlign w:val="baseline"/>
          <w:lang w:val="en-US" w:eastAsia="zh-CN"/>
        </w:rPr>
        <w:t>.</w:t>
      </w:r>
      <w:r>
        <w:rPr>
          <w:rFonts w:hint="default"/>
          <w:vertAlign w:val="baseline"/>
          <w:lang w:val="en-US" w:eastAsia="zh-CN"/>
        </w:rPr>
        <w:t>”</w:t>
      </w:r>
    </w:p>
    <w:bookmarkEnd w:id="1"/>
    <w:p>
      <w:p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superscript"/>
          <w:lang w:val="en-US" w:eastAsia="zh-CN"/>
        </w:rPr>
        <w:t>2</w:t>
      </w:r>
      <w:r>
        <w:rPr>
          <w:rFonts w:hint="eastAsia"/>
          <w:vertAlign w:val="baseline"/>
          <w:lang w:val="en-US" w:eastAsia="zh-CN"/>
        </w:rPr>
        <w:t xml:space="preserve">According to Kahnman (2011), system I in mind </w:t>
      </w:r>
      <w:r>
        <w:rPr>
          <w:rFonts w:hint="default"/>
          <w:vertAlign w:val="baseline"/>
          <w:lang w:val="en-US" w:eastAsia="zh-CN"/>
        </w:rPr>
        <w:t>“ operates automatically and quickly, with little or no effort</w:t>
      </w:r>
      <w:r>
        <w:rPr>
          <w:rFonts w:hint="eastAsia"/>
          <w:vertAlign w:val="baseline"/>
          <w:lang w:val="en-US" w:eastAsia="zh-CN"/>
        </w:rPr>
        <w:t xml:space="preserve"> </w:t>
      </w:r>
      <w:r>
        <w:rPr>
          <w:rFonts w:hint="default"/>
          <w:vertAlign w:val="baseline"/>
          <w:lang w:val="en-US" w:eastAsia="zh-CN"/>
        </w:rPr>
        <w:t>and no sense of voluntary control</w:t>
      </w:r>
      <w:r>
        <w:rPr>
          <w:rFonts w:hint="eastAsia"/>
          <w:vertAlign w:val="baseline"/>
          <w:lang w:val="en-US" w:eastAsia="zh-CN"/>
        </w:rPr>
        <w:t>.</w:t>
      </w:r>
      <w:r>
        <w:rPr>
          <w:rFonts w:hint="default"/>
          <w:vertAlign w:val="baseline"/>
          <w:lang w:val="en-US" w:eastAsia="zh-CN"/>
        </w:rPr>
        <w:t>”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superscript"/>
          <w:lang w:val="en-US" w:eastAsia="zh-CN"/>
        </w:rPr>
        <w:t>3</w:t>
      </w:r>
      <w:r>
        <w:rPr>
          <w:rFonts w:hint="eastAsia"/>
          <w:vertAlign w:val="baseli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0E101A"/>
          <w:sz w:val="24"/>
          <w:szCs w:val="24"/>
        </w:rPr>
        <w:t>The image is from Tal Ben-Shahar. (2007). </w:t>
      </w:r>
      <w:r>
        <w:rPr>
          <w:rStyle w:val="5"/>
          <w:rFonts w:hint="default" w:ascii="Times New Roman" w:hAnsi="Times New Roman" w:cs="Times New Roman"/>
          <w:color w:val="0E101A"/>
          <w:sz w:val="24"/>
          <w:szCs w:val="24"/>
        </w:rPr>
        <w:t>Happier : learn the secrets to daily joy and lasting fulfillment</w:t>
      </w:r>
      <w:r>
        <w:rPr>
          <w:rFonts w:hint="default" w:ascii="Times New Roman" w:hAnsi="Times New Roman" w:cs="Times New Roman"/>
          <w:color w:val="0E101A"/>
          <w:sz w:val="24"/>
          <w:szCs w:val="24"/>
        </w:rPr>
        <w:t>. Mcgraw-Hill.</w:t>
      </w:r>
    </w:p>
    <w:p>
      <w:p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superscript"/>
          <w:lang w:val="en-US" w:eastAsia="zh-CN"/>
        </w:rPr>
        <w:t>4</w:t>
      </w:r>
      <w:r>
        <w:rPr>
          <w:rFonts w:hint="eastAsia"/>
          <w:vertAlign w:val="baseline"/>
          <w:lang w:val="en-US" w:eastAsia="zh-CN"/>
        </w:rPr>
        <w:t xml:space="preserve"> According to Carse (2012), finite game is </w:t>
      </w:r>
      <w:r>
        <w:rPr>
          <w:rFonts w:hint="default"/>
          <w:vertAlign w:val="baseline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played for the purpose of winning</w:t>
      </w:r>
      <w:r>
        <w:rPr>
          <w:rFonts w:hint="default"/>
          <w:vertAlign w:val="baseline"/>
          <w:lang w:val="en-US" w:eastAsia="zh-CN"/>
        </w:rPr>
        <w:t>”</w:t>
      </w:r>
      <w:r>
        <w:rPr>
          <w:rFonts w:hint="eastAsia"/>
          <w:vertAlign w:val="baseline"/>
          <w:lang w:val="en-US" w:eastAsia="zh-CN"/>
        </w:rPr>
        <w:t xml:space="preserve">; oppositely, an infinite game is </w:t>
      </w:r>
      <w:r>
        <w:rPr>
          <w:rFonts w:hint="default"/>
          <w:vertAlign w:val="baseline"/>
          <w:lang w:val="en-US" w:eastAsia="zh-CN"/>
        </w:rPr>
        <w:t>“</w:t>
      </w:r>
      <w:r>
        <w:rPr>
          <w:rFonts w:hint="eastAsia"/>
          <w:vertAlign w:val="baseline"/>
          <w:lang w:val="en-US" w:eastAsia="zh-CN"/>
        </w:rPr>
        <w:t>for the purpose of continuing the play.</w:t>
      </w:r>
      <w:r>
        <w:rPr>
          <w:rFonts w:hint="default"/>
          <w:vertAlign w:val="baseline"/>
          <w:lang w:val="en-US" w:eastAsia="zh-CN"/>
        </w:rPr>
        <w:t>”</w:t>
      </w:r>
    </w:p>
    <w:p>
      <w:pPr>
        <w:pStyle w:val="2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480" w:lineRule="auto"/>
        <w:ind w:left="0" w:hanging="720"/>
        <w:rPr>
          <w:rFonts w:hint="default" w:eastAsiaTheme="minorEastAsia"/>
          <w:lang w:val="en-US" w:eastAsia="zh-CN"/>
        </w:rPr>
      </w:pPr>
      <w:r>
        <w:rPr>
          <w:rFonts w:hint="eastAsia"/>
          <w:vertAlign w:val="superscript"/>
          <w:lang w:val="en-US" w:eastAsia="zh-CN"/>
        </w:rPr>
        <w:t xml:space="preserve">5 </w:t>
      </w:r>
      <w:r>
        <w:rPr>
          <w:rFonts w:hint="eastAsia"/>
          <w:vertAlign w:val="baseline"/>
          <w:lang w:val="en-US" w:eastAsia="zh-CN"/>
        </w:rPr>
        <w:t xml:space="preserve"> The absolute value of U(-a) is greater than U(a), which means the subjective gain obtained from (a+b) cannot offset the subjective loss brought by -(a+b). This figure is from </w:t>
      </w:r>
      <w:r>
        <w:rPr>
          <w:rFonts w:hint="default" w:ascii="Times New Roman" w:hAnsi="Times New Roman" w:cs="Times New Roman"/>
          <w:sz w:val="24"/>
          <w:szCs w:val="24"/>
          <w:bdr w:val="none" w:color="auto" w:sz="0" w:space="0"/>
        </w:rPr>
        <w:t xml:space="preserve">Khalil, T. E., Albastaki, F., Obaid, L., Zaid, H. A., Dalalah, D., &amp; Alhassani, S. (2022). Ranking Risk Attitudes Using an Integrated AHP-TOPSIS Approach. </w:t>
      </w:r>
      <w:r>
        <w:rPr>
          <w:rFonts w:hint="default" w:ascii="Times New Roman" w:hAnsi="Times New Roman" w:cs="Times New Roman"/>
          <w:i/>
          <w:iCs/>
          <w:sz w:val="24"/>
          <w:szCs w:val="24"/>
          <w:bdr w:val="none" w:color="auto" w:sz="0" w:space="0"/>
        </w:rPr>
        <w:t>International Journal of Applied Decision Sciences</w:t>
      </w:r>
      <w:r>
        <w:rPr>
          <w:rFonts w:hint="default" w:ascii="Times New Roman" w:hAnsi="Times New Roman" w:cs="Times New Roman"/>
          <w:sz w:val="24"/>
          <w:szCs w:val="24"/>
          <w:bdr w:val="none" w:color="auto" w:sz="0" w:space="0"/>
        </w:rPr>
        <w:t xml:space="preserve">, </w:t>
      </w:r>
      <w:r>
        <w:rPr>
          <w:rFonts w:hint="default" w:ascii="Times New Roman" w:hAnsi="Times New Roman" w:cs="Times New Roman"/>
          <w:i/>
          <w:iCs/>
          <w:sz w:val="24"/>
          <w:szCs w:val="24"/>
          <w:bdr w:val="none" w:color="auto" w:sz="0" w:space="0"/>
        </w:rPr>
        <w:t>1</w:t>
      </w:r>
      <w:r>
        <w:rPr>
          <w:rFonts w:hint="default" w:ascii="Times New Roman" w:hAnsi="Times New Roman" w:cs="Times New Roman"/>
          <w:sz w:val="24"/>
          <w:szCs w:val="24"/>
          <w:bdr w:val="none" w:color="auto" w:sz="0" w:space="0"/>
        </w:rPr>
        <w:t xml:space="preserve">(1), 1. </w:t>
      </w:r>
      <w:r>
        <w:rPr>
          <w:rFonts w:hint="default" w:ascii="Times New Roman" w:hAnsi="Times New Roman" w:cs="Times New Roman"/>
          <w:sz w:val="24"/>
          <w:szCs w:val="24"/>
          <w:bdr w:val="none" w:color="auto" w:sz="0" w:space="0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bdr w:val="none" w:color="auto" w:sz="0" w:space="0"/>
        </w:rPr>
        <w:instrText xml:space="preserve"> HYPERLINK "https://doi.org/10.1504/ijads.2022.10037216." </w:instrText>
      </w:r>
      <w:r>
        <w:rPr>
          <w:rFonts w:hint="default" w:ascii="Times New Roman" w:hAnsi="Times New Roman" w:cs="Times New Roman"/>
          <w:sz w:val="24"/>
          <w:szCs w:val="24"/>
          <w:bdr w:val="none" w:color="auto" w:sz="0" w:space="0"/>
        </w:rPr>
        <w:fldChar w:fldCharType="separate"/>
      </w:r>
      <w:r>
        <w:rPr>
          <w:rStyle w:val="6"/>
          <w:rFonts w:hint="default" w:ascii="Times New Roman" w:hAnsi="Times New Roman" w:cs="Times New Roman"/>
          <w:sz w:val="24"/>
          <w:szCs w:val="24"/>
          <w:bdr w:val="none" w:color="auto" w:sz="0" w:space="0"/>
        </w:rPr>
        <w:t>https://doi.org/10.1504/ijads.2022.10037216</w:t>
      </w:r>
      <w:r>
        <w:rPr>
          <w:rStyle w:val="6"/>
          <w:rFonts w:hint="eastAsia" w:ascii="Times New Roman" w:hAnsi="Times New Roman" w:cs="Times New Roman"/>
          <w:sz w:val="24"/>
          <w:szCs w:val="24"/>
          <w:bdr w:val="none" w:color="auto" w:sz="0" w:space="0"/>
          <w:lang w:val="en-US" w:eastAsia="zh-CN"/>
        </w:rPr>
        <w:t>.</w:t>
      </w:r>
      <w:r>
        <w:rPr>
          <w:rFonts w:hint="default" w:ascii="Times New Roman" w:hAnsi="Times New Roman" w:cs="Times New Roman"/>
          <w:sz w:val="24"/>
          <w:szCs w:val="24"/>
          <w:bdr w:val="none" w:color="auto" w:sz="0" w:space="0"/>
        </w:rPr>
        <w:fldChar w:fldCharType="end"/>
      </w:r>
      <w:bookmarkEnd w:id="0"/>
    </w:p>
    <w:bookmarkEnd w:id="2"/>
    <w:p>
      <w:pPr>
        <w:rPr>
          <w:rFonts w:hint="default"/>
          <w:vertAlign w:val="baseline"/>
          <w:lang w:val="en-US" w:eastAsia="zh-CN"/>
        </w:rPr>
      </w:pPr>
    </w:p>
    <w:p>
      <w:pPr>
        <w:rPr>
          <w:rFonts w:hint="default"/>
          <w:vertAlign w:val="baselin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E101A"/>
          <w:sz w:val="24"/>
          <w:szCs w:val="24"/>
          <w:highlight w:val="none"/>
          <w:vertAlign w:val="baseline"/>
          <w:lang w:val="en-US" w:eastAsia="zh-CN"/>
        </w:rPr>
        <w:drawing>
          <wp:inline distT="0" distB="0" distL="114300" distR="114300">
            <wp:extent cx="3598545" cy="2874645"/>
            <wp:effectExtent l="0" t="0" r="1905" b="1905"/>
            <wp:docPr id="6" name="图片 6" descr="Utility-function-for-both-risk-aversion-and-loss-aver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Utility-function-for-both-risk-aversion-and-loss-aversio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854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vertAlign w:val="baseline"/>
          <w:lang w:val="en-US" w:eastAsia="zh-CN"/>
        </w:rPr>
      </w:pPr>
    </w:p>
    <w:p>
      <w:pPr>
        <w:rPr>
          <w:rFonts w:hint="default"/>
          <w:vertAlign w:val="baseli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Ital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-Roman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kyYTFkMWQyNDg1NGI5NTI0ZWU5YWIxOWU0ZjEyYTcifQ=="/>
  </w:docVars>
  <w:rsids>
    <w:rsidRoot w:val="68DF43C4"/>
    <w:rsid w:val="001669D4"/>
    <w:rsid w:val="1E5159EB"/>
    <w:rsid w:val="28A54C15"/>
    <w:rsid w:val="68DF43C4"/>
    <w:rsid w:val="72C83D89"/>
    <w:rsid w:val="7B111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Emphasis"/>
    <w:basedOn w:val="4"/>
    <w:qFormat/>
    <w:uiPriority w:val="0"/>
    <w:rPr>
      <w:i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173</Words>
  <Characters>944</Characters>
  <Lines>0</Lines>
  <Paragraphs>0</Paragraphs>
  <TotalTime>14</TotalTime>
  <ScaleCrop>false</ScaleCrop>
  <LinksUpToDate>false</LinksUpToDate>
  <CharactersWithSpaces>1111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2023-06-30T01:02:00Z</dcterms:created>
  <dc:creator>小尘</dc:creator>
  <cp:lastModifiedBy>小尘</cp:lastModifiedBy>
  <dcterms:modified xsi:type="dcterms:W3CDTF">2023-06-30T04:12:21Z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E7BF6E0080464178B51DE4A12F4BE7C9_11</vt:lpwstr>
  </property>
</Properties>
</file>