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 xml:space="preserve">Objective list theories believe in objective prudential goods: that is, </w:t>
      </w:r>
      <w:bookmarkStart w:id="0" w:name="OLE_LINK2"/>
      <w:r>
        <w:rPr>
          <w:rFonts w:ascii="Times New Roman" w:hAnsi="Times New Roman"/>
          <w:color w:val="0E101A"/>
        </w:rPr>
        <w:t>being a couch potato can bring joy, but only experiencing virtuous activities can bring happiness</w:t>
      </w:r>
      <w:bookmarkEnd w:id="0"/>
      <w:r>
        <w:rPr>
          <w:rFonts w:ascii="Times New Roman" w:hAnsi="Times New Roman"/>
          <w:color w:val="0E101A"/>
        </w:rPr>
        <w:t xml:space="preserve">(Haybron, 2020). Nevertheless, individuals still have subjective understandings of objective goods. For instance, perfectionism believes perfecting human nature constitutes one's </w:t>
      </w:r>
      <w:r>
        <w:rPr>
          <w:rFonts w:hint="eastAsia" w:ascii="Times New Roman" w:hAnsi="Times New Roman"/>
          <w:color w:val="0E101A"/>
        </w:rPr>
        <w:t>happiness</w:t>
      </w:r>
      <w:r>
        <w:rPr>
          <w:rFonts w:ascii="Times New Roman" w:hAnsi="Times New Roman"/>
          <w:color w:val="0E101A"/>
          <w:highlight w:val="none"/>
        </w:rPr>
        <w:t xml:space="preserve"> (Crisp, 2017), and Aristotelians believe achieving eudaimonia needs the fulfillment of human </w:t>
      </w:r>
      <w:r>
        <w:rPr>
          <w:rFonts w:ascii="Times New Roman" w:hAnsi="Times New Roman"/>
          <w:color w:val="0E101A"/>
        </w:rPr>
        <w:t>capacities (Haybron, 2020).</w:t>
      </w:r>
    </w:p>
    <w:p>
      <w:pPr>
        <w:pStyle w:val="3"/>
        <w:widowControl/>
        <w:spacing w:beforeAutospacing="0" w:afterAutospacing="0" w:line="480" w:lineRule="auto"/>
        <w:ind w:firstLine="420"/>
        <w:rPr>
          <w:rFonts w:ascii="Times New Roman" w:hAnsi="Times New Roman"/>
          <w:color w:val="0E101A"/>
        </w:rPr>
      </w:pPr>
      <w:r>
        <w:rPr>
          <w:rFonts w:hint="eastAsia" w:ascii="Times New Roman" w:hAnsi="Times New Roman"/>
          <w:color w:val="0E101A"/>
          <w:lang w:val="en-US" w:eastAsia="zh-CN"/>
        </w:rPr>
        <w:t>Based on this understanding of happiness, I argue that one</w:t>
      </w:r>
      <w:r>
        <w:rPr>
          <w:rFonts w:hint="default" w:ascii="Times New Roman" w:hAnsi="Times New Roman"/>
          <w:color w:val="0E101A"/>
          <w:lang w:val="en-US" w:eastAsia="zh-CN"/>
        </w:rPr>
        <w:t>’</w:t>
      </w:r>
      <w:r>
        <w:rPr>
          <w:rFonts w:hint="eastAsia" w:ascii="Times New Roman" w:hAnsi="Times New Roman"/>
          <w:color w:val="0E101A"/>
          <w:lang w:val="en-US" w:eastAsia="zh-CN"/>
        </w:rPr>
        <w:t>s</w:t>
      </w:r>
      <w:r>
        <w:rPr>
          <w:rFonts w:ascii="Times New Roman" w:hAnsi="Times New Roman"/>
          <w:color w:val="0E101A"/>
        </w:rPr>
        <w:t xml:space="preserve"> </w:t>
      </w:r>
      <w:r>
        <w:rPr>
          <w:rFonts w:hint="eastAsia" w:ascii="Times New Roman" w:hAnsi="Times New Roman"/>
          <w:color w:val="0E101A"/>
        </w:rPr>
        <w:t>happiness</w:t>
      </w:r>
      <w:r>
        <w:rPr>
          <w:rFonts w:hint="eastAsia"/>
          <w:lang w:val="en-US" w:eastAsia="zh-CN"/>
        </w:rPr>
        <w:t xml:space="preserve"> </w:t>
      </w:r>
      <w:r>
        <w:rPr>
          <w:rFonts w:hint="eastAsia" w:ascii="Times New Roman" w:hAnsi="Times New Roman"/>
          <w:color w:val="0E101A"/>
        </w:rPr>
        <w:t>cannot be</w:t>
      </w:r>
      <w:r>
        <w:rPr>
          <w:rFonts w:hint="eastAsia" w:ascii="Times New Roman" w:hAnsi="Times New Roman"/>
          <w:color w:val="FF0000"/>
        </w:rPr>
        <w:t xml:space="preserve"> </w:t>
      </w:r>
      <w:r>
        <w:rPr>
          <w:rFonts w:hint="eastAsia" w:ascii="Times New Roman" w:hAnsi="Times New Roman"/>
          <w:color w:val="0E101A"/>
        </w:rPr>
        <w:t>measured</w:t>
      </w:r>
      <w:r>
        <w:rPr>
          <w:rFonts w:hint="eastAsia" w:ascii="Times New Roman" w:hAnsi="Times New Roman"/>
          <w:color w:val="0E101A"/>
          <w:lang w:val="en-US" w:eastAsia="zh-CN"/>
        </w:rPr>
        <w:t>.</w:t>
      </w:r>
      <w:r>
        <w:rPr>
          <w:rFonts w:ascii="Times New Roman" w:hAnsi="Times New Roman"/>
          <w:color w:val="0E101A"/>
        </w:rPr>
        <w:t xml:space="preserve"> That is because the two necessary processes involved in measurement are</w:t>
      </w:r>
      <w:r>
        <w:rPr>
          <w:rFonts w:hint="eastAsia" w:ascii="Times New Roman" w:hAnsi="Times New Roman"/>
          <w:color w:val="0E101A"/>
        </w:rPr>
        <w:t xml:space="preserve"> impossible to</w:t>
      </w:r>
      <w:r>
        <w:rPr>
          <w:rFonts w:ascii="Times New Roman" w:hAnsi="Times New Roman"/>
          <w:color w:val="0E101A"/>
        </w:rPr>
        <w:t xml:space="preserve"> be satisfied, which are: </w:t>
      </w:r>
    </w:p>
    <w:p>
      <w:pPr>
        <w:pStyle w:val="3"/>
        <w:widowControl/>
        <w:spacing w:beforeAutospacing="0" w:afterAutospacing="0" w:line="480" w:lineRule="auto"/>
        <w:ind w:firstLine="420"/>
        <w:rPr>
          <w:rFonts w:ascii="Times New Roman" w:hAnsi="Times New Roman"/>
          <w:color w:val="0E101A"/>
        </w:rPr>
      </w:pPr>
      <w:r>
        <w:rPr>
          <w:rFonts w:hint="eastAsia" w:ascii="Times New Roman" w:hAnsi="Times New Roman"/>
          <w:color w:val="0E101A"/>
          <w:lang w:val="en-US" w:eastAsia="zh-CN"/>
        </w:rPr>
        <w:t>Process</w:t>
      </w:r>
      <w:r>
        <w:rPr>
          <w:rFonts w:ascii="Times New Roman" w:hAnsi="Times New Roman"/>
          <w:color w:val="0E101A"/>
        </w:rPr>
        <w:t xml:space="preserve"> I. Respondents have a clear understanding of their personal happiness (I - inner)</w:t>
      </w:r>
    </w:p>
    <w:p>
      <w:pPr>
        <w:pStyle w:val="3"/>
        <w:widowControl/>
        <w:spacing w:beforeAutospacing="0" w:afterAutospacing="0" w:line="480" w:lineRule="auto"/>
        <w:ind w:firstLine="420"/>
        <w:rPr>
          <w:rFonts w:ascii="Times New Roman" w:hAnsi="Times New Roman"/>
          <w:color w:val="0E101A"/>
        </w:rPr>
      </w:pPr>
      <w:r>
        <w:rPr>
          <w:rFonts w:hint="eastAsia" w:ascii="Times New Roman" w:hAnsi="Times New Roman"/>
          <w:color w:val="auto"/>
          <w:lang w:val="en-US" w:eastAsia="zh-CN"/>
        </w:rPr>
        <w:t>Process</w:t>
      </w:r>
      <w:r>
        <w:rPr>
          <w:rFonts w:ascii="Times New Roman" w:hAnsi="Times New Roman"/>
          <w:color w:val="FF0000"/>
        </w:rPr>
        <w:t xml:space="preserve"> </w:t>
      </w:r>
      <w:r>
        <w:rPr>
          <w:rFonts w:ascii="Times New Roman" w:hAnsi="Times New Roman"/>
          <w:color w:val="0E101A"/>
        </w:rPr>
        <w:t>II. They convey their sense of happiness accurately and completely to the test (inner-</w:t>
      </w:r>
      <w:r>
        <w:rPr>
          <w:rFonts w:hint="eastAsia" w:ascii="Times New Roman" w:hAnsi="Times New Roman"/>
          <w:color w:val="0E101A"/>
        </w:rPr>
        <w:t>outer</w:t>
      </w:r>
      <w:r>
        <w:rPr>
          <w:rFonts w:ascii="Times New Roman" w:hAnsi="Times New Roman"/>
          <w:color w:val="0E101A"/>
        </w:rPr>
        <w:t>)</w:t>
      </w:r>
    </w:p>
    <w:p>
      <w:pPr>
        <w:pStyle w:val="3"/>
        <w:widowControl/>
        <w:spacing w:beforeAutospacing="0" w:afterAutospacing="0" w:line="480" w:lineRule="auto"/>
        <w:ind w:firstLine="420"/>
        <w:rPr>
          <w:rFonts w:hint="default" w:ascii="Times New Roman" w:hAnsi="Times New Roman" w:eastAsiaTheme="minorEastAsia"/>
          <w:color w:val="auto"/>
          <w:lang w:val="en-US" w:eastAsia="zh-CN"/>
        </w:rPr>
      </w:pPr>
      <w:r>
        <w:rPr>
          <w:rFonts w:hint="eastAsia" w:ascii="Times New Roman" w:hAnsi="Times New Roman"/>
          <w:color w:val="auto"/>
          <w:lang w:val="en-US" w:eastAsia="zh-CN"/>
        </w:rPr>
        <w:t>The following</w:t>
      </w:r>
      <w:r>
        <w:rPr>
          <w:rFonts w:ascii="Times New Roman" w:hAnsi="Times New Roman"/>
          <w:color w:val="auto"/>
          <w:lang w:val="en-GB"/>
        </w:rPr>
        <w:t xml:space="preserve"> essay will examine these two processe</w:t>
      </w:r>
      <w:r>
        <w:rPr>
          <w:rFonts w:hint="eastAsia" w:ascii="Times New Roman" w:hAnsi="Times New Roman"/>
          <w:color w:val="auto"/>
          <w:lang w:val="en-US" w:eastAsia="zh-CN"/>
        </w:rPr>
        <w:t>s.</w:t>
      </w:r>
    </w:p>
    <w:p>
      <w:pPr>
        <w:pStyle w:val="3"/>
        <w:widowControl/>
        <w:spacing w:beforeAutospacing="0" w:afterAutospacing="0" w:line="480" w:lineRule="auto"/>
        <w:rPr>
          <w:rFonts w:ascii="Times New Roman" w:hAnsi="Times New Roman"/>
          <w:color w:val="0E101A"/>
        </w:rPr>
      </w:pPr>
      <w:r>
        <w:rPr>
          <w:rStyle w:val="6"/>
          <w:rFonts w:ascii="Times New Roman" w:hAnsi="Times New Roman"/>
          <w:color w:val="0E101A"/>
        </w:rPr>
        <w:t xml:space="preserve"> The </w:t>
      </w:r>
      <w:r>
        <w:rPr>
          <w:rStyle w:val="6"/>
          <w:rFonts w:hint="eastAsia" w:ascii="Times New Roman" w:hAnsi="Times New Roman"/>
          <w:color w:val="0E101A"/>
          <w:lang w:val="en-US" w:eastAsia="zh-CN"/>
        </w:rPr>
        <w:t>P</w:t>
      </w:r>
      <w:r>
        <w:rPr>
          <w:rStyle w:val="6"/>
          <w:rFonts w:ascii="Times New Roman" w:hAnsi="Times New Roman"/>
          <w:color w:val="0E101A"/>
        </w:rPr>
        <w:t>rocess I: Realization of the self</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Lao-Tzu believes that "</w:t>
      </w:r>
      <w:bookmarkStart w:id="1" w:name="OLE_LINK1"/>
      <w:r>
        <w:rPr>
          <w:rFonts w:ascii="Times New Roman" w:hAnsi="Times New Roman"/>
          <w:color w:val="0E101A"/>
        </w:rPr>
        <w:t>He who knows himself is enlightene</w:t>
      </w:r>
      <w:r>
        <w:rPr>
          <w:rFonts w:ascii="Times New Roman" w:hAnsi="Times New Roman"/>
          <w:color w:val="0E101A"/>
          <w:highlight w:val="none"/>
        </w:rPr>
        <w:t>d</w:t>
      </w:r>
      <w:bookmarkEnd w:id="1"/>
      <w:r>
        <w:rPr>
          <w:rFonts w:hint="eastAsia" w:ascii="Times New Roman" w:hAnsi="Times New Roman"/>
          <w:color w:val="0E101A"/>
          <w:highlight w:val="none"/>
        </w:rPr>
        <w:t xml:space="preserve"> </w:t>
      </w:r>
      <w:r>
        <w:rPr>
          <w:rFonts w:ascii="Times New Roman" w:hAnsi="Times New Roman"/>
          <w:color w:val="0E101A"/>
          <w:highlight w:val="none"/>
        </w:rPr>
        <w:t>(Laozi, 2018)</w:t>
      </w:r>
      <w:r>
        <w:rPr>
          <w:rFonts w:hint="eastAsia" w:ascii="Times New Roman" w:hAnsi="Times New Roman"/>
          <w:color w:val="0E101A"/>
          <w:highlight w:val="none"/>
        </w:rPr>
        <w:t>.</w:t>
      </w:r>
      <w:r>
        <w:rPr>
          <w:rFonts w:ascii="Times New Roman" w:hAnsi="Times New Roman"/>
          <w:color w:val="0E101A"/>
          <w:highlight w:val="none"/>
        </w:rPr>
        <w:t>"</w:t>
      </w:r>
      <w:r>
        <w:rPr>
          <w:rFonts w:ascii="Times New Roman" w:hAnsi="Times New Roman"/>
          <w:color w:val="0E101A"/>
        </w:rPr>
        <w:t xml:space="preserve"> Knowing oneself is fully discovering one's feelings, thoughts, and beliefs (Gertler, 2020). </w:t>
      </w:r>
      <w:r>
        <w:rPr>
          <w:rFonts w:ascii="Times New Roman" w:hAnsi="Times New Roman"/>
          <w:color w:val="auto"/>
        </w:rPr>
        <w:t>Since happiness is subjectively perceived as forms above</w:t>
      </w:r>
      <w:r>
        <w:rPr>
          <w:rFonts w:hint="eastAsia" w:ascii="Times New Roman" w:hAnsi="Times New Roman"/>
          <w:color w:val="auto"/>
          <w:lang w:val="en-US" w:eastAsia="zh-CN"/>
        </w:rPr>
        <w:t xml:space="preserve">, </w:t>
      </w:r>
      <w:r>
        <w:rPr>
          <w:rFonts w:ascii="Times New Roman" w:hAnsi="Times New Roman"/>
          <w:color w:val="auto"/>
        </w:rPr>
        <w:t>one</w:t>
      </w:r>
      <w:r>
        <w:rPr>
          <w:rFonts w:ascii="Times New Roman" w:hAnsi="Times New Roman"/>
          <w:color w:val="0E101A"/>
        </w:rPr>
        <w:t xml:space="preserve"> first needs to understand what is his/her knowing, or at least what makes him/her approach knowing. With this benchmark, one can then evaluate how far is he/she away from knowing. </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Because happiness blends inseparably with physical sensation, one's knowledge of externality will first affect knowing. To learn the external world, Locke writes, "Tis therefore the actual receiving the ideas from without that gives us notice of the existence of other things (Rockwood, 2018)." That means the knowledge about externality doesn't build from established beliefs toward externality but is from our raw sensation. To discern these two sources, individuals' perception needs to be a "dynamic searching for the best interpretation of available data" (Gregory, 2015), and I interpret this search as self-consciousness.</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Being self-conscious takes two steps. By invoking </w:t>
      </w:r>
      <w:r>
        <w:rPr>
          <w:rFonts w:hint="eastAsia" w:ascii="Times New Roman" w:hAnsi="Times New Roman"/>
          <w:color w:val="0E101A"/>
          <w:highlight w:val="none"/>
          <w:lang w:val="en-US" w:eastAsia="zh-CN"/>
        </w:rPr>
        <w:t>S</w:t>
      </w:r>
      <w:r>
        <w:rPr>
          <w:rFonts w:ascii="Times New Roman" w:hAnsi="Times New Roman"/>
          <w:color w:val="0E101A"/>
          <w:highlight w:val="none"/>
        </w:rPr>
        <w:t>ystem I</w:t>
      </w:r>
      <w:r>
        <w:rPr>
          <w:rFonts w:hint="eastAsia" w:ascii="Times New Roman" w:hAnsi="Times New Roman"/>
          <w:color w:val="0E101A"/>
          <w:highlight w:val="none"/>
          <w:lang w:val="en-US" w:eastAsia="zh-CN"/>
        </w:rPr>
        <w:t>I</w:t>
      </w:r>
      <w:r>
        <w:rPr>
          <w:rFonts w:hint="eastAsia" w:ascii="Times New Roman" w:hAnsi="Times New Roman"/>
          <w:color w:val="0E101A"/>
          <w:highlight w:val="none"/>
          <w:vertAlign w:val="superscript"/>
          <w:lang w:val="en-US" w:eastAsia="zh-CN"/>
        </w:rPr>
        <w:t>1</w:t>
      </w:r>
      <w:r>
        <w:rPr>
          <w:rFonts w:hint="eastAsia" w:ascii="Times New Roman" w:hAnsi="Times New Roman"/>
          <w:color w:val="auto"/>
          <w:highlight w:val="none"/>
          <w:vertAlign w:val="superscript"/>
          <w:lang w:val="en-US" w:eastAsia="zh-CN"/>
        </w:rPr>
        <w:t xml:space="preserve"> </w:t>
      </w:r>
      <w:r>
        <w:rPr>
          <w:rFonts w:hint="eastAsia" w:ascii="Times New Roman" w:hAnsi="Times New Roman"/>
          <w:color w:val="auto"/>
          <w:highlight w:val="none"/>
          <w:lang w:val="en-US" w:eastAsia="zh-CN"/>
        </w:rPr>
        <w:t>(</w:t>
      </w:r>
      <w:r>
        <w:rPr>
          <w:rFonts w:ascii="Times New Roman" w:hAnsi="Times New Roman"/>
          <w:color w:val="auto"/>
          <w:highlight w:val="none"/>
          <w:lang w:val="en-GB"/>
        </w:rPr>
        <w:t>i.e.</w:t>
      </w:r>
      <w:r>
        <w:rPr>
          <w:rFonts w:hint="eastAsia" w:ascii="Times New Roman" w:hAnsi="Times New Roman"/>
          <w:color w:val="auto"/>
          <w:highlight w:val="none"/>
          <w:lang w:val="en-US" w:eastAsia="zh-CN"/>
        </w:rPr>
        <w:t xml:space="preserve"> </w:t>
      </w:r>
      <w:r>
        <w:rPr>
          <w:rFonts w:ascii="Times New Roman" w:hAnsi="Times New Roman"/>
          <w:color w:val="auto"/>
          <w:highlight w:val="none"/>
          <w:lang w:val="en-GB"/>
        </w:rPr>
        <w:t>slo</w:t>
      </w:r>
      <w:r>
        <w:rPr>
          <w:rFonts w:ascii="Times New Roman" w:hAnsi="Times New Roman"/>
          <w:color w:val="auto"/>
          <w:lang w:val="en-GB"/>
        </w:rPr>
        <w:t>w but logical brain</w:t>
      </w:r>
      <w:r>
        <w:rPr>
          <w:rFonts w:hint="eastAsia" w:ascii="Times New Roman" w:hAnsi="Times New Roman"/>
          <w:color w:val="auto"/>
        </w:rPr>
        <w:t>)</w:t>
      </w:r>
      <w:r>
        <w:rPr>
          <w:rFonts w:ascii="Times New Roman" w:hAnsi="Times New Roman"/>
          <w:color w:val="auto"/>
        </w:rPr>
        <w:t xml:space="preserve">, </w:t>
      </w:r>
      <w:r>
        <w:rPr>
          <w:rFonts w:ascii="Times New Roman" w:hAnsi="Times New Roman"/>
          <w:color w:val="0E101A"/>
        </w:rPr>
        <w:t>individuals first direct their attention to effortful mental activities and once autopilot behaviors, providing a threshold for gaining subjective experiences (Kahneman, 2011). Nearly simultaneously, metacognition involves monitoring one's cognitive states, ensuring individuals view their thoughts critically. System II and metacognition push an individual to the boundary of known, and the process of taking the unknown into the known is self-conscious.</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 xml:space="preserve">However, barriers hinder human beings from discovering the self. Biologically speaking, human beings have a natural tendency to conserve energy and thus evade the activation of System II, especially on tasks that </w:t>
      </w:r>
      <w:r>
        <w:rPr>
          <w:rFonts w:hint="eastAsia" w:ascii="Times New Roman" w:hAnsi="Times New Roman"/>
          <w:color w:val="0E101A"/>
          <w:lang w:val="en-US" w:eastAsia="zh-CN"/>
        </w:rPr>
        <w:t>can be automatically processed</w:t>
      </w:r>
      <w:r>
        <w:rPr>
          <w:rFonts w:hint="eastAsia" w:ascii="Times New Roman" w:hAnsi="Times New Roman"/>
          <w:color w:val="0E101A"/>
          <w:highlight w:val="none"/>
          <w:lang w:val="en-US" w:eastAsia="zh-CN"/>
        </w:rPr>
        <w:t xml:space="preserve"> by</w:t>
      </w:r>
      <w:r>
        <w:rPr>
          <w:rFonts w:ascii="Times New Roman" w:hAnsi="Times New Roman"/>
          <w:color w:val="0E101A"/>
          <w:highlight w:val="none"/>
        </w:rPr>
        <w:t xml:space="preserve"> System I</w:t>
      </w:r>
      <w:r>
        <w:rPr>
          <w:rFonts w:hint="eastAsia" w:ascii="Times New Roman" w:hAnsi="Times New Roman"/>
          <w:color w:val="auto"/>
          <w:highlight w:val="none"/>
          <w:vertAlign w:val="superscript"/>
          <w:lang w:val="en-US" w:eastAsia="zh-CN"/>
        </w:rPr>
        <w:t>2</w:t>
      </w:r>
      <w:r>
        <w:rPr>
          <w:rFonts w:ascii="Times New Roman" w:hAnsi="Times New Roman"/>
          <w:color w:val="auto"/>
          <w:highlight w:val="none"/>
        </w:rPr>
        <w:t xml:space="preserve"> </w:t>
      </w:r>
      <w:r>
        <w:rPr>
          <w:rFonts w:hint="eastAsia" w:ascii="Times New Roman" w:hAnsi="Times New Roman"/>
          <w:color w:val="auto"/>
          <w:highlight w:val="none"/>
          <w:lang w:val="en-US" w:eastAsia="zh-CN"/>
        </w:rPr>
        <w:t xml:space="preserve">( </w:t>
      </w:r>
      <w:r>
        <w:rPr>
          <w:rFonts w:hint="eastAsia" w:ascii="Times New Roman" w:hAnsi="Times New Roman"/>
          <w:color w:val="auto"/>
          <w:highlight w:val="none"/>
          <w:lang w:val="en-GB"/>
        </w:rPr>
        <w:t>fast</w:t>
      </w:r>
      <w:r>
        <w:rPr>
          <w:rFonts w:ascii="Times New Roman" w:hAnsi="Times New Roman"/>
          <w:color w:val="auto"/>
          <w:highlight w:val="none"/>
          <w:lang w:val="en-GB"/>
        </w:rPr>
        <w:t xml:space="preserve"> b</w:t>
      </w:r>
      <w:r>
        <w:rPr>
          <w:rFonts w:ascii="Times New Roman" w:hAnsi="Times New Roman"/>
          <w:color w:val="auto"/>
          <w:lang w:val="en-GB"/>
        </w:rPr>
        <w:t>ut prone-to-bias</w:t>
      </w:r>
      <w:r>
        <w:rPr>
          <w:rFonts w:hint="eastAsia" w:ascii="Times New Roman" w:hAnsi="Times New Roman"/>
          <w:color w:val="auto"/>
          <w:lang w:val="en-US" w:eastAsia="zh-CN"/>
        </w:rPr>
        <w:t xml:space="preserve"> brain) </w:t>
      </w:r>
      <w:r>
        <w:rPr>
          <w:rFonts w:ascii="Times New Roman" w:hAnsi="Times New Roman"/>
          <w:color w:val="auto"/>
        </w:rPr>
        <w:t>(Kahneman, 2</w:t>
      </w:r>
      <w:r>
        <w:rPr>
          <w:rFonts w:ascii="Times New Roman" w:hAnsi="Times New Roman"/>
          <w:color w:val="0E101A"/>
        </w:rPr>
        <w:t>011). Moreover, individuals can fail to realize that their attention to externality is virtually divided. As Corteen and Wood (1972) discovered, when words didn't consciously perceive by participants, they still established meaning in their minds. With all barriers to realizing the self, Kants says a man cannot "determine with certainty what would make him truly happy; because to do so he would need to be omniscient</w:t>
      </w:r>
      <w:r>
        <w:rPr>
          <w:rFonts w:hint="eastAsia" w:ascii="Times New Roman" w:hAnsi="Times New Roman"/>
          <w:color w:val="0E101A"/>
        </w:rPr>
        <w:t xml:space="preserve"> </w:t>
      </w:r>
      <w:r>
        <w:rPr>
          <w:rFonts w:ascii="Times New Roman" w:hAnsi="Times New Roman"/>
          <w:color w:val="0E101A"/>
        </w:rPr>
        <w:t>(Kant, 1889)</w:t>
      </w:r>
      <w:r>
        <w:rPr>
          <w:rFonts w:hint="eastAsia" w:ascii="Times New Roman" w:hAnsi="Times New Roman"/>
          <w:color w:val="0E101A"/>
        </w:rPr>
        <w:t>.</w:t>
      </w:r>
      <w:r>
        <w:rPr>
          <w:rFonts w:ascii="Times New Roman" w:hAnsi="Times New Roman"/>
          <w:color w:val="0E101A"/>
        </w:rPr>
        <w:t>"</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The idea of being omniscient is to transcend and discover one's essential state of happiness. However, even if a being believes he/she attains a sense of happiness, it may be a fallacy and not the knowing. To illustrate this claim, I adopt Tal Ben-Shahar's (2007) model and analyze possible cognitive limitations hindering each archetype's transcendence. Every individual who forms a belief to present and future happiness can</w:t>
      </w:r>
      <w:r>
        <w:rPr>
          <w:rFonts w:hint="eastAsia" w:ascii="Times New Roman" w:hAnsi="Times New Roman"/>
          <w:color w:val="0E101A"/>
          <w:lang w:val="en-US" w:eastAsia="zh-CN"/>
        </w:rPr>
        <w:t xml:space="preserve"> fall</w:t>
      </w:r>
      <w:r>
        <w:rPr>
          <w:rFonts w:ascii="Times New Roman" w:hAnsi="Times New Roman"/>
          <w:color w:val="0E101A"/>
        </w:rPr>
        <w:t xml:space="preserve"> into a quadrant.</w:t>
      </w:r>
    </w:p>
    <w:p>
      <w:pPr>
        <w:pStyle w:val="3"/>
        <w:widowControl/>
        <w:spacing w:beforeAutospacing="0" w:afterAutospacing="0" w:line="480" w:lineRule="auto"/>
        <w:rPr>
          <w:rFonts w:ascii="Times New Roman" w:hAnsi="Times New Roman"/>
          <w:color w:val="0E101A"/>
        </w:rPr>
      </w:pPr>
      <w:r>
        <w:rPr>
          <w:rStyle w:val="6"/>
          <w:rFonts w:ascii="Times New Roman" w:hAnsi="Times New Roman"/>
          <w:color w:val="0E101A"/>
        </w:rPr>
        <w:t>Figure 1</w:t>
      </w:r>
    </w:p>
    <w:p>
      <w:pPr>
        <w:pStyle w:val="3"/>
        <w:widowControl/>
        <w:spacing w:beforeAutospacing="0" w:afterAutospacing="0" w:line="480" w:lineRule="auto"/>
        <w:rPr>
          <w:rFonts w:ascii="Times New Roman" w:hAnsi="Times New Roman"/>
          <w:color w:val="0E101A"/>
          <w:highlight w:val="none"/>
        </w:rPr>
      </w:pPr>
      <w:r>
        <w:rPr>
          <w:rStyle w:val="7"/>
          <w:rFonts w:ascii="Times New Roman" w:hAnsi="Times New Roman"/>
          <w:color w:val="0E101A"/>
          <w:highlight w:val="none"/>
        </w:rPr>
        <w:t>The four quadrant</w:t>
      </w:r>
      <w:r>
        <w:rPr>
          <w:rStyle w:val="7"/>
          <w:rFonts w:hint="eastAsia" w:ascii="Times New Roman" w:hAnsi="Times New Roman"/>
          <w:color w:val="0E101A"/>
          <w:highlight w:val="none"/>
        </w:rPr>
        <w:t xml:space="preserve"> </w:t>
      </w:r>
      <w:r>
        <w:rPr>
          <w:rStyle w:val="7"/>
          <w:rFonts w:hint="eastAsia" w:ascii="Times New Roman" w:hAnsi="Times New Roman"/>
          <w:i w:val="0"/>
          <w:iCs/>
          <w:color w:val="0E101A"/>
          <w:highlight w:val="none"/>
          <w:vertAlign w:val="superscript"/>
        </w:rPr>
        <w:t>3</w:t>
      </w:r>
    </w:p>
    <w:p>
      <w:pPr>
        <w:pStyle w:val="3"/>
        <w:widowControl/>
        <w:spacing w:beforeAutospacing="0" w:afterAutospacing="0" w:line="480" w:lineRule="auto"/>
        <w:rPr>
          <w:rFonts w:ascii="Times New Roman" w:hAnsi="Times New Roman"/>
          <w:color w:val="0E101A"/>
        </w:rPr>
      </w:pPr>
      <w:r>
        <w:drawing>
          <wp:inline distT="0" distB="0" distL="114300" distR="114300">
            <wp:extent cx="5206365" cy="2763520"/>
            <wp:effectExtent l="0" t="0" r="13335" b="177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5206365" cy="2763520"/>
                    </a:xfrm>
                    <a:prstGeom prst="rect">
                      <a:avLst/>
                    </a:prstGeom>
                    <a:noFill/>
                    <a:ln>
                      <a:noFill/>
                    </a:ln>
                  </pic:spPr>
                </pic:pic>
              </a:graphicData>
            </a:graphic>
          </wp:inline>
        </w:drawing>
      </w:r>
    </w:p>
    <w:p>
      <w:pPr>
        <w:pStyle w:val="3"/>
        <w:widowControl/>
        <w:spacing w:beforeAutospacing="0" w:afterAutospacing="0" w:line="480" w:lineRule="auto"/>
        <w:rPr>
          <w:rFonts w:ascii="Times New Roman" w:hAnsi="Times New Roman"/>
          <w:color w:val="0E101A"/>
        </w:rPr>
      </w:pPr>
      <w:r>
        <w:rPr>
          <w:rStyle w:val="6"/>
          <w:rFonts w:ascii="Times New Roman" w:hAnsi="Times New Roman"/>
          <w:color w:val="0E101A"/>
        </w:rPr>
        <w:t>Hedonism</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By taking psychoactive drugs and performing religious behaviors, human beings can intentionally alter their states of consciousness (Cacioppo &amp; Freberg, 2019). With this artificial change of beliefs, hedonistic drug takers regard instant satisfaction as happiness and disregard their future. However, if happiness exists in the form of eudaimonia, the overall</w:t>
      </w:r>
      <w:r>
        <w:rPr>
          <w:rFonts w:hint="eastAsia" w:ascii="Times New Roman" w:hAnsi="Times New Roman"/>
          <w:color w:val="0E101A"/>
        </w:rPr>
        <w:t xml:space="preserve"> achievement</w:t>
      </w:r>
      <w:r>
        <w:rPr>
          <w:rFonts w:ascii="Times New Roman" w:hAnsi="Times New Roman"/>
          <w:color w:val="0E101A"/>
        </w:rPr>
        <w:t xml:space="preserve"> </w:t>
      </w:r>
      <w:r>
        <w:rPr>
          <w:rFonts w:hint="eastAsia" w:ascii="Times New Roman" w:hAnsi="Times New Roman"/>
          <w:color w:val="0E101A"/>
        </w:rPr>
        <w:t xml:space="preserve">in life </w:t>
      </w:r>
      <w:r>
        <w:rPr>
          <w:rFonts w:ascii="Times New Roman" w:hAnsi="Times New Roman"/>
          <w:color w:val="0E101A"/>
        </w:rPr>
        <w:t xml:space="preserve">is related to one's </w:t>
      </w:r>
      <w:r>
        <w:rPr>
          <w:rFonts w:hint="eastAsia" w:ascii="Times New Roman" w:hAnsi="Times New Roman"/>
          <w:color w:val="0E101A"/>
        </w:rPr>
        <w:t>level of</w:t>
      </w:r>
      <w:r>
        <w:rPr>
          <w:rFonts w:ascii="Times New Roman" w:hAnsi="Times New Roman"/>
          <w:color w:val="0E101A"/>
        </w:rPr>
        <w:t xml:space="preserve"> happi</w:t>
      </w:r>
      <w:r>
        <w:rPr>
          <w:rFonts w:ascii="Times New Roman" w:hAnsi="Times New Roman"/>
          <w:color w:val="0E101A"/>
          <w:highlight w:val="none"/>
        </w:rPr>
        <w:t>ness</w:t>
      </w:r>
      <w:r>
        <w:rPr>
          <w:rFonts w:hint="eastAsia" w:ascii="Times New Roman" w:hAnsi="Times New Roman"/>
          <w:color w:val="0E101A"/>
          <w:highlight w:val="none"/>
        </w:rPr>
        <w:t xml:space="preserve"> (Warburton, 2012)</w:t>
      </w:r>
      <w:r>
        <w:rPr>
          <w:rFonts w:ascii="Times New Roman" w:hAnsi="Times New Roman"/>
          <w:color w:val="0E101A"/>
          <w:highlight w:val="none"/>
        </w:rPr>
        <w:t>. Since hedonists</w:t>
      </w:r>
      <w:r>
        <w:rPr>
          <w:rFonts w:ascii="Times New Roman" w:hAnsi="Times New Roman"/>
          <w:color w:val="0E101A"/>
        </w:rPr>
        <w:t xml:space="preserve"> blind future possible happiness, transcendence can only occur when they realize the mistake of regarding instant excitement as ultimate happiness. </w:t>
      </w:r>
    </w:p>
    <w:p>
      <w:pPr>
        <w:pStyle w:val="3"/>
        <w:widowControl/>
        <w:spacing w:beforeAutospacing="0" w:afterAutospacing="0" w:line="480" w:lineRule="auto"/>
        <w:rPr>
          <w:rFonts w:ascii="Times New Roman" w:hAnsi="Times New Roman"/>
          <w:color w:val="0E101A"/>
        </w:rPr>
      </w:pPr>
      <w:r>
        <w:rPr>
          <w:rStyle w:val="6"/>
          <w:rFonts w:ascii="Times New Roman" w:hAnsi="Times New Roman"/>
          <w:color w:val="0E101A"/>
        </w:rPr>
        <w:t>Nihilism</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During World War II, numerous people failed into learned helplessness and believed they lost both present and future happiness. According to Karl Jasper's theory, they fail into a "limit situation," believing that only the external locus of control exists (Valdes-Stauber, 2016). However, a "limit situation" can "becomes one's destination in the realization of one's existence," provoking people to ask for higher happiness (Jacobsen, 2008). Frankl (2006) accepted his unavoidable sufferings bravely, believing meaning is inherent in experiences. People with severe chronic diseases learn to adapt to their impairments and transcend themselves (Charmaz, 1995). Thus, if the higher happiness integrates the meaning of pain, nihilists evaluate their happiness based on their "existence" rather than their "essence" (Sartre, 1946), disregarding the potential of transitoriness. </w:t>
      </w:r>
    </w:p>
    <w:p>
      <w:pPr>
        <w:pStyle w:val="3"/>
        <w:widowControl/>
        <w:spacing w:beforeAutospacing="0" w:afterAutospacing="0" w:line="480" w:lineRule="auto"/>
        <w:rPr>
          <w:rFonts w:hint="eastAsia" w:ascii="Times New Roman" w:hAnsi="Times New Roman"/>
          <w:color w:val="0E101A"/>
        </w:rPr>
      </w:pPr>
      <w:r>
        <w:rPr>
          <w:rStyle w:val="6"/>
          <w:rFonts w:ascii="Times New Roman" w:hAnsi="Times New Roman"/>
          <w:color w:val="0E101A"/>
        </w:rPr>
        <w:t>Happiness</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 xml:space="preserve">Happiness is the archetype with the highest possibility of approaching the knowing since they believe they can discover one's maxim of happiness for now and the future. With the belief to transcend, they take happiness more as a dynamic skill that detaches from established experience. However, if the perception turns to an explicit rating within oneself, possible bias may occur while constructing the frame. For instance, about what contributes to one's happiness, individuals take certain aspects as the primary cause, but the ignored intricate associations among these aspects are also essential for gaining happiness. </w:t>
      </w:r>
      <w:r>
        <w:rPr>
          <w:rFonts w:hint="eastAsia" w:ascii="Times New Roman" w:hAnsi="Times New Roman"/>
          <w:color w:val="0E101A"/>
        </w:rPr>
        <w:t>As g</w:t>
      </w:r>
      <w:r>
        <w:rPr>
          <w:rFonts w:ascii="Times New Roman" w:hAnsi="Times New Roman"/>
          <w:color w:val="0E101A"/>
        </w:rPr>
        <w:t>estalt psychology illustrated</w:t>
      </w:r>
      <w:r>
        <w:rPr>
          <w:rFonts w:hint="eastAsia" w:ascii="Times New Roman" w:hAnsi="Times New Roman"/>
          <w:color w:val="0E101A"/>
        </w:rPr>
        <w:t xml:space="preserve">, </w:t>
      </w:r>
      <w:r>
        <w:rPr>
          <w:rFonts w:ascii="Times New Roman" w:hAnsi="Times New Roman"/>
          <w:color w:val="0E101A"/>
        </w:rPr>
        <w:t>one's understanding "seems to depend upon relations among the stimuli rather than upon the individual stimuli as such (Kohler, 1967)." Therefore, the transition between perception and evaluation can undermine the known. </w:t>
      </w:r>
    </w:p>
    <w:p>
      <w:pPr>
        <w:pStyle w:val="3"/>
        <w:widowControl/>
        <w:spacing w:beforeAutospacing="0" w:afterAutospacing="0" w:line="480" w:lineRule="auto"/>
        <w:rPr>
          <w:rFonts w:ascii="Times New Roman" w:hAnsi="Times New Roman"/>
          <w:color w:val="0E101A"/>
        </w:rPr>
      </w:pPr>
      <w:r>
        <w:rPr>
          <w:rStyle w:val="6"/>
          <w:rFonts w:ascii="Times New Roman" w:hAnsi="Times New Roman"/>
          <w:color w:val="0E101A"/>
        </w:rPr>
        <w:t>Rat Racer</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Rat racers "subordinate the present to the future" and "suffer now for some anticipated gain" (Tal Ben-Shahar, 2007), regarding their sacrifice in present happiness is meaningful. However, this destiny-orientated pursuit ignores the impact of the shift in reference points. Under this "finite game"</w:t>
      </w:r>
      <w:r>
        <w:rPr>
          <w:rFonts w:hint="eastAsia" w:ascii="Times New Roman" w:hAnsi="Times New Roman"/>
          <w:color w:val="0E101A"/>
        </w:rPr>
        <w:t xml:space="preserve"> (</w:t>
      </w:r>
      <w:r>
        <w:rPr>
          <w:rFonts w:ascii="Times New Roman" w:hAnsi="Times New Roman"/>
          <w:color w:val="0E101A"/>
        </w:rPr>
        <w:t>Carse, 2012), rat racers keep aiming for a higher reference point and leave themselves in a state of loss. Due to loss aversion, the same amount of gain from the past and loss from now cannot subjectively offset each other (Kahneman, 2011). Without possible transcending, which is to gain happiness from journeys, rat racers accumulate their loss and search for happiness continuously with improper direction. </w:t>
      </w:r>
    </w:p>
    <w:p>
      <w:pPr>
        <w:pStyle w:val="3"/>
        <w:widowControl/>
        <w:spacing w:beforeAutospacing="0" w:afterAutospacing="0" w:line="480" w:lineRule="auto"/>
        <w:rPr>
          <w:rFonts w:ascii="Times New Roman" w:hAnsi="Times New Roman"/>
          <w:b/>
          <w:bCs/>
          <w:color w:val="0E101A"/>
        </w:rPr>
      </w:pPr>
      <w:r>
        <w:rPr>
          <w:rFonts w:hint="eastAsia" w:ascii="Times New Roman" w:hAnsi="Times New Roman"/>
          <w:b/>
          <w:bCs/>
          <w:color w:val="0E101A"/>
        </w:rPr>
        <w:t>Figure 2</w:t>
      </w:r>
    </w:p>
    <w:p>
      <w:pPr>
        <w:pStyle w:val="3"/>
        <w:widowControl/>
        <w:spacing w:beforeAutospacing="0" w:afterAutospacing="0" w:line="480" w:lineRule="auto"/>
        <w:rPr>
          <w:rFonts w:ascii="Times New Roman" w:hAnsi="Times New Roman"/>
          <w:color w:val="0E101A"/>
          <w:vertAlign w:val="superscript"/>
        </w:rPr>
      </w:pPr>
      <w:r>
        <w:rPr>
          <w:rFonts w:hint="eastAsia" w:ascii="Times New Roman" w:hAnsi="Times New Roman"/>
          <w:i/>
          <w:iCs/>
          <w:color w:val="0E101A"/>
        </w:rPr>
        <w:t xml:space="preserve">The utility function </w:t>
      </w:r>
      <w:r>
        <w:rPr>
          <w:rFonts w:hint="eastAsia" w:ascii="Times New Roman" w:hAnsi="Times New Roman"/>
          <w:color w:val="0E101A"/>
          <w:vertAlign w:val="superscript"/>
        </w:rPr>
        <w:t>5</w:t>
      </w:r>
    </w:p>
    <w:p>
      <w:pPr>
        <w:pStyle w:val="3"/>
        <w:widowControl/>
        <w:spacing w:beforeAutospacing="0" w:afterAutospacing="0" w:line="480" w:lineRule="auto"/>
        <w:rPr>
          <w:rFonts w:ascii="Times New Roman" w:hAnsi="Times New Roman"/>
          <w:color w:val="0E101A"/>
        </w:rPr>
      </w:pPr>
      <w:r>
        <w:rPr>
          <w:rFonts w:ascii="Times New Roman" w:hAnsi="Times New Roman"/>
          <w:color w:val="0E101A"/>
        </w:rPr>
        <w:drawing>
          <wp:inline distT="0" distB="0" distL="114300" distR="114300">
            <wp:extent cx="3598545" cy="2874645"/>
            <wp:effectExtent l="0" t="0" r="1905" b="1905"/>
            <wp:docPr id="6" name="图片 6" descr="Utility-function-for-both-risk-aversion-and-loss-a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Utility-function-for-both-risk-aversion-and-loss-aversion"/>
                    <pic:cNvPicPr>
                      <a:picLocks noChangeAspect="1"/>
                    </pic:cNvPicPr>
                  </pic:nvPicPr>
                  <pic:blipFill>
                    <a:blip r:embed="rId5"/>
                    <a:stretch>
                      <a:fillRect/>
                    </a:stretch>
                  </pic:blipFill>
                  <pic:spPr>
                    <a:xfrm>
                      <a:off x="0" y="0"/>
                      <a:ext cx="3598545" cy="2874645"/>
                    </a:xfrm>
                    <a:prstGeom prst="rect">
                      <a:avLst/>
                    </a:prstGeom>
                  </pic:spPr>
                </pic:pic>
              </a:graphicData>
            </a:graphic>
          </wp:inline>
        </w:drawing>
      </w:r>
    </w:p>
    <w:p>
      <w:pPr>
        <w:pStyle w:val="3"/>
        <w:widowControl/>
        <w:spacing w:beforeAutospacing="0" w:afterAutospacing="0" w:line="480" w:lineRule="auto"/>
        <w:ind w:firstLine="420"/>
        <w:rPr>
          <w:rFonts w:ascii="Times New Roman" w:hAnsi="Times New Roman"/>
          <w:color w:val="0E101A"/>
        </w:rPr>
      </w:pPr>
      <w:r>
        <w:rPr>
          <w:rFonts w:hint="eastAsia" w:ascii="Times New Roman" w:hAnsi="Times New Roman"/>
          <w:color w:val="0E101A"/>
        </w:rPr>
        <w:t>Overall, because of the difficulty of approaching knowing and one</w:t>
      </w:r>
      <w:r>
        <w:rPr>
          <w:rFonts w:ascii="Times New Roman" w:hAnsi="Times New Roman"/>
          <w:color w:val="0E101A"/>
        </w:rPr>
        <w:t>’</w:t>
      </w:r>
      <w:r>
        <w:rPr>
          <w:rFonts w:hint="eastAsia" w:ascii="Times New Roman" w:hAnsi="Times New Roman"/>
          <w:color w:val="0E101A"/>
        </w:rPr>
        <w:t xml:space="preserve">s cognitive limitation, </w:t>
      </w:r>
      <w:r>
        <w:rPr>
          <w:rFonts w:hint="eastAsia" w:ascii="Times New Roman" w:hAnsi="Times New Roman"/>
          <w:color w:val="0E101A"/>
          <w:lang w:val="en-US" w:eastAsia="zh-CN"/>
        </w:rPr>
        <w:t>it</w:t>
      </w:r>
      <w:r>
        <w:rPr>
          <w:rFonts w:hint="eastAsia" w:ascii="Times New Roman" w:hAnsi="Times New Roman"/>
          <w:color w:val="0E101A"/>
        </w:rPr>
        <w:t xml:space="preserve"> is nearly impossible to achieve</w:t>
      </w:r>
      <w:r>
        <w:rPr>
          <w:rFonts w:hint="eastAsia" w:ascii="Times New Roman" w:hAnsi="Times New Roman"/>
          <w:color w:val="0E101A"/>
          <w:lang w:val="en-US" w:eastAsia="zh-CN"/>
        </w:rPr>
        <w:t xml:space="preserve"> the process I.</w:t>
      </w:r>
    </w:p>
    <w:p>
      <w:pPr>
        <w:pStyle w:val="3"/>
        <w:widowControl/>
        <w:spacing w:beforeAutospacing="0" w:afterAutospacing="0" w:line="480" w:lineRule="auto"/>
        <w:rPr>
          <w:rStyle w:val="6"/>
          <w:rFonts w:ascii="Times New Roman" w:hAnsi="Times New Roman"/>
          <w:color w:val="0E101A"/>
        </w:rPr>
      </w:pPr>
      <w:r>
        <w:rPr>
          <w:rStyle w:val="6"/>
          <w:rFonts w:hint="eastAsia" w:ascii="Times New Roman" w:hAnsi="Times New Roman"/>
          <w:color w:val="0E101A"/>
        </w:rPr>
        <w:t xml:space="preserve">The </w:t>
      </w:r>
      <w:r>
        <w:rPr>
          <w:rStyle w:val="6"/>
          <w:rFonts w:hint="eastAsia" w:ascii="Times New Roman" w:hAnsi="Times New Roman"/>
          <w:color w:val="0E101A"/>
          <w:lang w:val="en-US" w:eastAsia="zh-CN"/>
        </w:rPr>
        <w:t>P</w:t>
      </w:r>
      <w:r>
        <w:rPr>
          <w:rStyle w:val="6"/>
          <w:rFonts w:ascii="Times New Roman" w:hAnsi="Times New Roman"/>
          <w:color w:val="0E101A"/>
        </w:rPr>
        <w:t>rocess II: The interaction between internality and externality</w:t>
      </w:r>
    </w:p>
    <w:p>
      <w:pPr>
        <w:pStyle w:val="3"/>
        <w:widowControl/>
        <w:spacing w:beforeAutospacing="0" w:afterAutospacing="0" w:line="480" w:lineRule="auto"/>
        <w:ind w:firstLine="420" w:firstLineChars="0"/>
        <w:rPr>
          <w:rFonts w:hint="default" w:ascii="Times New Roman" w:hAnsi="Times New Roman" w:cs="Times New Roman"/>
          <w:color w:val="auto"/>
          <w:sz w:val="24"/>
          <w:szCs w:val="24"/>
        </w:rPr>
      </w:pPr>
      <w:r>
        <w:rPr>
          <w:rFonts w:hint="default" w:ascii="Times New Roman" w:hAnsi="Times New Roman" w:eastAsia="宋体" w:cs="Times New Roman"/>
          <w:color w:val="auto"/>
          <w:sz w:val="24"/>
          <w:szCs w:val="24"/>
        </w:rPr>
        <w:t>Having discussed the near-impossibility of knowing one’s own happiness, I now turn to the challenges one faces in conveying their happiness rating to an external entity should one miraculously attain an accurate self-rating,</w:t>
      </w:r>
      <w:r>
        <w:rPr>
          <w:rFonts w:hint="eastAsia" w:ascii="Times New Roman" w:hAnsi="Times New Roman" w:eastAsia="宋体" w:cs="Times New Roman"/>
          <w:color w:val="auto"/>
          <w:sz w:val="24"/>
          <w:szCs w:val="24"/>
          <w:lang w:val="en-US" w:eastAsia="zh-CN"/>
        </w:rPr>
        <w:t xml:space="preserve"> </w:t>
      </w:r>
      <w:r>
        <w:rPr>
          <w:rFonts w:hint="default" w:ascii="Times New Roman" w:hAnsi="Times New Roman" w:eastAsia="宋体" w:cs="Times New Roman"/>
          <w:color w:val="auto"/>
          <w:sz w:val="24"/>
          <w:szCs w:val="24"/>
        </w:rPr>
        <w:t>i.e. Process II.</w:t>
      </w:r>
      <w:r>
        <w:rPr>
          <w:rFonts w:hint="default" w:ascii="Times New Roman" w:hAnsi="Times New Roman" w:cs="Times New Roman"/>
          <w:color w:val="auto"/>
          <w:sz w:val="24"/>
          <w:szCs w:val="24"/>
        </w:rPr>
        <w:t xml:space="preserve"> Two conditions are needed to satisfy </w:t>
      </w:r>
      <w:r>
        <w:rPr>
          <w:rFonts w:hint="eastAsia" w:ascii="Times New Roman" w:hAnsi="Times New Roman" w:cs="Times New Roman"/>
          <w:color w:val="auto"/>
          <w:sz w:val="24"/>
          <w:szCs w:val="24"/>
          <w:lang w:val="en-US" w:eastAsia="zh-CN"/>
        </w:rPr>
        <w:t>P</w:t>
      </w:r>
      <w:r>
        <w:rPr>
          <w:rFonts w:hint="default" w:ascii="Times New Roman" w:hAnsi="Times New Roman" w:cs="Times New Roman"/>
          <w:color w:val="auto"/>
          <w:sz w:val="24"/>
          <w:szCs w:val="24"/>
        </w:rPr>
        <w:t>rocess II:</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Condition I</w:t>
      </w:r>
      <w:r>
        <w:rPr>
          <w:rFonts w:hint="eastAsia" w:ascii="Times New Roman" w:hAnsi="Times New Roman"/>
          <w:color w:val="0E101A"/>
          <w:lang w:val="en-US" w:eastAsia="zh-CN"/>
        </w:rPr>
        <w:t xml:space="preserve">. </w:t>
      </w:r>
      <w:r>
        <w:rPr>
          <w:rFonts w:ascii="Times New Roman" w:hAnsi="Times New Roman"/>
          <w:color w:val="0E101A"/>
        </w:rPr>
        <w:t>Individuals are willing to convey their understanding of externality fully and accurately</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Condition II</w:t>
      </w:r>
      <w:r>
        <w:rPr>
          <w:rFonts w:hint="eastAsia" w:ascii="Times New Roman" w:hAnsi="Times New Roman"/>
          <w:color w:val="0E101A"/>
          <w:lang w:val="en-US" w:eastAsia="zh-CN"/>
        </w:rPr>
        <w:t>.</w:t>
      </w:r>
      <w:r>
        <w:rPr>
          <w:rFonts w:ascii="Times New Roman" w:hAnsi="Times New Roman"/>
          <w:color w:val="0E101A"/>
        </w:rPr>
        <w:t xml:space="preserve"> Externality constructs a frame that can capture individuals'</w:t>
      </w:r>
      <w:r>
        <w:rPr>
          <w:rFonts w:hint="eastAsia" w:ascii="Times New Roman" w:hAnsi="Times New Roman"/>
          <w:color w:val="0E101A"/>
        </w:rPr>
        <w:t xml:space="preserve"> </w:t>
      </w:r>
      <w:r>
        <w:rPr>
          <w:rFonts w:ascii="Times New Roman" w:hAnsi="Times New Roman"/>
          <w:color w:val="0E101A"/>
        </w:rPr>
        <w:t>understanding comprehensively</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Firstly, for Condition I, tests' intention strongly affects individuals' willingness. If the test aims to achieve the externality's purpose, such as collecting data for scientific research, moderate anonymity facilitates authenticity by lowering social desirability pressures (Lelkes et al., 2012). However, if the respondents regard the measurement as a way of knowing themselves, one essential question arises: Can a man be honest to himself when he/she stays alone? </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The existence of cognitive dissonance undermine</w:t>
      </w:r>
      <w:r>
        <w:rPr>
          <w:rFonts w:hint="eastAsia" w:ascii="Times New Roman" w:hAnsi="Times New Roman"/>
          <w:color w:val="0E101A"/>
        </w:rPr>
        <w:t>s</w:t>
      </w:r>
      <w:r>
        <w:rPr>
          <w:rFonts w:ascii="Times New Roman" w:hAnsi="Times New Roman"/>
          <w:color w:val="0E101A"/>
        </w:rPr>
        <w:t xml:space="preserve"> respondents' willingness to convey their understanding. For rat racers, reporting "happy" (action) allows respondents to stay consistent with the social expectation of wealth and fame (belief), even though they realize the lack of happiness. Moreover, under the value system that "unhappiness is a symptom of maladjustment" (Frankl, 2006), respondents may hide their willingness further to conform to social desirability and reduce their cognitive dissonance.</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Secondly, an effective frame should first capture </w:t>
      </w:r>
      <w:r>
        <w:rPr>
          <w:rStyle w:val="6"/>
          <w:rFonts w:ascii="Times New Roman" w:hAnsi="Times New Roman"/>
          <w:color w:val="0E101A"/>
        </w:rPr>
        <w:t>all </w:t>
      </w:r>
      <w:r>
        <w:rPr>
          <w:rFonts w:ascii="Times New Roman" w:hAnsi="Times New Roman"/>
          <w:color w:val="0E101A"/>
        </w:rPr>
        <w:t>respondents' understandings to satisfy Condition II. Therefore, researchers use "meaning" in tests without clarification or a broad definition such as "as the sense made of" (Steger et al., 2006). However, the lack of precision means respondents' understanding must be clear. If Process I fails, then Condition II will be hard to achieve.</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 xml:space="preserve">Alternatively, the test can be more precise by including potential factors, such as "non-hedonic sources of happiness and suffering (Stone et al.,2013)." </w:t>
      </w:r>
      <w:r>
        <w:rPr>
          <w:rFonts w:hint="eastAsia" w:ascii="Times New Roman" w:hAnsi="Times New Roman"/>
          <w:color w:val="0E101A"/>
        </w:rPr>
        <w:t>Nevertheless</w:t>
      </w:r>
      <w:r>
        <w:rPr>
          <w:rFonts w:ascii="Times New Roman" w:hAnsi="Times New Roman"/>
          <w:color w:val="0E101A"/>
        </w:rPr>
        <w:t xml:space="preserve">, precision can bring more challenges. For instance, overcoming challenges can bring competence, which is normally regarded as a promoter of happiness. </w:t>
      </w:r>
      <w:r>
        <w:rPr>
          <w:rFonts w:hint="eastAsia" w:ascii="Times New Roman" w:hAnsi="Times New Roman"/>
          <w:color w:val="0E101A"/>
        </w:rPr>
        <w:t>But</w:t>
      </w:r>
      <w:r>
        <w:rPr>
          <w:rFonts w:ascii="Times New Roman" w:hAnsi="Times New Roman"/>
          <w:color w:val="0E101A"/>
        </w:rPr>
        <w:t xml:space="preserve"> competence cannot enhance their happiness if respondents feel a lack of autonomy while handling the tasks (Ryan &amp; Deci, 2000). Therefore, if the measurement improves the evaluation by incorporating more correlated sources, such as competence, it should take even more correlated factors to ensure the test is unbiased. </w:t>
      </w:r>
    </w:p>
    <w:p>
      <w:pPr>
        <w:pStyle w:val="3"/>
        <w:widowControl/>
        <w:spacing w:beforeAutospacing="0" w:afterAutospacing="0" w:line="480" w:lineRule="auto"/>
        <w:ind w:firstLine="420"/>
        <w:rPr>
          <w:rFonts w:hint="eastAsia" w:ascii="Times New Roman" w:hAnsi="Times New Roman" w:eastAsiaTheme="minorEastAsia"/>
          <w:color w:val="0E101A"/>
          <w:lang w:val="en-US" w:eastAsia="zh-CN"/>
        </w:rPr>
      </w:pPr>
      <w:r>
        <w:rPr>
          <w:rFonts w:ascii="Times New Roman" w:hAnsi="Times New Roman"/>
          <w:color w:val="0E101A"/>
        </w:rPr>
        <w:t>Not only does the trade-off between broadness and precision bring a challenge, but the cognition of society also limits the frame of the test. Influenced by culture, measurement in a collectivist society attaches more importance to contributions toward groups, likely to regard these efforts are more eudaimonic than personal growth. Influenced by the features of an era, society's understanding of happiness diverges with individuals'. For instance, in</w:t>
      </w:r>
      <w:r>
        <w:rPr>
          <w:rFonts w:ascii="Times New Roman" w:hAnsi="Times New Roman"/>
          <w:color w:val="auto"/>
        </w:rPr>
        <w:t xml:space="preserve"> Song Dynasty </w:t>
      </w:r>
      <w:r>
        <w:rPr>
          <w:rFonts w:hint="eastAsia" w:ascii="Times New Roman" w:hAnsi="Times New Roman"/>
          <w:color w:val="auto"/>
          <w:lang w:val="en-US" w:eastAsia="zh-CN"/>
        </w:rPr>
        <w:t>of China (960-1279 A.D.),</w:t>
      </w:r>
      <w:r>
        <w:rPr>
          <w:rFonts w:ascii="Times New Roman" w:hAnsi="Times New Roman"/>
          <w:color w:val="auto"/>
        </w:rPr>
        <w:t xml:space="preserve"> Su Tungpo spoke truth to power and thus was exiled to undeveloped land such as Lingnan. Even though he suffered, he still perceived a strong sense</w:t>
      </w:r>
      <w:r>
        <w:rPr>
          <w:rFonts w:ascii="Times New Roman" w:hAnsi="Times New Roman"/>
          <w:color w:val="0E101A"/>
        </w:rPr>
        <w:t xml:space="preserve"> of happiness, expressing that in his poem: "With three hundred litchis every day and night; I am willing to be a Lingnan man for the rest of my life</w:t>
      </w:r>
      <w:r>
        <w:rPr>
          <w:rFonts w:hint="eastAsia" w:ascii="Times New Roman" w:hAnsi="Times New Roman"/>
          <w:color w:val="0E101A"/>
        </w:rPr>
        <w:t xml:space="preserve"> </w:t>
      </w:r>
      <w:r>
        <w:rPr>
          <w:rFonts w:ascii="Times New Roman" w:hAnsi="Times New Roman"/>
          <w:color w:val="0E101A"/>
        </w:rPr>
        <w:t>(Lin, 2018)</w:t>
      </w:r>
      <w:r>
        <w:rPr>
          <w:rFonts w:hint="eastAsia" w:ascii="Times New Roman" w:hAnsi="Times New Roman"/>
          <w:color w:val="0E101A"/>
        </w:rPr>
        <w:t>.</w:t>
      </w:r>
      <w:r>
        <w:rPr>
          <w:rFonts w:ascii="Times New Roman" w:hAnsi="Times New Roman"/>
          <w:color w:val="0E101A"/>
        </w:rPr>
        <w:t>”</w:t>
      </w:r>
      <w:r>
        <w:rPr>
          <w:rFonts w:hint="eastAsia" w:ascii="Times New Roman" w:hAnsi="Times New Roman"/>
          <w:color w:val="0E101A"/>
        </w:rPr>
        <w:t xml:space="preserve"> </w:t>
      </w:r>
      <w:r>
        <w:rPr>
          <w:rFonts w:ascii="Times New Roman" w:hAnsi="Times New Roman"/>
          <w:color w:val="0E101A"/>
        </w:rPr>
        <w:t xml:space="preserve">Society aims to suppress him and reduce his happiness, but Tungpo "amor fati"--loves his fate (Han-Pile, 2009). The diverged understandings between individual and externality mean that if the externality constructs a measurement, it would </w:t>
      </w:r>
      <w:r>
        <w:rPr>
          <w:rFonts w:hint="eastAsia" w:ascii="Times New Roman" w:hAnsi="Times New Roman"/>
          <w:color w:val="0E101A"/>
          <w:lang w:val="en-US" w:eastAsia="zh-CN"/>
        </w:rPr>
        <w:t>be</w:t>
      </w:r>
      <w:r>
        <w:rPr>
          <w:rFonts w:ascii="Times New Roman" w:hAnsi="Times New Roman"/>
          <w:color w:val="auto"/>
        </w:rPr>
        <w:t xml:space="preserve"> biased</w:t>
      </w:r>
      <w:r>
        <w:rPr>
          <w:rFonts w:hint="eastAsia" w:ascii="Times New Roman" w:hAnsi="Times New Roman"/>
          <w:color w:val="auto"/>
          <w:lang w:val="en-US" w:eastAsia="zh-CN"/>
        </w:rPr>
        <w:t>.</w:t>
      </w:r>
    </w:p>
    <w:p>
      <w:pPr>
        <w:pStyle w:val="3"/>
        <w:widowControl/>
        <w:spacing w:beforeAutospacing="0" w:afterAutospacing="0" w:line="480" w:lineRule="auto"/>
        <w:ind w:firstLine="420"/>
        <w:rPr>
          <w:rFonts w:ascii="Times New Roman" w:hAnsi="Times New Roman"/>
          <w:color w:val="0E101A"/>
        </w:rPr>
      </w:pPr>
      <w:bookmarkStart w:id="2" w:name="OLE_LINK3"/>
      <w:r>
        <w:rPr>
          <w:rFonts w:ascii="Times New Roman" w:hAnsi="Times New Roman"/>
          <w:color w:val="0E101A"/>
        </w:rPr>
        <w:t xml:space="preserve">More importantly, it is </w:t>
      </w:r>
      <w:r>
        <w:rPr>
          <w:rFonts w:hint="eastAsia" w:ascii="Times New Roman" w:hAnsi="Times New Roman"/>
          <w:color w:val="0E101A"/>
        </w:rPr>
        <w:t>hard</w:t>
      </w:r>
      <w:r>
        <w:rPr>
          <w:rFonts w:ascii="Times New Roman" w:hAnsi="Times New Roman"/>
          <w:color w:val="0E101A"/>
        </w:rPr>
        <w:t xml:space="preserve"> </w:t>
      </w:r>
      <w:r>
        <w:rPr>
          <w:rFonts w:hint="eastAsia" w:ascii="Times New Roman" w:hAnsi="Times New Roman"/>
          <w:color w:val="0E101A"/>
        </w:rPr>
        <w:t>for</w:t>
      </w:r>
      <w:r>
        <w:rPr>
          <w:rFonts w:hint="eastAsia" w:ascii="Times New Roman" w:hAnsi="Times New Roman"/>
          <w:color w:val="0E101A"/>
          <w:lang w:val="en-US" w:eastAsia="zh-CN"/>
        </w:rPr>
        <w:t xml:space="preserve"> individuals</w:t>
      </w:r>
      <w:r>
        <w:rPr>
          <w:rFonts w:hint="eastAsia" w:ascii="Times New Roman" w:hAnsi="Times New Roman"/>
          <w:color w:val="0E101A"/>
        </w:rPr>
        <w:t xml:space="preserve"> to realize that</w:t>
      </w:r>
      <w:r>
        <w:rPr>
          <w:rFonts w:ascii="Times New Roman" w:hAnsi="Times New Roman"/>
          <w:color w:val="0E101A"/>
        </w:rPr>
        <w:t xml:space="preserve"> </w:t>
      </w:r>
      <w:r>
        <w:rPr>
          <w:rFonts w:hint="eastAsia" w:ascii="Times New Roman" w:hAnsi="Times New Roman"/>
          <w:color w:val="0E101A"/>
          <w:lang w:val="en-US" w:eastAsia="zh-CN"/>
        </w:rPr>
        <w:t>they</w:t>
      </w:r>
      <w:r>
        <w:rPr>
          <w:rFonts w:hint="eastAsia" w:ascii="Times New Roman" w:hAnsi="Times New Roman"/>
          <w:color w:val="0E101A"/>
        </w:rPr>
        <w:t xml:space="preserve"> </w:t>
      </w:r>
      <w:r>
        <w:rPr>
          <w:rFonts w:ascii="Times New Roman" w:hAnsi="Times New Roman"/>
          <w:color w:val="0E101A"/>
        </w:rPr>
        <w:t xml:space="preserve">have </w:t>
      </w:r>
      <w:r>
        <w:rPr>
          <w:rFonts w:hint="eastAsia" w:ascii="Times New Roman" w:hAnsi="Times New Roman"/>
          <w:color w:val="0E101A"/>
          <w:lang w:val="en-US" w:eastAsia="zh-CN"/>
        </w:rPr>
        <w:t>different</w:t>
      </w:r>
      <w:r>
        <w:rPr>
          <w:rFonts w:ascii="Times New Roman" w:hAnsi="Times New Roman"/>
          <w:color w:val="0E101A"/>
        </w:rPr>
        <w:t xml:space="preserve"> understanding toward happiness</w:t>
      </w:r>
      <w:r>
        <w:rPr>
          <w:rFonts w:hint="eastAsia" w:ascii="Times New Roman" w:hAnsi="Times New Roman"/>
          <w:color w:val="0E101A"/>
          <w:lang w:val="en-US" w:eastAsia="zh-CN"/>
        </w:rPr>
        <w:t xml:space="preserve"> with society</w:t>
      </w:r>
      <w:r>
        <w:rPr>
          <w:rFonts w:hint="default" w:ascii="Times New Roman" w:hAnsi="Times New Roman"/>
          <w:color w:val="0E101A"/>
          <w:lang w:val="en-US" w:eastAsia="zh-CN"/>
        </w:rPr>
        <w:t>’</w:t>
      </w:r>
      <w:r>
        <w:rPr>
          <w:rFonts w:hint="eastAsia" w:ascii="Times New Roman" w:hAnsi="Times New Roman"/>
          <w:color w:val="0E101A"/>
          <w:lang w:val="en-US" w:eastAsia="zh-CN"/>
        </w:rPr>
        <w:t>s</w:t>
      </w:r>
      <w:bookmarkEnd w:id="2"/>
      <w:r>
        <w:rPr>
          <w:rFonts w:ascii="Times New Roman" w:hAnsi="Times New Roman"/>
          <w:color w:val="0E101A"/>
        </w:rPr>
        <w:t xml:space="preserve">. For instance, </w:t>
      </w:r>
      <w:r>
        <w:rPr>
          <w:rFonts w:hint="eastAsia" w:ascii="Times New Roman" w:hAnsi="Times New Roman"/>
          <w:color w:val="0E101A"/>
        </w:rPr>
        <w:t xml:space="preserve">it is convincing that </w:t>
      </w:r>
      <w:r>
        <w:rPr>
          <w:rFonts w:ascii="Times New Roman" w:hAnsi="Times New Roman"/>
          <w:color w:val="0E101A"/>
        </w:rPr>
        <w:t xml:space="preserve">social connection can promote the development of self-esteem (Maslow, 1943), but is it possible that society overly reinforces the role of externality on one's happiness? Under the encouragement of social networks, </w:t>
      </w:r>
      <w:r>
        <w:rPr>
          <w:rFonts w:hint="eastAsia" w:ascii="Times New Roman" w:hAnsi="Times New Roman"/>
          <w:color w:val="0E101A"/>
        </w:rPr>
        <w:t>individuals</w:t>
      </w:r>
      <w:r>
        <w:rPr>
          <w:rFonts w:ascii="Times New Roman" w:hAnsi="Times New Roman"/>
          <w:color w:val="0E101A"/>
        </w:rPr>
        <w:t xml:space="preserve"> may falsely regard solitude as loneliness</w:t>
      </w:r>
      <w:r>
        <w:rPr>
          <w:rFonts w:hint="eastAsia" w:ascii="Times New Roman" w:hAnsi="Times New Roman"/>
          <w:color w:val="0E101A"/>
        </w:rPr>
        <w:t>, internalizing society</w:t>
      </w:r>
      <w:r>
        <w:rPr>
          <w:rFonts w:ascii="Times New Roman" w:hAnsi="Times New Roman"/>
          <w:color w:val="0E101A"/>
        </w:rPr>
        <w:t>’</w:t>
      </w:r>
      <w:r>
        <w:rPr>
          <w:rFonts w:hint="eastAsia" w:ascii="Times New Roman" w:hAnsi="Times New Roman"/>
          <w:color w:val="0E101A"/>
        </w:rPr>
        <w:t>s value and veiling their personal understandings</w:t>
      </w:r>
      <w:r>
        <w:rPr>
          <w:rFonts w:ascii="Times New Roman" w:hAnsi="Times New Roman"/>
          <w:color w:val="0E101A"/>
        </w:rPr>
        <w:t>. Society believes test</w:t>
      </w:r>
      <w:r>
        <w:rPr>
          <w:rFonts w:hint="eastAsia" w:ascii="Times New Roman" w:hAnsi="Times New Roman"/>
          <w:color w:val="0E101A"/>
        </w:rPr>
        <w:t>s such as subjective well-being shows strong</w:t>
      </w:r>
      <w:r>
        <w:rPr>
          <w:rFonts w:ascii="Times New Roman" w:hAnsi="Times New Roman"/>
          <w:color w:val="0E101A"/>
        </w:rPr>
        <w:t xml:space="preserve"> convergent validity</w:t>
      </w:r>
      <w:r>
        <w:rPr>
          <w:rFonts w:hint="eastAsia" w:ascii="Times New Roman" w:hAnsi="Times New Roman"/>
          <w:color w:val="0E101A"/>
        </w:rPr>
        <w:t xml:space="preserve"> </w:t>
      </w:r>
      <w:r>
        <w:rPr>
          <w:rFonts w:ascii="Times New Roman" w:hAnsi="Times New Roman"/>
          <w:color w:val="0E101A"/>
        </w:rPr>
        <w:t>(Stone et al., 2013), but is this</w:t>
      </w:r>
      <w:r>
        <w:rPr>
          <w:rFonts w:hint="eastAsia" w:ascii="Times New Roman" w:hAnsi="Times New Roman"/>
          <w:color w:val="0E101A"/>
        </w:rPr>
        <w:t xml:space="preserve"> testing</w:t>
      </w:r>
      <w:r>
        <w:rPr>
          <w:rFonts w:ascii="Times New Roman" w:hAnsi="Times New Roman"/>
          <w:color w:val="0E101A"/>
        </w:rPr>
        <w:t xml:space="preserve"> individuals' </w:t>
      </w:r>
      <w:r>
        <w:rPr>
          <w:rFonts w:ascii="Times New Roman" w:hAnsi="Times New Roman"/>
          <w:i/>
          <w:iCs/>
          <w:color w:val="0E101A"/>
        </w:rPr>
        <w:t>subjective</w:t>
      </w:r>
      <w:r>
        <w:rPr>
          <w:rFonts w:ascii="Times New Roman" w:hAnsi="Times New Roman"/>
          <w:color w:val="0E101A"/>
        </w:rPr>
        <w:t xml:space="preserve"> well-being? Or </w:t>
      </w:r>
      <w:r>
        <w:rPr>
          <w:rFonts w:hint="eastAsia" w:ascii="Times New Roman" w:hAnsi="Times New Roman"/>
          <w:color w:val="0E101A"/>
        </w:rPr>
        <w:t xml:space="preserve">it is </w:t>
      </w:r>
      <w:r>
        <w:rPr>
          <w:rFonts w:ascii="Times New Roman" w:hAnsi="Times New Roman"/>
          <w:color w:val="0E101A"/>
        </w:rPr>
        <w:t>more about society-encouraged well-being? </w:t>
      </w:r>
    </w:p>
    <w:p>
      <w:pPr>
        <w:pStyle w:val="3"/>
        <w:widowControl/>
        <w:spacing w:beforeAutospacing="0" w:afterAutospacing="0" w:line="480" w:lineRule="auto"/>
        <w:rPr>
          <w:rFonts w:ascii="Times New Roman" w:hAnsi="Times New Roman"/>
          <w:color w:val="0E101A"/>
        </w:rPr>
      </w:pPr>
      <w:r>
        <w:rPr>
          <w:rStyle w:val="6"/>
          <w:rFonts w:ascii="Times New Roman" w:hAnsi="Times New Roman"/>
          <w:color w:val="0E101A"/>
        </w:rPr>
        <w:t>Conclusion</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 xml:space="preserve">This essay argues that happiness cannot be measured by examining two processes. </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 xml:space="preserve">First, an individual must approach knowing to establish a benchmark for subjective measurement. However, staying self-conscious is arduous; additionally, possible cognitive limitations and conversion from beliefs to evaluation can hinder the process of knowing. Thus, </w:t>
      </w:r>
      <w:r>
        <w:rPr>
          <w:rFonts w:hint="eastAsia" w:ascii="Times New Roman" w:hAnsi="Times New Roman"/>
          <w:color w:val="0E101A"/>
          <w:lang w:val="en-US" w:eastAsia="zh-CN"/>
        </w:rPr>
        <w:t>P</w:t>
      </w:r>
      <w:r>
        <w:rPr>
          <w:rFonts w:ascii="Times New Roman" w:hAnsi="Times New Roman"/>
          <w:color w:val="0E101A"/>
        </w:rPr>
        <w:t xml:space="preserve">rocess I </w:t>
      </w:r>
      <w:r>
        <w:rPr>
          <w:rFonts w:hint="eastAsia" w:ascii="Times New Roman" w:hAnsi="Times New Roman"/>
          <w:color w:val="0E101A"/>
          <w:lang w:val="en-US" w:eastAsia="zh-CN"/>
        </w:rPr>
        <w:t>is hard to be</w:t>
      </w:r>
      <w:r>
        <w:rPr>
          <w:rFonts w:ascii="Times New Roman" w:hAnsi="Times New Roman"/>
          <w:color w:val="0E101A"/>
        </w:rPr>
        <w:t xml:space="preserve"> satisfied with.</w:t>
      </w:r>
    </w:p>
    <w:p>
      <w:pPr>
        <w:pStyle w:val="3"/>
        <w:widowControl/>
        <w:spacing w:beforeAutospacing="0" w:afterAutospacing="0" w:line="480" w:lineRule="auto"/>
        <w:ind w:firstLine="420"/>
        <w:rPr>
          <w:rFonts w:ascii="Times New Roman" w:hAnsi="Times New Roman"/>
          <w:color w:val="0E101A"/>
        </w:rPr>
      </w:pPr>
      <w:r>
        <w:rPr>
          <w:rFonts w:ascii="Times New Roman" w:hAnsi="Times New Roman"/>
          <w:color w:val="0E101A"/>
        </w:rPr>
        <w:t xml:space="preserve">Second, respondents' willingness to convey and the test's frame determine the effectiveness of </w:t>
      </w:r>
      <w:r>
        <w:rPr>
          <w:rFonts w:hint="eastAsia" w:ascii="Times New Roman" w:hAnsi="Times New Roman"/>
          <w:color w:val="0E101A"/>
          <w:lang w:val="en-US" w:eastAsia="zh-CN"/>
        </w:rPr>
        <w:t>P</w:t>
      </w:r>
      <w:r>
        <w:rPr>
          <w:rFonts w:ascii="Times New Roman" w:hAnsi="Times New Roman"/>
          <w:color w:val="0E101A"/>
        </w:rPr>
        <w:t xml:space="preserve">rocess II. Respectively, cognitive dissonance undermines one's willingness to convey, and the trade-off between broadness and preciseness brings challenges to constructing </w:t>
      </w:r>
      <w:r>
        <w:rPr>
          <w:rFonts w:hint="eastAsia" w:ascii="Times New Roman" w:hAnsi="Times New Roman"/>
          <w:color w:val="0E101A"/>
        </w:rPr>
        <w:t>the frame</w:t>
      </w:r>
      <w:r>
        <w:rPr>
          <w:rFonts w:ascii="Times New Roman" w:hAnsi="Times New Roman"/>
          <w:color w:val="0E101A"/>
        </w:rPr>
        <w:t xml:space="preserve">. Moreover, </w:t>
      </w:r>
      <w:r>
        <w:rPr>
          <w:rFonts w:hint="eastAsia" w:ascii="Times New Roman" w:hAnsi="Times New Roman"/>
          <w:color w:val="0E101A"/>
        </w:rPr>
        <w:t xml:space="preserve">since </w:t>
      </w:r>
      <w:r>
        <w:rPr>
          <w:rFonts w:ascii="Times New Roman" w:hAnsi="Times New Roman"/>
          <w:color w:val="0E101A"/>
        </w:rPr>
        <w:t xml:space="preserve">society's cognition limits the test frame significantly, individuals' </w:t>
      </w:r>
      <w:r>
        <w:rPr>
          <w:rFonts w:hint="eastAsia" w:ascii="Times New Roman" w:hAnsi="Times New Roman"/>
          <w:color w:val="0E101A"/>
        </w:rPr>
        <w:t xml:space="preserve">understandings to happiness </w:t>
      </w:r>
      <w:r>
        <w:rPr>
          <w:rFonts w:ascii="Times New Roman" w:hAnsi="Times New Roman"/>
          <w:color w:val="0E101A"/>
        </w:rPr>
        <w:t>are hard to be reflected. If the test is constructed by externality, it will continuously measure socially desired well-being rather than subjective well-being. </w:t>
      </w:r>
    </w:p>
    <w:p>
      <w:pPr>
        <w:spacing w:line="480" w:lineRule="auto"/>
        <w:rPr>
          <w:rFonts w:hint="default" w:eastAsia="宋体"/>
          <w:lang w:val="en-US" w:eastAsia="zh-CN"/>
        </w:rPr>
        <w:sectPr>
          <w:pgSz w:w="11906" w:h="16838"/>
          <w:pgMar w:top="1440" w:right="1440" w:bottom="1440" w:left="1440" w:header="851" w:footer="992" w:gutter="0"/>
          <w:cols w:space="425" w:num="1"/>
          <w:docGrid w:type="lines" w:linePitch="312" w:charSpace="0"/>
        </w:sectPr>
      </w:pPr>
      <w:bookmarkStart w:id="3" w:name="_GoBack"/>
      <w:bookmarkEnd w:id="3"/>
    </w:p>
    <w:p>
      <w:pPr>
        <w:pStyle w:val="3"/>
        <w:widowControl/>
        <w:spacing w:beforeAutospacing="0" w:afterAutospacing="0" w:line="480" w:lineRule="auto"/>
        <w:jc w:val="center"/>
        <w:rPr>
          <w:b/>
          <w:bCs/>
        </w:rPr>
      </w:pPr>
      <w:r>
        <w:rPr>
          <w:rFonts w:ascii="Times New Roman" w:hAnsi="Times New Roman"/>
          <w:b/>
          <w:bCs/>
        </w:rPr>
        <w:t>References</w:t>
      </w:r>
    </w:p>
    <w:p>
      <w:pPr>
        <w:pStyle w:val="3"/>
        <w:widowControl/>
        <w:spacing w:beforeAutospacing="0" w:afterAutospacing="0" w:line="480" w:lineRule="auto"/>
        <w:ind w:hanging="720"/>
      </w:pPr>
      <w:r>
        <w:rPr>
          <w:rFonts w:ascii="Times New Roman" w:hAnsi="Times New Roman"/>
        </w:rPr>
        <w:t xml:space="preserve">Cacioppo, J. T., &amp; Freberg, L. (2019). </w:t>
      </w:r>
      <w:r>
        <w:rPr>
          <w:rFonts w:ascii="Times New Roman" w:hAnsi="Times New Roman"/>
          <w:i/>
          <w:iCs/>
        </w:rPr>
        <w:t>Discovering psychology 3e : the science of mind</w:t>
      </w:r>
      <w:r>
        <w:rPr>
          <w:rFonts w:ascii="Times New Roman" w:hAnsi="Times New Roman"/>
        </w:rPr>
        <w:t>. Cengage.</w:t>
      </w:r>
    </w:p>
    <w:p>
      <w:pPr>
        <w:pStyle w:val="3"/>
        <w:widowControl/>
        <w:spacing w:beforeAutospacing="0" w:afterAutospacing="0" w:line="480" w:lineRule="auto"/>
        <w:ind w:hanging="720"/>
      </w:pPr>
      <w:r>
        <w:rPr>
          <w:rFonts w:ascii="Times New Roman" w:hAnsi="Times New Roman"/>
        </w:rPr>
        <w:t xml:space="preserve">Carse, J. P. (2012). </w:t>
      </w:r>
      <w:r>
        <w:rPr>
          <w:rFonts w:ascii="Times New Roman" w:hAnsi="Times New Roman"/>
          <w:i/>
          <w:iCs/>
        </w:rPr>
        <w:t>Finite and infinite games : a vision of life as play and possibility</w:t>
      </w:r>
      <w:r>
        <w:rPr>
          <w:rFonts w:ascii="Times New Roman" w:hAnsi="Times New Roman"/>
        </w:rPr>
        <w:t>. Free Press.</w:t>
      </w:r>
    </w:p>
    <w:p>
      <w:pPr>
        <w:pStyle w:val="3"/>
        <w:widowControl/>
        <w:spacing w:beforeAutospacing="0" w:afterAutospacing="0" w:line="480" w:lineRule="auto"/>
        <w:ind w:hanging="720"/>
      </w:pPr>
      <w:r>
        <w:rPr>
          <w:rFonts w:ascii="Times New Roman" w:hAnsi="Times New Roman"/>
        </w:rPr>
        <w:t xml:space="preserve">Charmaz, K. (1995). The Body, Identity, and Self: Adapting to Impairment. </w:t>
      </w:r>
      <w:r>
        <w:rPr>
          <w:rFonts w:ascii="Times New Roman" w:hAnsi="Times New Roman"/>
          <w:i/>
          <w:iCs/>
        </w:rPr>
        <w:t>The Sociological Quarterly</w:t>
      </w:r>
      <w:r>
        <w:rPr>
          <w:rFonts w:ascii="Times New Roman" w:hAnsi="Times New Roman"/>
        </w:rPr>
        <w:t xml:space="preserve">, </w:t>
      </w:r>
      <w:r>
        <w:rPr>
          <w:rFonts w:ascii="Times New Roman" w:hAnsi="Times New Roman"/>
          <w:i/>
          <w:iCs/>
        </w:rPr>
        <w:t>36</w:t>
      </w:r>
      <w:r>
        <w:rPr>
          <w:rFonts w:ascii="Times New Roman" w:hAnsi="Times New Roman"/>
        </w:rPr>
        <w:t>(4), 657–680. https://www.jstor.org/stable/4121346</w:t>
      </w:r>
    </w:p>
    <w:p>
      <w:pPr>
        <w:pStyle w:val="3"/>
        <w:widowControl/>
        <w:spacing w:beforeAutospacing="0" w:afterAutospacing="0" w:line="480" w:lineRule="auto"/>
        <w:ind w:hanging="720"/>
        <w:rPr>
          <w:rFonts w:ascii="Times New Roman" w:hAnsi="Times New Roman"/>
        </w:rPr>
      </w:pPr>
      <w:r>
        <w:rPr>
          <w:rFonts w:ascii="Times New Roman" w:hAnsi="Times New Roman"/>
        </w:rPr>
        <w:t xml:space="preserve">Corteen, R. S., &amp; Wood, B. (1972). Autonomic responses to shock-associated words in an unattended channel. </w:t>
      </w:r>
      <w:r>
        <w:rPr>
          <w:rFonts w:ascii="Times New Roman" w:hAnsi="Times New Roman"/>
          <w:i/>
          <w:iCs/>
        </w:rPr>
        <w:t>Journal of Experimental Psychology</w:t>
      </w:r>
      <w:r>
        <w:rPr>
          <w:rFonts w:ascii="Times New Roman" w:hAnsi="Times New Roman"/>
        </w:rPr>
        <w:t xml:space="preserve">, </w:t>
      </w:r>
      <w:r>
        <w:rPr>
          <w:rFonts w:ascii="Times New Roman" w:hAnsi="Times New Roman"/>
          <w:i/>
          <w:iCs/>
        </w:rPr>
        <w:t>94</w:t>
      </w:r>
      <w:r>
        <w:rPr>
          <w:rFonts w:ascii="Times New Roman" w:hAnsi="Times New Roman"/>
        </w:rPr>
        <w:t xml:space="preserve">(3), 308–313. </w:t>
      </w:r>
      <w:r>
        <w:fldChar w:fldCharType="begin"/>
      </w:r>
      <w:r>
        <w:instrText xml:space="preserve"> HYPERLINK "https://doi.org/10.1037/h0032759" </w:instrText>
      </w:r>
      <w:r>
        <w:fldChar w:fldCharType="separate"/>
      </w:r>
      <w:r>
        <w:rPr>
          <w:rStyle w:val="8"/>
          <w:rFonts w:ascii="Times New Roman" w:hAnsi="Times New Roman"/>
        </w:rPr>
        <w:t>https://doi.org/10.1037/h0032759</w:t>
      </w:r>
      <w:r>
        <w:rPr>
          <w:rStyle w:val="8"/>
          <w:rFonts w:ascii="Times New Roman" w:hAnsi="Times New Roman"/>
        </w:rPr>
        <w:fldChar w:fldCharType="end"/>
      </w:r>
    </w:p>
    <w:p>
      <w:pPr>
        <w:pStyle w:val="3"/>
        <w:widowControl/>
        <w:spacing w:beforeAutospacing="0" w:afterAutospacing="0" w:line="480" w:lineRule="auto"/>
        <w:ind w:hanging="720"/>
        <w:rPr>
          <w:rFonts w:ascii="Times New Roman" w:hAnsi="Times New Roman"/>
        </w:rPr>
      </w:pPr>
      <w:r>
        <w:rPr>
          <w:rFonts w:ascii="Times New Roman" w:hAnsi="Times New Roman"/>
        </w:rPr>
        <w:t xml:space="preserve">Crisp, R. (2017). </w:t>
      </w:r>
      <w:r>
        <w:rPr>
          <w:rFonts w:ascii="Times New Roman" w:hAnsi="Times New Roman"/>
          <w:i/>
          <w:iCs/>
        </w:rPr>
        <w:t>Well-Being (Stanford Encyclopedia of Philosophy)</w:t>
      </w:r>
      <w:r>
        <w:rPr>
          <w:rFonts w:ascii="Times New Roman" w:hAnsi="Times New Roman"/>
        </w:rPr>
        <w:t xml:space="preserve">. Stanford.edu. </w:t>
      </w:r>
      <w:r>
        <w:fldChar w:fldCharType="begin"/>
      </w:r>
      <w:r>
        <w:instrText xml:space="preserve"> HYPERLINK "https://plato.stanford.edu/entries/well-being/#ObjLisThe" </w:instrText>
      </w:r>
      <w:r>
        <w:fldChar w:fldCharType="separate"/>
      </w:r>
      <w:r>
        <w:rPr>
          <w:rStyle w:val="8"/>
          <w:rFonts w:ascii="Times New Roman" w:hAnsi="Times New Roman"/>
        </w:rPr>
        <w:t>https://plato.stanford.edu/entries/well-being/#ObjLisThe</w:t>
      </w:r>
      <w:r>
        <w:rPr>
          <w:rStyle w:val="8"/>
          <w:rFonts w:ascii="Times New Roman" w:hAnsi="Times New Roman"/>
        </w:rPr>
        <w:fldChar w:fldCharType="end"/>
      </w:r>
    </w:p>
    <w:p>
      <w:pPr>
        <w:pStyle w:val="3"/>
        <w:widowControl/>
        <w:spacing w:beforeAutospacing="0" w:afterAutospacing="0" w:line="480" w:lineRule="auto"/>
        <w:ind w:hanging="720"/>
      </w:pPr>
      <w:r>
        <w:rPr>
          <w:rFonts w:ascii="Times New Roman" w:hAnsi="Times New Roman"/>
        </w:rPr>
        <w:t xml:space="preserve">Frankl, V. E. (2006). </w:t>
      </w:r>
      <w:r>
        <w:rPr>
          <w:rFonts w:ascii="Times New Roman" w:hAnsi="Times New Roman"/>
          <w:i/>
          <w:iCs/>
        </w:rPr>
        <w:t>Man’s Search for Meaning</w:t>
      </w:r>
      <w:r>
        <w:rPr>
          <w:rFonts w:ascii="Times New Roman" w:hAnsi="Times New Roman"/>
        </w:rPr>
        <w:t>. Beacon Press.</w:t>
      </w:r>
    </w:p>
    <w:p>
      <w:pPr>
        <w:pStyle w:val="3"/>
        <w:widowControl/>
        <w:spacing w:beforeAutospacing="0" w:afterAutospacing="0" w:line="480" w:lineRule="auto"/>
        <w:ind w:hanging="720"/>
      </w:pPr>
      <w:r>
        <w:rPr>
          <w:rFonts w:ascii="Times New Roman" w:hAnsi="Times New Roman"/>
        </w:rPr>
        <w:t xml:space="preserve">Gertler, B. (2020). </w:t>
      </w:r>
      <w:r>
        <w:rPr>
          <w:rFonts w:ascii="Times New Roman" w:hAnsi="Times New Roman"/>
          <w:i/>
          <w:iCs/>
        </w:rPr>
        <w:t>Self-Knowledge</w:t>
      </w:r>
      <w:r>
        <w:rPr>
          <w:rFonts w:ascii="Times New Roman" w:hAnsi="Times New Roman"/>
        </w:rPr>
        <w:t xml:space="preserve"> (E. N. Zalta, Ed.). Stanford Encyclopedia of Philosophy; Metaphysics Research Lab, Stanford University. https://plato.stanford.edu/entries/self-knowledge/</w:t>
      </w:r>
    </w:p>
    <w:p>
      <w:pPr>
        <w:pStyle w:val="3"/>
        <w:widowControl/>
        <w:spacing w:beforeAutospacing="0" w:afterAutospacing="0" w:line="480" w:lineRule="auto"/>
        <w:ind w:hanging="720"/>
      </w:pPr>
      <w:r>
        <w:rPr>
          <w:rFonts w:ascii="Times New Roman" w:hAnsi="Times New Roman"/>
        </w:rPr>
        <w:t xml:space="preserve">Gregory, R. L. (2015). </w:t>
      </w:r>
      <w:r>
        <w:rPr>
          <w:rFonts w:ascii="Times New Roman" w:hAnsi="Times New Roman"/>
          <w:i/>
          <w:iCs/>
        </w:rPr>
        <w:t>Eye and Brain : The Psychology of Seeing - Fifth Edition</w:t>
      </w:r>
      <w:r>
        <w:rPr>
          <w:rFonts w:ascii="Times New Roman" w:hAnsi="Times New Roman"/>
        </w:rPr>
        <w:t>. Princeton University Press.</w:t>
      </w:r>
    </w:p>
    <w:p>
      <w:pPr>
        <w:pStyle w:val="3"/>
        <w:widowControl/>
        <w:spacing w:beforeAutospacing="0" w:afterAutospacing="0" w:line="480" w:lineRule="auto"/>
        <w:ind w:hanging="720"/>
      </w:pPr>
      <w:r>
        <w:rPr>
          <w:rFonts w:ascii="Times New Roman" w:hAnsi="Times New Roman"/>
        </w:rPr>
        <w:t xml:space="preserve">Han-Pile, B. (2009). Nietzsche and Amor Fati. </w:t>
      </w:r>
      <w:r>
        <w:rPr>
          <w:rFonts w:ascii="Times New Roman" w:hAnsi="Times New Roman"/>
          <w:i/>
          <w:iCs/>
        </w:rPr>
        <w:t>European Journal of Philosophy</w:t>
      </w:r>
      <w:r>
        <w:rPr>
          <w:rFonts w:ascii="Times New Roman" w:hAnsi="Times New Roman"/>
        </w:rPr>
        <w:t xml:space="preserve">, </w:t>
      </w:r>
      <w:r>
        <w:rPr>
          <w:rFonts w:ascii="Times New Roman" w:hAnsi="Times New Roman"/>
          <w:i/>
          <w:iCs/>
        </w:rPr>
        <w:t>19</w:t>
      </w:r>
      <w:r>
        <w:rPr>
          <w:rFonts w:ascii="Times New Roman" w:hAnsi="Times New Roman"/>
        </w:rPr>
        <w:t>(2), 224–261. https://doi.org/10.1111/j.1468-0378.2009.00380.x</w:t>
      </w:r>
    </w:p>
    <w:p>
      <w:pPr>
        <w:pStyle w:val="3"/>
        <w:widowControl/>
        <w:spacing w:beforeAutospacing="0" w:afterAutospacing="0" w:line="480" w:lineRule="auto"/>
        <w:ind w:hanging="720"/>
        <w:rPr>
          <w:rFonts w:ascii="Times New Roman" w:hAnsi="Times New Roman"/>
        </w:rPr>
      </w:pPr>
      <w:r>
        <w:rPr>
          <w:rFonts w:ascii="Times New Roman" w:hAnsi="Times New Roman"/>
        </w:rPr>
        <w:t xml:space="preserve">Haybron, D. (2020). </w:t>
      </w:r>
      <w:r>
        <w:rPr>
          <w:rFonts w:ascii="Times New Roman" w:hAnsi="Times New Roman"/>
          <w:i/>
          <w:iCs/>
        </w:rPr>
        <w:t>Happiness</w:t>
      </w:r>
      <w:r>
        <w:rPr>
          <w:rFonts w:ascii="Times New Roman" w:hAnsi="Times New Roman"/>
        </w:rPr>
        <w:t xml:space="preserve"> (E. N. Zalta, Ed.). Stanford Encyclopedia of Philosophy; Metaphysics Research Lab, Stanford University. </w:t>
      </w:r>
      <w:r>
        <w:fldChar w:fldCharType="begin"/>
      </w:r>
      <w:r>
        <w:instrText xml:space="preserve"> HYPERLINK "https://plato.stanford.edu/entries/happiness/#HedVerEmoSta" </w:instrText>
      </w:r>
      <w:r>
        <w:fldChar w:fldCharType="separate"/>
      </w:r>
      <w:r>
        <w:rPr>
          <w:rStyle w:val="8"/>
          <w:rFonts w:ascii="Times New Roman" w:hAnsi="Times New Roman"/>
        </w:rPr>
        <w:t>https://plato.stanford.edu/entries/happiness/#HedVerEmoSta</w:t>
      </w:r>
      <w:r>
        <w:rPr>
          <w:rStyle w:val="8"/>
          <w:rFonts w:ascii="Times New Roman" w:hAnsi="Times New Roman"/>
        </w:rPr>
        <w:fldChar w:fldCharType="end"/>
      </w:r>
    </w:p>
    <w:p>
      <w:pPr>
        <w:pStyle w:val="3"/>
        <w:widowControl/>
        <w:spacing w:beforeAutospacing="0" w:afterAutospacing="0" w:line="480" w:lineRule="auto"/>
        <w:ind w:hanging="720"/>
        <w:rPr>
          <w:rFonts w:ascii="Times New Roman" w:hAnsi="Times New Roman"/>
        </w:rPr>
      </w:pPr>
      <w:r>
        <w:rPr>
          <w:rFonts w:ascii="Times New Roman" w:hAnsi="Times New Roman"/>
        </w:rPr>
        <w:t xml:space="preserve">Jacobsen, B. (2007). </w:t>
      </w:r>
      <w:r>
        <w:rPr>
          <w:rFonts w:ascii="Times New Roman" w:hAnsi="Times New Roman"/>
          <w:i/>
          <w:iCs/>
        </w:rPr>
        <w:t>Invitation to existential psychology : a psychology for the unique human being and its applications in therapy</w:t>
      </w:r>
      <w:r>
        <w:rPr>
          <w:rFonts w:ascii="Times New Roman" w:hAnsi="Times New Roman"/>
        </w:rPr>
        <w:t>. John Wiley.</w:t>
      </w:r>
    </w:p>
    <w:p>
      <w:pPr>
        <w:pStyle w:val="3"/>
        <w:widowControl/>
        <w:spacing w:beforeAutospacing="0" w:afterAutospacing="0" w:line="480" w:lineRule="auto"/>
        <w:ind w:hanging="720"/>
      </w:pPr>
      <w:r>
        <w:rPr>
          <w:rFonts w:ascii="Times New Roman" w:hAnsi="Times New Roman"/>
        </w:rPr>
        <w:t xml:space="preserve">Kahneman, D. (2011). </w:t>
      </w:r>
      <w:r>
        <w:rPr>
          <w:rFonts w:ascii="Times New Roman" w:hAnsi="Times New Roman"/>
          <w:i/>
          <w:iCs/>
        </w:rPr>
        <w:t>Thinking, Fast and Slow</w:t>
      </w:r>
      <w:r>
        <w:rPr>
          <w:rFonts w:ascii="Times New Roman" w:hAnsi="Times New Roman"/>
        </w:rPr>
        <w:t>. Farrar, Straus and Giroux.</w:t>
      </w:r>
    </w:p>
    <w:p>
      <w:pPr>
        <w:pStyle w:val="3"/>
        <w:widowControl/>
        <w:spacing w:beforeAutospacing="0" w:afterAutospacing="0" w:line="480" w:lineRule="auto"/>
        <w:ind w:hanging="720"/>
        <w:rPr>
          <w:rFonts w:ascii="Times New Roman" w:hAnsi="Times New Roman"/>
        </w:rPr>
      </w:pPr>
      <w:r>
        <w:rPr>
          <w:rFonts w:ascii="Times New Roman" w:hAnsi="Times New Roman"/>
        </w:rPr>
        <w:t xml:space="preserve">Kant, I. (1889). </w:t>
      </w:r>
      <w:r>
        <w:rPr>
          <w:rFonts w:ascii="Times New Roman" w:hAnsi="Times New Roman"/>
          <w:i/>
          <w:iCs/>
        </w:rPr>
        <w:t>Foundations of the Metaphysics of Morals</w:t>
      </w:r>
      <w:r>
        <w:rPr>
          <w:rFonts w:ascii="Times New Roman" w:hAnsi="Times New Roman"/>
        </w:rPr>
        <w:t xml:space="preserve">. </w:t>
      </w:r>
      <w:r>
        <w:fldChar w:fldCharType="begin"/>
      </w:r>
      <w:r>
        <w:instrText xml:space="preserve"> HYPERLINK "http://www.sophia-project.org/uploads/1/3/9/5/13955288/kant_foundations.pdf" </w:instrText>
      </w:r>
      <w:r>
        <w:fldChar w:fldCharType="separate"/>
      </w:r>
      <w:r>
        <w:rPr>
          <w:rStyle w:val="8"/>
          <w:rFonts w:ascii="Times New Roman" w:hAnsi="Times New Roman"/>
        </w:rPr>
        <w:t>http://www.sophia-project.org/uploads/1/3/9/5/13955288/kant_foundations.pdf</w:t>
      </w:r>
      <w:r>
        <w:rPr>
          <w:rStyle w:val="8"/>
          <w:rFonts w:ascii="Times New Roman" w:hAnsi="Times New Roman"/>
        </w:rPr>
        <w:fldChar w:fldCharType="end"/>
      </w:r>
    </w:p>
    <w:p>
      <w:pPr>
        <w:pStyle w:val="3"/>
        <w:widowControl/>
        <w:spacing w:beforeAutospacing="0" w:afterAutospacing="0" w:line="480" w:lineRule="auto"/>
        <w:ind w:hanging="720"/>
        <w:rPr>
          <w:rFonts w:ascii="Times New Roman" w:hAnsi="Times New Roman"/>
        </w:rPr>
      </w:pPr>
      <w:r>
        <w:rPr>
          <w:rFonts w:ascii="Times New Roman" w:hAnsi="Times New Roman"/>
        </w:rPr>
        <w:t xml:space="preserve">Khalil, T. E., Albastaki, F., Obaid, L., Zaid, H. A., Dalalah, D., &amp; Alhassani, S. (2022). Ranking Risk Attitudes Using an Integrated AHP-TOPSIS Approach. </w:t>
      </w:r>
      <w:r>
        <w:rPr>
          <w:rFonts w:ascii="Times New Roman" w:hAnsi="Times New Roman"/>
          <w:i/>
          <w:iCs/>
        </w:rPr>
        <w:t>International Journal of Applied Decision Sciences</w:t>
      </w:r>
      <w:r>
        <w:rPr>
          <w:rFonts w:ascii="Times New Roman" w:hAnsi="Times New Roman"/>
        </w:rPr>
        <w:t xml:space="preserve">, </w:t>
      </w:r>
      <w:r>
        <w:rPr>
          <w:rFonts w:ascii="Times New Roman" w:hAnsi="Times New Roman"/>
          <w:i/>
          <w:iCs/>
        </w:rPr>
        <w:t>1</w:t>
      </w:r>
      <w:r>
        <w:rPr>
          <w:rFonts w:ascii="Times New Roman" w:hAnsi="Times New Roman"/>
        </w:rPr>
        <w:t>(1), 1. https://doi.org/10.1504/ijads.2022.10037216</w:t>
      </w:r>
    </w:p>
    <w:p>
      <w:pPr>
        <w:pStyle w:val="3"/>
        <w:widowControl/>
        <w:spacing w:beforeAutospacing="0" w:afterAutospacing="0" w:line="480" w:lineRule="auto"/>
        <w:ind w:hanging="720"/>
        <w:rPr>
          <w:rFonts w:ascii="Times New Roman" w:hAnsi="Times New Roman"/>
        </w:rPr>
      </w:pPr>
      <w:r>
        <w:rPr>
          <w:rFonts w:ascii="Times New Roman" w:hAnsi="Times New Roman"/>
        </w:rPr>
        <w:t xml:space="preserve">Kohler, W. (1967). Gestalt psychology. </w:t>
      </w:r>
      <w:r>
        <w:rPr>
          <w:rFonts w:ascii="Times New Roman" w:hAnsi="Times New Roman"/>
          <w:i/>
          <w:iCs/>
        </w:rPr>
        <w:t>Psychologische Forschung</w:t>
      </w:r>
      <w:r>
        <w:rPr>
          <w:rFonts w:ascii="Times New Roman" w:hAnsi="Times New Roman"/>
        </w:rPr>
        <w:t xml:space="preserve">, </w:t>
      </w:r>
      <w:r>
        <w:rPr>
          <w:rFonts w:ascii="Times New Roman" w:hAnsi="Times New Roman"/>
          <w:i/>
          <w:iCs/>
        </w:rPr>
        <w:t>31</w:t>
      </w:r>
      <w:r>
        <w:rPr>
          <w:rFonts w:ascii="Times New Roman" w:hAnsi="Times New Roman"/>
        </w:rPr>
        <w:t xml:space="preserve">(1), XVIII–XXX. </w:t>
      </w:r>
      <w:r>
        <w:fldChar w:fldCharType="begin"/>
      </w:r>
      <w:r>
        <w:instrText xml:space="preserve"> HYPERLINK "https://doi.org/10.1007/bf00422382" </w:instrText>
      </w:r>
      <w:r>
        <w:fldChar w:fldCharType="separate"/>
      </w:r>
      <w:r>
        <w:rPr>
          <w:rStyle w:val="8"/>
          <w:rFonts w:ascii="Times New Roman" w:hAnsi="Times New Roman"/>
        </w:rPr>
        <w:t>https://doi.org/10.1007/bf00422382</w:t>
      </w:r>
      <w:r>
        <w:rPr>
          <w:rStyle w:val="8"/>
          <w:rFonts w:ascii="Times New Roman" w:hAnsi="Times New Roman"/>
        </w:rPr>
        <w:fldChar w:fldCharType="end"/>
      </w:r>
    </w:p>
    <w:p>
      <w:pPr>
        <w:pStyle w:val="3"/>
        <w:widowControl/>
        <w:spacing w:beforeAutospacing="0" w:afterAutospacing="0" w:line="480" w:lineRule="auto"/>
        <w:ind w:hanging="720"/>
        <w:rPr>
          <w:rFonts w:ascii="Times New Roman" w:hAnsi="Times New Roman"/>
        </w:rPr>
      </w:pPr>
      <w:r>
        <w:rPr>
          <w:rFonts w:ascii="Times New Roman" w:hAnsi="Times New Roman"/>
        </w:rPr>
        <w:t xml:space="preserve">Laozi. (2018). </w:t>
      </w:r>
      <w:r>
        <w:rPr>
          <w:rFonts w:ascii="Times New Roman" w:hAnsi="Times New Roman"/>
          <w:i/>
          <w:iCs/>
        </w:rPr>
        <w:t>Laws divine and human</w:t>
      </w:r>
      <w:r>
        <w:rPr>
          <w:rFonts w:ascii="Times New Roman" w:hAnsi="Times New Roman"/>
        </w:rPr>
        <w:t xml:space="preserve"> (Y. Xu, Trans.). Zhonghua Book Company.</w:t>
      </w:r>
    </w:p>
    <w:p>
      <w:pPr>
        <w:pStyle w:val="3"/>
        <w:widowControl/>
        <w:spacing w:beforeAutospacing="0" w:afterAutospacing="0" w:line="480" w:lineRule="auto"/>
        <w:ind w:hanging="720"/>
      </w:pPr>
      <w:r>
        <w:rPr>
          <w:rFonts w:ascii="Times New Roman" w:hAnsi="Times New Roman"/>
        </w:rPr>
        <w:t xml:space="preserve">Lelkes, Y., Krosnick, J. A., Marx, D. M., Judd, C. M., &amp; Park, B. (2012). Complete anonymity compromises the accuracy of self-reports. </w:t>
      </w:r>
      <w:r>
        <w:rPr>
          <w:rFonts w:ascii="Times New Roman" w:hAnsi="Times New Roman"/>
          <w:i/>
          <w:iCs/>
        </w:rPr>
        <w:t>Journal of Experimental Social Psychology</w:t>
      </w:r>
      <w:r>
        <w:rPr>
          <w:rFonts w:ascii="Times New Roman" w:hAnsi="Times New Roman"/>
        </w:rPr>
        <w:t xml:space="preserve">, </w:t>
      </w:r>
      <w:r>
        <w:rPr>
          <w:rFonts w:ascii="Times New Roman" w:hAnsi="Times New Roman"/>
          <w:i/>
          <w:iCs/>
        </w:rPr>
        <w:t>48</w:t>
      </w:r>
      <w:r>
        <w:rPr>
          <w:rFonts w:ascii="Times New Roman" w:hAnsi="Times New Roman"/>
        </w:rPr>
        <w:t>(6), 1291–1299. https://doi.org/10.1016/j.jesp.2012.07.002</w:t>
      </w:r>
    </w:p>
    <w:p>
      <w:pPr>
        <w:pStyle w:val="3"/>
        <w:widowControl/>
        <w:spacing w:beforeAutospacing="0" w:afterAutospacing="0" w:line="480" w:lineRule="auto"/>
        <w:ind w:hanging="720"/>
      </w:pPr>
      <w:r>
        <w:rPr>
          <w:rFonts w:ascii="Times New Roman" w:hAnsi="Times New Roman"/>
        </w:rPr>
        <w:t xml:space="preserve">Maslow, A. H. (1943). A Theory of Human Motivation. </w:t>
      </w:r>
      <w:r>
        <w:rPr>
          <w:rFonts w:ascii="Times New Roman" w:hAnsi="Times New Roman"/>
          <w:i/>
          <w:iCs/>
        </w:rPr>
        <w:t>Psychological Review</w:t>
      </w:r>
      <w:r>
        <w:rPr>
          <w:rFonts w:ascii="Times New Roman" w:hAnsi="Times New Roman"/>
        </w:rPr>
        <w:t xml:space="preserve">, </w:t>
      </w:r>
      <w:r>
        <w:rPr>
          <w:rFonts w:ascii="Times New Roman" w:hAnsi="Times New Roman"/>
          <w:i/>
          <w:iCs/>
        </w:rPr>
        <w:t>50</w:t>
      </w:r>
      <w:r>
        <w:rPr>
          <w:rFonts w:ascii="Times New Roman" w:hAnsi="Times New Roman"/>
        </w:rPr>
        <w:t>(4), 370–396.</w:t>
      </w:r>
    </w:p>
    <w:p>
      <w:pPr>
        <w:pStyle w:val="3"/>
        <w:widowControl/>
        <w:spacing w:beforeAutospacing="0" w:afterAutospacing="0" w:line="480" w:lineRule="auto"/>
        <w:ind w:hanging="720"/>
      </w:pPr>
      <w:r>
        <w:rPr>
          <w:rFonts w:ascii="Times New Roman" w:hAnsi="Times New Roman"/>
        </w:rPr>
        <w:t xml:space="preserve">Rockwood, N. (2018). LOCKE ON EMPIRICAL KNOWLEDGE. </w:t>
      </w:r>
      <w:r>
        <w:rPr>
          <w:rFonts w:ascii="Times New Roman" w:hAnsi="Times New Roman"/>
          <w:i/>
          <w:iCs/>
        </w:rPr>
        <w:t>History of Philosophy Quarterly</w:t>
      </w:r>
      <w:r>
        <w:rPr>
          <w:rFonts w:ascii="Times New Roman" w:hAnsi="Times New Roman"/>
        </w:rPr>
        <w:t xml:space="preserve">, </w:t>
      </w:r>
      <w:r>
        <w:rPr>
          <w:rFonts w:ascii="Times New Roman" w:hAnsi="Times New Roman"/>
          <w:i/>
          <w:iCs/>
        </w:rPr>
        <w:t>35</w:t>
      </w:r>
      <w:r>
        <w:rPr>
          <w:rFonts w:ascii="Times New Roman" w:hAnsi="Times New Roman"/>
        </w:rPr>
        <w:t>(4), 317–336. https://doi.org/10.2307/48570921</w:t>
      </w:r>
    </w:p>
    <w:p>
      <w:pPr>
        <w:pStyle w:val="3"/>
        <w:widowControl/>
        <w:spacing w:beforeAutospacing="0" w:afterAutospacing="0" w:line="480" w:lineRule="auto"/>
        <w:ind w:hanging="720"/>
      </w:pPr>
      <w:r>
        <w:rPr>
          <w:rFonts w:ascii="Times New Roman" w:hAnsi="Times New Roman"/>
        </w:rPr>
        <w:t xml:space="preserve">Ryan, R. M., &amp; Deci, E. L. (2000). Self-Determination Theory and the Facilitation of Intrinsic Motivation, Social Development, and Well-Being. </w:t>
      </w:r>
      <w:r>
        <w:rPr>
          <w:rFonts w:ascii="Times New Roman" w:hAnsi="Times New Roman"/>
          <w:i/>
          <w:iCs/>
        </w:rPr>
        <w:t>American Psychologist</w:t>
      </w:r>
      <w:r>
        <w:rPr>
          <w:rFonts w:ascii="Times New Roman" w:hAnsi="Times New Roman"/>
        </w:rPr>
        <w:t xml:space="preserve">, </w:t>
      </w:r>
      <w:r>
        <w:rPr>
          <w:rFonts w:ascii="Times New Roman" w:hAnsi="Times New Roman"/>
          <w:i/>
          <w:iCs/>
        </w:rPr>
        <w:t>55</w:t>
      </w:r>
      <w:r>
        <w:rPr>
          <w:rFonts w:ascii="Times New Roman" w:hAnsi="Times New Roman"/>
        </w:rPr>
        <w:t>(1), 68–78.</w:t>
      </w:r>
    </w:p>
    <w:p>
      <w:pPr>
        <w:pStyle w:val="3"/>
        <w:widowControl/>
        <w:spacing w:beforeAutospacing="0" w:afterAutospacing="0" w:line="480" w:lineRule="auto"/>
        <w:ind w:hanging="720"/>
      </w:pPr>
      <w:r>
        <w:rPr>
          <w:rFonts w:ascii="Times New Roman" w:hAnsi="Times New Roman"/>
        </w:rPr>
        <w:t xml:space="preserve">Sartre, J.-P. (1946). </w:t>
      </w:r>
      <w:r>
        <w:rPr>
          <w:rFonts w:ascii="Times New Roman" w:hAnsi="Times New Roman"/>
          <w:i/>
          <w:iCs/>
        </w:rPr>
        <w:t xml:space="preserve">Existentialism is a humanism </w:t>
      </w:r>
      <w:r>
        <w:rPr>
          <w:rFonts w:ascii="Times New Roman" w:hAnsi="Times New Roman"/>
        </w:rPr>
        <w:t>. Yale University Press.</w:t>
      </w:r>
    </w:p>
    <w:p>
      <w:pPr>
        <w:pStyle w:val="3"/>
        <w:widowControl/>
        <w:spacing w:beforeAutospacing="0" w:afterAutospacing="0" w:line="480" w:lineRule="auto"/>
        <w:ind w:hanging="720"/>
      </w:pPr>
      <w:r>
        <w:rPr>
          <w:rFonts w:ascii="Times New Roman" w:hAnsi="Times New Roman"/>
        </w:rPr>
        <w:t xml:space="preserve">Schumacher, E. F. (1978). </w:t>
      </w:r>
      <w:r>
        <w:rPr>
          <w:rFonts w:ascii="Times New Roman" w:hAnsi="Times New Roman"/>
          <w:i/>
          <w:iCs/>
        </w:rPr>
        <w:t>A guide for the perplexed</w:t>
      </w:r>
      <w:r>
        <w:rPr>
          <w:rFonts w:ascii="Times New Roman" w:hAnsi="Times New Roman"/>
        </w:rPr>
        <w:t>. Harper &amp; Row.</w:t>
      </w:r>
    </w:p>
    <w:p>
      <w:pPr>
        <w:pStyle w:val="3"/>
        <w:widowControl/>
        <w:spacing w:beforeAutospacing="0" w:afterAutospacing="0" w:line="480" w:lineRule="auto"/>
        <w:ind w:hanging="720"/>
      </w:pPr>
      <w:r>
        <w:rPr>
          <w:rFonts w:ascii="Times New Roman" w:hAnsi="Times New Roman"/>
        </w:rPr>
        <w:t xml:space="preserve">Steger, M. F., Frazier, P., Oishi, S., &amp; Kaler, M. (2006). The meaning in life questionnaire: Assessing the presence of and search for meaning in life. </w:t>
      </w:r>
      <w:r>
        <w:rPr>
          <w:rFonts w:ascii="Times New Roman" w:hAnsi="Times New Roman"/>
          <w:i/>
          <w:iCs/>
        </w:rPr>
        <w:t>Journal of Counseling Psychology</w:t>
      </w:r>
      <w:r>
        <w:rPr>
          <w:rFonts w:ascii="Times New Roman" w:hAnsi="Times New Roman"/>
        </w:rPr>
        <w:t xml:space="preserve">, </w:t>
      </w:r>
      <w:r>
        <w:rPr>
          <w:rFonts w:ascii="Times New Roman" w:hAnsi="Times New Roman"/>
          <w:i/>
          <w:iCs/>
        </w:rPr>
        <w:t>53</w:t>
      </w:r>
      <w:r>
        <w:rPr>
          <w:rFonts w:ascii="Times New Roman" w:hAnsi="Times New Roman"/>
        </w:rPr>
        <w:t>(1), 80–93. https://doi.org/10.1037/0022-0167.53.1.80</w:t>
      </w:r>
    </w:p>
    <w:p>
      <w:pPr>
        <w:pStyle w:val="3"/>
        <w:widowControl/>
        <w:spacing w:beforeAutospacing="0" w:afterAutospacing="0" w:line="480" w:lineRule="auto"/>
        <w:ind w:hanging="720"/>
      </w:pPr>
      <w:r>
        <w:rPr>
          <w:rFonts w:ascii="Times New Roman" w:hAnsi="Times New Roman"/>
        </w:rPr>
        <w:t xml:space="preserve">Stone, A. A., Mackie, C. J., Policy-Relevant, I. A., &amp; National Research Council (U.S.). Committee On National Statistics. (2013). </w:t>
      </w:r>
      <w:r>
        <w:rPr>
          <w:rFonts w:ascii="Times New Roman" w:hAnsi="Times New Roman"/>
          <w:i/>
          <w:iCs/>
        </w:rPr>
        <w:t>Subjective well-being : measuring happiness, suffering, and other dimensions of experience</w:t>
      </w:r>
      <w:r>
        <w:rPr>
          <w:rFonts w:ascii="Times New Roman" w:hAnsi="Times New Roman"/>
        </w:rPr>
        <w:t>. The National Academies Press.</w:t>
      </w:r>
    </w:p>
    <w:p>
      <w:pPr>
        <w:pStyle w:val="3"/>
        <w:widowControl/>
        <w:spacing w:beforeAutospacing="0" w:afterAutospacing="0" w:line="480" w:lineRule="auto"/>
        <w:ind w:hanging="720"/>
      </w:pPr>
      <w:r>
        <w:rPr>
          <w:rFonts w:ascii="Times New Roman" w:hAnsi="Times New Roman"/>
        </w:rPr>
        <w:t xml:space="preserve">Tal Ben-Shahar. (2007). </w:t>
      </w:r>
      <w:r>
        <w:rPr>
          <w:rFonts w:ascii="Times New Roman" w:hAnsi="Times New Roman"/>
          <w:i/>
          <w:iCs/>
        </w:rPr>
        <w:t>Happier : learn the secrets to daily joy and lasting fulfillment</w:t>
      </w:r>
      <w:r>
        <w:rPr>
          <w:rFonts w:ascii="Times New Roman" w:hAnsi="Times New Roman"/>
        </w:rPr>
        <w:t>. Mcgraw-Hill.</w:t>
      </w:r>
    </w:p>
    <w:p>
      <w:pPr>
        <w:pStyle w:val="3"/>
        <w:widowControl/>
        <w:spacing w:beforeAutospacing="0" w:afterAutospacing="0" w:line="480" w:lineRule="auto"/>
        <w:ind w:hanging="720"/>
        <w:rPr>
          <w:rFonts w:ascii="Times New Roman" w:hAnsi="Times New Roman"/>
        </w:rPr>
      </w:pPr>
      <w:r>
        <w:rPr>
          <w:rFonts w:ascii="Times New Roman" w:hAnsi="Times New Roman"/>
        </w:rPr>
        <w:t xml:space="preserve">Valdes-Stauber, J. (2016). [Man at the Frontier of his Being: Scope of the Concept of “Limit Situation” in Psychiatry and Psychotherapy Following Jaspers’ Existential Ontology]. </w:t>
      </w:r>
      <w:r>
        <w:rPr>
          <w:rFonts w:ascii="Times New Roman" w:hAnsi="Times New Roman"/>
          <w:i/>
          <w:iCs/>
        </w:rPr>
        <w:t>Fortschritte Der Neurologie-Psychiatrie</w:t>
      </w:r>
      <w:r>
        <w:rPr>
          <w:rFonts w:ascii="Times New Roman" w:hAnsi="Times New Roman"/>
        </w:rPr>
        <w:t xml:space="preserve">, </w:t>
      </w:r>
      <w:r>
        <w:rPr>
          <w:rFonts w:ascii="Times New Roman" w:hAnsi="Times New Roman"/>
          <w:i/>
          <w:iCs/>
        </w:rPr>
        <w:t>84</w:t>
      </w:r>
      <w:r>
        <w:rPr>
          <w:rFonts w:ascii="Times New Roman" w:hAnsi="Times New Roman"/>
        </w:rPr>
        <w:t xml:space="preserve">(1), 19–27. </w:t>
      </w:r>
      <w:r>
        <w:fldChar w:fldCharType="begin"/>
      </w:r>
      <w:r>
        <w:instrText xml:space="preserve"> HYPERLINK "https://doi.org/10.1055/s-0042-101167" </w:instrText>
      </w:r>
      <w:r>
        <w:fldChar w:fldCharType="separate"/>
      </w:r>
      <w:r>
        <w:rPr>
          <w:rStyle w:val="8"/>
          <w:rFonts w:ascii="Times New Roman" w:hAnsi="Times New Roman"/>
        </w:rPr>
        <w:t>https://doi.org/10.1055/s-0042-101167</w:t>
      </w:r>
      <w:r>
        <w:rPr>
          <w:rStyle w:val="8"/>
          <w:rFonts w:ascii="Times New Roman" w:hAnsi="Times New Roman"/>
        </w:rPr>
        <w:fldChar w:fldCharType="end"/>
      </w:r>
    </w:p>
    <w:p>
      <w:pPr>
        <w:pStyle w:val="3"/>
        <w:widowControl/>
        <w:spacing w:beforeAutospacing="0" w:afterAutospacing="0" w:line="480" w:lineRule="auto"/>
        <w:ind w:hanging="720"/>
        <w:rPr>
          <w:rFonts w:ascii="Times New Roman" w:hAnsi="Times New Roman"/>
        </w:rPr>
      </w:pPr>
      <w:r>
        <w:rPr>
          <w:rFonts w:ascii="Times New Roman" w:hAnsi="Times New Roman"/>
        </w:rPr>
        <w:t xml:space="preserve">Warburton, N. (2012). </w:t>
      </w:r>
      <w:r>
        <w:rPr>
          <w:rFonts w:ascii="Times New Roman" w:hAnsi="Times New Roman"/>
          <w:i/>
          <w:iCs/>
        </w:rPr>
        <w:t>A little history of philosophy</w:t>
      </w:r>
      <w:r>
        <w:rPr>
          <w:rFonts w:ascii="Times New Roman" w:hAnsi="Times New Roman"/>
        </w:rPr>
        <w:t>. Yale University Press.</w:t>
      </w:r>
    </w:p>
    <w:p>
      <w:pPr>
        <w:pStyle w:val="3"/>
        <w:widowControl/>
        <w:spacing w:beforeAutospacing="0" w:afterAutospacing="0" w:line="480" w:lineRule="auto"/>
        <w:ind w:hanging="720"/>
      </w:pPr>
      <w:r>
        <w:rPr>
          <w:rFonts w:ascii="Times New Roman" w:hAnsi="Times New Roman"/>
        </w:rPr>
        <w:t xml:space="preserve">Yutang Lin. (2018). </w:t>
      </w:r>
      <w:r>
        <w:rPr>
          <w:rFonts w:ascii="Times New Roman" w:hAnsi="Times New Roman"/>
          <w:i/>
          <w:iCs/>
        </w:rPr>
        <w:t>The Gay Genius：The Life and Times of Su Tungpo</w:t>
      </w:r>
      <w:r>
        <w:rPr>
          <w:rFonts w:ascii="Times New Roman" w:hAnsi="Times New Roman"/>
        </w:rPr>
        <w:t>. Hunan Literature and Art Publishing House.</w:t>
      </w:r>
    </w:p>
    <w:p/>
    <w:p/>
    <w:p>
      <w:pPr>
        <w:spacing w:line="480" w:lineRule="auto"/>
        <w:jc w:val="center"/>
        <w:rPr>
          <w:b/>
          <w:bCs/>
        </w:rPr>
      </w:pPr>
    </w:p>
    <w:p>
      <w:pPr>
        <w:spacing w:line="480" w:lineRule="auto"/>
        <w:jc w:val="center"/>
        <w:rPr>
          <w:b/>
          <w:bCs/>
        </w:rPr>
      </w:pPr>
    </w:p>
    <w:p>
      <w:pPr>
        <w:spacing w:line="480" w:lineRule="auto"/>
        <w:jc w:val="center"/>
        <w:rPr>
          <w:b/>
          <w:bCs/>
        </w:rPr>
      </w:pPr>
    </w:p>
    <w:p>
      <w:pPr>
        <w:spacing w:line="480" w:lineRule="auto"/>
        <w:jc w:val="center"/>
        <w:rPr>
          <w:b/>
          <w:bCs/>
        </w:rPr>
      </w:pPr>
    </w:p>
    <w:p>
      <w:pPr>
        <w:spacing w:line="480" w:lineRule="auto"/>
        <w:jc w:val="center"/>
        <w:rPr>
          <w:b/>
          <w:bCs/>
        </w:rPr>
      </w:pPr>
    </w:p>
    <w:p>
      <w:pPr>
        <w:spacing w:line="480" w:lineRule="auto"/>
        <w:jc w:val="center"/>
        <w:rPr>
          <w:b/>
          <w:bCs/>
        </w:rPr>
      </w:pPr>
    </w:p>
    <w:p>
      <w:pPr>
        <w:spacing w:line="480" w:lineRule="auto"/>
        <w:jc w:val="center"/>
        <w:rPr>
          <w:b/>
          <w:bCs/>
        </w:rPr>
      </w:pPr>
    </w:p>
    <w:p>
      <w:pPr>
        <w:spacing w:line="480" w:lineRule="auto"/>
        <w:jc w:val="center"/>
        <w:rPr>
          <w:b/>
          <w:bCs/>
        </w:rPr>
      </w:pPr>
      <w:r>
        <w:rPr>
          <w:b/>
          <w:bCs/>
          <w:lang w:val="en-US"/>
        </w:rPr>
        <w:t>Footnotes</w:t>
      </w:r>
    </w:p>
    <w:p>
      <w:pPr>
        <w:spacing w:line="480" w:lineRule="auto"/>
        <w:ind w:firstLine="420"/>
      </w:pPr>
      <w:r>
        <w:rPr>
          <w:vertAlign w:val="superscript"/>
          <w:lang w:val="en-US"/>
        </w:rPr>
        <w:t xml:space="preserve">1 </w:t>
      </w:r>
      <w:r>
        <w:rPr>
          <w:lang w:val="en-US"/>
        </w:rPr>
        <w:t>According to Kahnman (2011), system II in mind “allocates attention to the effortful mental activities that demand it.”</w:t>
      </w:r>
    </w:p>
    <w:p>
      <w:pPr>
        <w:spacing w:line="480" w:lineRule="auto"/>
        <w:ind w:firstLine="420"/>
      </w:pPr>
      <w:r>
        <w:rPr>
          <w:vertAlign w:val="superscript"/>
          <w:lang w:val="en-US"/>
        </w:rPr>
        <w:t>2</w:t>
      </w:r>
      <w:r>
        <w:rPr>
          <w:lang w:val="en-US"/>
        </w:rPr>
        <w:t>According to Kahnman (2011), system I in mind “ operates automatically and quickly, with little or no effort and no sense of voluntary control.”</w:t>
      </w:r>
    </w:p>
    <w:p>
      <w:pPr>
        <w:pStyle w:val="3"/>
        <w:widowControl/>
        <w:spacing w:beforeAutospacing="0" w:afterAutospacing="0" w:line="480" w:lineRule="auto"/>
        <w:ind w:firstLine="420"/>
        <w:rPr>
          <w:rFonts w:ascii="Times New Roman" w:hAnsi="Times New Roman"/>
        </w:rPr>
      </w:pPr>
      <w:r>
        <w:rPr>
          <w:rFonts w:ascii="Times New Roman" w:hAnsi="Times New Roman"/>
          <w:vertAlign w:val="superscript"/>
        </w:rPr>
        <w:t>3</w:t>
      </w:r>
      <w:r>
        <w:rPr>
          <w:rFonts w:ascii="Times New Roman" w:hAnsi="Times New Roman"/>
        </w:rPr>
        <w:t xml:space="preserve"> </w:t>
      </w:r>
      <w:r>
        <w:rPr>
          <w:rFonts w:ascii="Times New Roman" w:hAnsi="Times New Roman"/>
          <w:color w:val="0E101A"/>
        </w:rPr>
        <w:t>The image is from Tal Ben-Shahar. (2007). </w:t>
      </w:r>
      <w:r>
        <w:rPr>
          <w:rStyle w:val="7"/>
          <w:rFonts w:ascii="Times New Roman" w:hAnsi="Times New Roman"/>
          <w:color w:val="0E101A"/>
        </w:rPr>
        <w:t>Happier : learn the secrets to daily joy and lasting fulfillment</w:t>
      </w:r>
      <w:r>
        <w:rPr>
          <w:rFonts w:ascii="Times New Roman" w:hAnsi="Times New Roman"/>
          <w:color w:val="0E101A"/>
        </w:rPr>
        <w:t>. Mcgraw-Hill.</w:t>
      </w:r>
    </w:p>
    <w:p>
      <w:pPr>
        <w:spacing w:line="480" w:lineRule="auto"/>
        <w:ind w:firstLine="420"/>
      </w:pPr>
      <w:r>
        <w:rPr>
          <w:vertAlign w:val="superscript"/>
          <w:lang w:val="en-US"/>
        </w:rPr>
        <w:t>4</w:t>
      </w:r>
      <w:r>
        <w:rPr>
          <w:lang w:val="en-US"/>
        </w:rPr>
        <w:t xml:space="preserve"> According to Carse (2012), finite game is “played for the purpose of winning”; oppositely, an infinite game is “for the purpose of continuing the play.”</w:t>
      </w:r>
    </w:p>
    <w:p>
      <w:pPr>
        <w:pStyle w:val="3"/>
        <w:widowControl/>
        <w:spacing w:beforeAutospacing="0" w:afterAutospacing="0" w:line="480" w:lineRule="auto"/>
        <w:ind w:firstLine="420"/>
        <w:rPr>
          <w:rFonts w:ascii="Times New Roman" w:hAnsi="Times New Roman"/>
        </w:rPr>
      </w:pPr>
      <w:r>
        <w:rPr>
          <w:rFonts w:ascii="Times New Roman" w:hAnsi="Times New Roman"/>
          <w:vertAlign w:val="superscript"/>
        </w:rPr>
        <w:t xml:space="preserve">5 </w:t>
      </w:r>
      <w:r>
        <w:rPr>
          <w:rFonts w:ascii="Times New Roman" w:hAnsi="Times New Roman"/>
        </w:rPr>
        <w:t xml:space="preserve">The absolute value of U(-a) is greater than U(a), which means the subjective gain obtained from (a+b) cannot offset the subjective loss brought by -(a+b). This figure is from Khalil, T. E., Albastaki, F., Obaid, L., Zaid, H. A., Dalalah, D., &amp; Alhassani, S. (2022). Ranking Risk Attitudes Using an Integrated AHP-TOPSIS Approach. </w:t>
      </w:r>
      <w:r>
        <w:rPr>
          <w:rFonts w:ascii="Times New Roman" w:hAnsi="Times New Roman"/>
          <w:i/>
          <w:iCs/>
        </w:rPr>
        <w:t>International Journal of Applied Decision Sciences</w:t>
      </w:r>
      <w:r>
        <w:rPr>
          <w:rFonts w:ascii="Times New Roman" w:hAnsi="Times New Roman"/>
        </w:rPr>
        <w:t xml:space="preserve">, </w:t>
      </w:r>
      <w:r>
        <w:rPr>
          <w:rFonts w:ascii="Times New Roman" w:hAnsi="Times New Roman"/>
          <w:i/>
          <w:iCs/>
        </w:rPr>
        <w:t>1</w:t>
      </w:r>
      <w:r>
        <w:rPr>
          <w:rFonts w:ascii="Times New Roman" w:hAnsi="Times New Roman"/>
        </w:rPr>
        <w:t xml:space="preserve">(1), 1. </w:t>
      </w:r>
      <w:r>
        <w:fldChar w:fldCharType="begin"/>
      </w:r>
      <w:r>
        <w:instrText xml:space="preserve"> HYPERLINK "https://doi.org/10.1504/ijads.2022.10037216." </w:instrText>
      </w:r>
      <w:r>
        <w:fldChar w:fldCharType="separate"/>
      </w:r>
      <w:r>
        <w:rPr>
          <w:rStyle w:val="8"/>
          <w:rFonts w:ascii="Times New Roman" w:hAnsi="Times New Roman"/>
        </w:rPr>
        <w:t>https://doi.org/10.1504/ijads.2022.10037216.</w:t>
      </w:r>
      <w:r>
        <w:rPr>
          <w:rStyle w:val="8"/>
          <w:rFonts w:ascii="Times New Roman" w:hAnsi="Times New Roman"/>
        </w:rPr>
        <w:fldChar w:fldCharType="end"/>
      </w:r>
    </w:p>
    <w:p/>
    <w:p/>
    <w:p/>
    <w:p/>
    <w:p/>
    <w:p/>
    <w:p/>
    <w:p/>
    <w:p/>
    <w:p/>
    <w:p/>
    <w:p/>
    <w:p/>
    <w:p/>
    <w:p/>
    <w:p>
      <w:pPr>
        <w:spacing w:line="360" w:lineRule="auto"/>
      </w:pPr>
    </w:p>
    <w:sectPr>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yYTFkMWQyNDg1NGI5NTI0ZWU5YWIxOWU0ZjEyYTcifQ=="/>
  </w:docVars>
  <w:rsids>
    <w:rsidRoot w:val="000624BC"/>
    <w:rsid w:val="000624BC"/>
    <w:rsid w:val="00386EAE"/>
    <w:rsid w:val="005E24E7"/>
    <w:rsid w:val="006833D3"/>
    <w:rsid w:val="00AE011D"/>
    <w:rsid w:val="00BF2B28"/>
    <w:rsid w:val="00E7601D"/>
    <w:rsid w:val="00F673ED"/>
    <w:rsid w:val="04955DFD"/>
    <w:rsid w:val="058D14E6"/>
    <w:rsid w:val="0B3A6B51"/>
    <w:rsid w:val="101D15C4"/>
    <w:rsid w:val="105C6685"/>
    <w:rsid w:val="11C6025A"/>
    <w:rsid w:val="14EE4EEE"/>
    <w:rsid w:val="15A20FDE"/>
    <w:rsid w:val="17315BB6"/>
    <w:rsid w:val="1F833C2E"/>
    <w:rsid w:val="23756D56"/>
    <w:rsid w:val="23952182"/>
    <w:rsid w:val="295C6459"/>
    <w:rsid w:val="298D301C"/>
    <w:rsid w:val="2A7E5C3D"/>
    <w:rsid w:val="300A1801"/>
    <w:rsid w:val="307C1B8B"/>
    <w:rsid w:val="30B73060"/>
    <w:rsid w:val="33522C72"/>
    <w:rsid w:val="375872F6"/>
    <w:rsid w:val="3D9F17DB"/>
    <w:rsid w:val="3F0833B0"/>
    <w:rsid w:val="40731583"/>
    <w:rsid w:val="417967E7"/>
    <w:rsid w:val="44F07163"/>
    <w:rsid w:val="45A2455E"/>
    <w:rsid w:val="46E42955"/>
    <w:rsid w:val="48007A58"/>
    <w:rsid w:val="4B743F6F"/>
    <w:rsid w:val="4D1F478F"/>
    <w:rsid w:val="4F742065"/>
    <w:rsid w:val="502678E2"/>
    <w:rsid w:val="523E4987"/>
    <w:rsid w:val="529B7A17"/>
    <w:rsid w:val="53FC02D7"/>
    <w:rsid w:val="58D171FD"/>
    <w:rsid w:val="5B345801"/>
    <w:rsid w:val="5BA17571"/>
    <w:rsid w:val="5CD9628D"/>
    <w:rsid w:val="61730705"/>
    <w:rsid w:val="65841133"/>
    <w:rsid w:val="65913850"/>
    <w:rsid w:val="668F347B"/>
    <w:rsid w:val="68506FFE"/>
    <w:rsid w:val="68D423D1"/>
    <w:rsid w:val="6AE92916"/>
    <w:rsid w:val="6C24541E"/>
    <w:rsid w:val="6C7539D8"/>
    <w:rsid w:val="6D437B25"/>
    <w:rsid w:val="6DE47554"/>
    <w:rsid w:val="714B6FA9"/>
    <w:rsid w:val="72023B0B"/>
    <w:rsid w:val="73F41B79"/>
    <w:rsid w:val="772E7150"/>
    <w:rsid w:val="773C7ABF"/>
    <w:rsid w:val="7D3C79DA"/>
    <w:rsid w:val="7EE66563"/>
    <w:rsid w:val="7EED16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annotation text"/>
    <w:basedOn w:val="1"/>
    <w:qFormat/>
    <w:uiPriority w:val="0"/>
    <w:pPr>
      <w:widowControl w:val="0"/>
    </w:pPr>
    <w:rPr>
      <w:rFonts w:asciiTheme="minorHAnsi" w:hAnsiTheme="minorHAnsi" w:eastAsiaTheme="minorEastAsia" w:cstheme="minorBidi"/>
      <w:kern w:val="2"/>
      <w:sz w:val="21"/>
      <w:lang w:val="en-US"/>
    </w:rPr>
  </w:style>
  <w:style w:type="paragraph" w:styleId="3">
    <w:name w:val="Normal (Web)"/>
    <w:basedOn w:val="1"/>
    <w:uiPriority w:val="0"/>
    <w:pPr>
      <w:widowControl w:val="0"/>
      <w:spacing w:beforeAutospacing="1" w:afterAutospacing="1"/>
    </w:pPr>
    <w:rPr>
      <w:rFonts w:asciiTheme="minorHAnsi" w:hAnsiTheme="minorHAnsi" w:eastAsiaTheme="minorEastAsia"/>
      <w:lang w:val="en-US"/>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qFormat/>
    <w:uiPriority w:val="0"/>
    <w:rPr>
      <w:color w:val="0000FF"/>
      <w:u w:val="single"/>
    </w:rPr>
  </w:style>
  <w:style w:type="character" w:styleId="9">
    <w:name w:val="annotation reference"/>
    <w:basedOn w:val="5"/>
    <w:qFormat/>
    <w:uiPriority w:val="0"/>
    <w:rPr>
      <w:sz w:val="16"/>
      <w:szCs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2452</Words>
  <Characters>14936</Characters>
  <Lines>137</Lines>
  <Paragraphs>38</Paragraphs>
  <TotalTime>217</TotalTime>
  <ScaleCrop>false</ScaleCrop>
  <LinksUpToDate>false</LinksUpToDate>
  <CharactersWithSpaces>17325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2023-06-30T04:40:00Z</dcterms:created>
  <dc:creator>爱吃吃的的Sarah</dc:creator>
  <cp:lastModifiedBy>小尘</cp:lastModifiedBy>
  <dcterms:modified xsi:type="dcterms:W3CDTF">2023-06-30T14:24:21Z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35D41ECBF11B42F793BC967FE2067F0B_12</vt:lpwstr>
  </property>
</Properties>
</file>