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firstLine="420" w:firstLineChars="0"/>
        <w:textAlignment w:val="auto"/>
        <w:rPr>
          <w:rFonts w:hint="default" w:ascii="Times New Roman" w:hAnsi="Times New Roman" w:cs="Times New Roman"/>
          <w:color w:val="0E101A"/>
          <w:sz w:val="24"/>
          <w:szCs w:val="24"/>
        </w:rPr>
      </w:pPr>
      <w:r>
        <w:rPr>
          <w:rFonts w:hint="default" w:ascii="Times New Roman" w:hAnsi="Times New Roman" w:cs="Times New Roman"/>
          <w:color w:val="0E101A"/>
          <w:sz w:val="24"/>
          <w:szCs w:val="24"/>
        </w:rPr>
        <w:t xml:space="preserve">Objective list theories believe in objective prudential goods: that is, </w:t>
      </w:r>
      <w:bookmarkStart w:id="0" w:name="OLE_LINK2"/>
      <w:r>
        <w:rPr>
          <w:rFonts w:hint="default" w:ascii="Times New Roman" w:hAnsi="Times New Roman" w:cs="Times New Roman"/>
          <w:color w:val="0E101A"/>
          <w:sz w:val="24"/>
          <w:szCs w:val="24"/>
        </w:rPr>
        <w:t>being a couch potato can bring joy, but only experiencing virtuous activities can bring happiness</w:t>
      </w:r>
      <w:bookmarkEnd w:id="0"/>
      <w:r>
        <w:rPr>
          <w:rFonts w:hint="default" w:ascii="Times New Roman" w:hAnsi="Times New Roman" w:cs="Times New Roman"/>
          <w:color w:val="0E101A"/>
          <w:sz w:val="24"/>
          <w:szCs w:val="24"/>
        </w:rPr>
        <w:t xml:space="preserve">(Haybron, 2020). Nevertheless, individuals still have subjective understandings of objective goods. For instance, perfectionism believes perfecting human nature constitutes one's </w:t>
      </w:r>
      <w:r>
        <w:rPr>
          <w:rFonts w:hint="eastAsia" w:ascii="Times New Roman" w:hAnsi="Times New Roman" w:cs="Times New Roman"/>
          <w:color w:val="0E101A"/>
          <w:sz w:val="24"/>
          <w:szCs w:val="24"/>
          <w:lang w:val="en-US" w:eastAsia="zh-CN"/>
        </w:rPr>
        <w:t>happiness</w:t>
      </w:r>
      <w:r>
        <w:rPr>
          <w:rFonts w:hint="default" w:ascii="Times New Roman" w:hAnsi="Times New Roman" w:cs="Times New Roman"/>
          <w:color w:val="0E101A"/>
          <w:sz w:val="24"/>
          <w:szCs w:val="24"/>
          <w:highlight w:val="cyan"/>
        </w:rPr>
        <w:t xml:space="preserve"> (Crisp, 2017)</w:t>
      </w:r>
      <w:r>
        <w:rPr>
          <w:rFonts w:hint="default" w:ascii="Times New Roman" w:hAnsi="Times New Roman" w:cs="Times New Roman"/>
          <w:color w:val="0E101A"/>
          <w:sz w:val="24"/>
          <w:szCs w:val="24"/>
        </w:rPr>
        <w:t>, and Aristotelians believe achieving eudaimonia needs the fulfillment of human capacities (Haybron, 2020).</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firstLine="420" w:firstLineChars="0"/>
        <w:textAlignment w:val="auto"/>
        <w:rPr>
          <w:rFonts w:hint="default" w:ascii="Times New Roman" w:hAnsi="Times New Roman" w:cs="Times New Roman"/>
          <w:color w:val="0E101A"/>
          <w:sz w:val="24"/>
          <w:szCs w:val="24"/>
        </w:rPr>
      </w:pPr>
      <w:r>
        <w:rPr>
          <w:rFonts w:hint="default" w:ascii="Times New Roman" w:hAnsi="Times New Roman" w:cs="Times New Roman"/>
          <w:color w:val="0E101A"/>
          <w:sz w:val="24"/>
          <w:szCs w:val="24"/>
        </w:rPr>
        <w:t>However, whether one approaches from the objective or subjective line of investigation,</w:t>
      </w:r>
      <w:commentRangeStart w:id="0"/>
      <w:r>
        <w:rPr>
          <w:rFonts w:hint="default" w:ascii="Times New Roman" w:hAnsi="Times New Roman" w:cs="Times New Roman"/>
          <w:color w:val="0E101A"/>
          <w:sz w:val="24"/>
          <w:szCs w:val="24"/>
        </w:rPr>
        <w:t xml:space="preserve"> </w:t>
      </w:r>
      <w:r>
        <w:rPr>
          <w:rFonts w:hint="eastAsia" w:ascii="Times New Roman" w:hAnsi="Times New Roman" w:cs="Times New Roman"/>
          <w:color w:val="0E101A"/>
          <w:sz w:val="24"/>
          <w:szCs w:val="24"/>
          <w:lang w:val="en-US" w:eastAsia="zh-CN"/>
        </w:rPr>
        <w:t>happiness</w:t>
      </w:r>
      <w:commentRangeEnd w:id="0"/>
      <w:r>
        <w:commentReference w:id="0"/>
      </w:r>
      <w:r>
        <w:rPr>
          <w:rFonts w:hint="eastAsia" w:ascii="Times New Roman" w:hAnsi="Times New Roman" w:cs="Times New Roman"/>
          <w:color w:val="0E101A"/>
          <w:sz w:val="24"/>
          <w:szCs w:val="24"/>
          <w:lang w:val="en-US" w:eastAsia="zh-CN"/>
        </w:rPr>
        <w:t xml:space="preserve"> cannot be measured</w:t>
      </w:r>
      <w:r>
        <w:rPr>
          <w:rFonts w:hint="default" w:ascii="Times New Roman" w:hAnsi="Times New Roman" w:cs="Times New Roman"/>
          <w:color w:val="0E101A"/>
          <w:sz w:val="24"/>
          <w:szCs w:val="24"/>
        </w:rPr>
        <w:t>. That is because the two necessary processes involved in measurement are</w:t>
      </w:r>
      <w:r>
        <w:rPr>
          <w:rFonts w:hint="eastAsia" w:ascii="Times New Roman" w:hAnsi="Times New Roman" w:cs="Times New Roman"/>
          <w:color w:val="0E101A"/>
          <w:sz w:val="24"/>
          <w:szCs w:val="24"/>
          <w:lang w:val="en-US" w:eastAsia="zh-CN"/>
        </w:rPr>
        <w:t xml:space="preserve"> impossible to</w:t>
      </w:r>
      <w:r>
        <w:rPr>
          <w:rFonts w:hint="default" w:ascii="Times New Roman" w:hAnsi="Times New Roman" w:cs="Times New Roman"/>
          <w:color w:val="0E101A"/>
          <w:sz w:val="24"/>
          <w:szCs w:val="24"/>
        </w:rPr>
        <w:t xml:space="preserve"> be satisfied, which are: </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firstLine="420" w:firstLineChars="0"/>
        <w:textAlignment w:val="auto"/>
        <w:rPr>
          <w:rFonts w:hint="default" w:ascii="Times New Roman" w:hAnsi="Times New Roman" w:cs="Times New Roman"/>
          <w:color w:val="0E101A"/>
          <w:sz w:val="24"/>
          <w:szCs w:val="24"/>
        </w:rPr>
      </w:pPr>
      <w:r>
        <w:rPr>
          <w:rFonts w:hint="default" w:ascii="Times New Roman" w:hAnsi="Times New Roman" w:cs="Times New Roman"/>
          <w:color w:val="0E101A"/>
          <w:sz w:val="24"/>
          <w:szCs w:val="24"/>
        </w:rPr>
        <w:t>I. Respondents have a clear understanding of their personal happiness (I - inner)</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firstLine="420" w:firstLineChars="0"/>
        <w:textAlignment w:val="auto"/>
        <w:rPr>
          <w:rFonts w:hint="default" w:ascii="Times New Roman" w:hAnsi="Times New Roman" w:cs="Times New Roman"/>
          <w:color w:val="0E101A"/>
          <w:sz w:val="24"/>
          <w:szCs w:val="24"/>
        </w:rPr>
      </w:pPr>
      <w:r>
        <w:rPr>
          <w:rFonts w:hint="default" w:ascii="Times New Roman" w:hAnsi="Times New Roman" w:cs="Times New Roman"/>
          <w:color w:val="0E101A"/>
          <w:sz w:val="24"/>
          <w:szCs w:val="24"/>
        </w:rPr>
        <w:t>II. They convey their sense of happiness accurately and completely to the test (inner-</w:t>
      </w:r>
      <w:r>
        <w:rPr>
          <w:rFonts w:hint="eastAsia" w:ascii="Times New Roman" w:hAnsi="Times New Roman" w:cs="Times New Roman"/>
          <w:color w:val="0E101A"/>
          <w:sz w:val="24"/>
          <w:szCs w:val="24"/>
          <w:lang w:val="en-US" w:eastAsia="zh-CN"/>
        </w:rPr>
        <w:t>outer</w:t>
      </w:r>
      <w:r>
        <w:rPr>
          <w:rFonts w:hint="default" w:ascii="Times New Roman" w:hAnsi="Times New Roman" w:cs="Times New Roman"/>
          <w:color w:val="0E101A"/>
          <w:sz w:val="24"/>
          <w:szCs w:val="24"/>
        </w:rPr>
        <w:t>)</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firstLine="420" w:firstLineChars="0"/>
        <w:textAlignment w:val="auto"/>
        <w:rPr>
          <w:rFonts w:hint="default" w:ascii="Times New Roman" w:hAnsi="Times New Roman" w:cs="Times New Roman" w:eastAsiaTheme="minorEastAsia"/>
          <w:color w:val="0E101A"/>
          <w:sz w:val="24"/>
          <w:szCs w:val="24"/>
          <w:lang w:val="en-US" w:eastAsia="zh-CN"/>
        </w:rPr>
      </w:pPr>
      <w:commentRangeStart w:id="1"/>
      <w:r>
        <w:rPr>
          <w:rFonts w:hint="eastAsia" w:ascii="Times New Roman" w:hAnsi="Times New Roman" w:cs="Times New Roman"/>
          <w:color w:val="0E101A"/>
          <w:sz w:val="24"/>
          <w:szCs w:val="24"/>
          <w:lang w:val="en-US" w:eastAsia="zh-CN"/>
        </w:rPr>
        <w:t xml:space="preserve">The following essay will illustrate why the two processes cannot be satisfied, and therefore support the claim. </w:t>
      </w:r>
      <w:commentRangeEnd w:id="1"/>
      <w:r>
        <w:commentReference w:id="1"/>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textAlignment w:val="auto"/>
        <w:rPr>
          <w:rFonts w:hint="default" w:ascii="Times New Roman" w:hAnsi="Times New Roman" w:cs="Times New Roman"/>
          <w:color w:val="0E101A"/>
          <w:sz w:val="24"/>
          <w:szCs w:val="24"/>
        </w:rPr>
      </w:pPr>
      <w:r>
        <w:rPr>
          <w:rStyle w:val="6"/>
          <w:rFonts w:hint="default" w:ascii="Times New Roman" w:hAnsi="Times New Roman" w:cs="Times New Roman"/>
          <w:color w:val="0E101A"/>
          <w:sz w:val="24"/>
          <w:szCs w:val="24"/>
        </w:rPr>
        <w:t> The process I: Realization of the self</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firstLine="420" w:firstLineChars="0"/>
        <w:textAlignment w:val="auto"/>
        <w:rPr>
          <w:rFonts w:hint="default" w:ascii="Times New Roman" w:hAnsi="Times New Roman" w:cs="Times New Roman"/>
          <w:color w:val="0E101A"/>
          <w:sz w:val="24"/>
          <w:szCs w:val="24"/>
        </w:rPr>
      </w:pPr>
      <w:r>
        <w:rPr>
          <w:rFonts w:hint="default" w:ascii="Times New Roman" w:hAnsi="Times New Roman" w:cs="Times New Roman"/>
          <w:color w:val="0E101A"/>
          <w:sz w:val="24"/>
          <w:szCs w:val="24"/>
          <w:u w:val="none"/>
        </w:rPr>
        <w:t>Lao-Tzu believes that "</w:t>
      </w:r>
      <w:bookmarkStart w:id="1" w:name="OLE_LINK1"/>
      <w:r>
        <w:rPr>
          <w:rFonts w:hint="default" w:ascii="Times New Roman" w:hAnsi="Times New Roman" w:cs="Times New Roman"/>
          <w:color w:val="0E101A"/>
          <w:sz w:val="24"/>
          <w:szCs w:val="24"/>
          <w:u w:val="none"/>
        </w:rPr>
        <w:t>He who knows himself is enlightened</w:t>
      </w:r>
      <w:bookmarkEnd w:id="1"/>
      <w:r>
        <w:rPr>
          <w:rFonts w:hint="eastAsia" w:ascii="Times New Roman" w:hAnsi="Times New Roman" w:cs="Times New Roman"/>
          <w:color w:val="0E101A"/>
          <w:sz w:val="24"/>
          <w:szCs w:val="24"/>
          <w:highlight w:val="cyan"/>
          <w:u w:val="none"/>
          <w:lang w:val="en-US" w:eastAsia="zh-CN"/>
        </w:rPr>
        <w:t xml:space="preserve"> </w:t>
      </w:r>
      <w:r>
        <w:rPr>
          <w:rFonts w:hint="default" w:ascii="Times New Roman" w:hAnsi="Times New Roman" w:cs="Times New Roman"/>
          <w:color w:val="0E101A"/>
          <w:sz w:val="24"/>
          <w:szCs w:val="24"/>
          <w:highlight w:val="cyan"/>
          <w:u w:val="none"/>
        </w:rPr>
        <w:t>(Laozi, 2018)</w:t>
      </w:r>
      <w:r>
        <w:rPr>
          <w:rFonts w:hint="eastAsia" w:ascii="Times New Roman" w:hAnsi="Times New Roman" w:cs="Times New Roman"/>
          <w:color w:val="0E101A"/>
          <w:sz w:val="24"/>
          <w:szCs w:val="24"/>
          <w:highlight w:val="cyan"/>
          <w:u w:val="none"/>
          <w:lang w:val="en-US" w:eastAsia="zh-CN"/>
        </w:rPr>
        <w:t>.</w:t>
      </w:r>
      <w:r>
        <w:rPr>
          <w:rFonts w:hint="default" w:ascii="Times New Roman" w:hAnsi="Times New Roman" w:cs="Times New Roman"/>
          <w:color w:val="0E101A"/>
          <w:sz w:val="24"/>
          <w:szCs w:val="24"/>
          <w:u w:val="none"/>
        </w:rPr>
        <w:t>"</w:t>
      </w:r>
      <w:r>
        <w:rPr>
          <w:rFonts w:hint="default" w:ascii="Times New Roman" w:hAnsi="Times New Roman" w:cs="Times New Roman"/>
          <w:color w:val="0E101A"/>
          <w:sz w:val="24"/>
          <w:szCs w:val="24"/>
          <w:u w:val="none"/>
        </w:rPr>
        <w:t> </w:t>
      </w:r>
      <w:r>
        <w:rPr>
          <w:rFonts w:hint="default" w:ascii="Times New Roman" w:hAnsi="Times New Roman" w:cs="Times New Roman"/>
          <w:color w:val="0E101A"/>
          <w:sz w:val="24"/>
          <w:szCs w:val="24"/>
        </w:rPr>
        <w:t>Knowing oneself is fully discovering one's feelings, thoughts, and beliefs (Gertler, 2020). Since happiness is subjectively perceived as forms above, one first needs to understand what is his/her knowing, or at least what makes him/her approach knowing. With this benchmark, one can then evaluate how far is he/she away from knowing. </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firstLine="420" w:firstLineChars="0"/>
        <w:textAlignment w:val="auto"/>
        <w:rPr>
          <w:rFonts w:hint="default" w:ascii="Times New Roman" w:hAnsi="Times New Roman" w:cs="Times New Roman"/>
          <w:color w:val="0E101A"/>
          <w:sz w:val="24"/>
          <w:szCs w:val="24"/>
        </w:rPr>
      </w:pPr>
      <w:r>
        <w:rPr>
          <w:rFonts w:hint="default" w:ascii="Times New Roman" w:hAnsi="Times New Roman" w:cs="Times New Roman"/>
          <w:color w:val="0E101A"/>
          <w:sz w:val="24"/>
          <w:szCs w:val="24"/>
        </w:rPr>
        <w:t>Because happiness blends inseparably with physical sensation, one's knowledge of externality will first affect knowing. To learn the external world, Locke writes, "Tis therefore the actual receiving the ideas from without that gives us notice of the existence of other things (Rockwood, 2018)." That means the knowledge about externality doesn't build from established beliefs toward externality but is from our raw sensation. To discern these two sources, individuals' perception needs to be a "dynamic searching for the best interpretation of available data" (Gregory, 2015), and I interpret this search as self-consciousness.</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firstLine="420" w:firstLineChars="0"/>
        <w:textAlignment w:val="auto"/>
        <w:rPr>
          <w:rFonts w:hint="default" w:ascii="Times New Roman" w:hAnsi="Times New Roman" w:cs="Times New Roman"/>
          <w:color w:val="0E101A"/>
          <w:sz w:val="24"/>
          <w:szCs w:val="24"/>
        </w:rPr>
      </w:pPr>
      <w:r>
        <w:rPr>
          <w:rFonts w:hint="default" w:ascii="Times New Roman" w:hAnsi="Times New Roman" w:cs="Times New Roman"/>
          <w:color w:val="0E101A"/>
          <w:sz w:val="24"/>
          <w:szCs w:val="24"/>
        </w:rPr>
        <w:t>Being self-conscious takes two steps. By invoking </w:t>
      </w:r>
      <w:r>
        <w:rPr>
          <w:rFonts w:hint="default" w:ascii="Times New Roman" w:hAnsi="Times New Roman" w:cs="Times New Roman"/>
          <w:color w:val="0E101A"/>
          <w:sz w:val="24"/>
          <w:szCs w:val="24"/>
          <w:highlight w:val="cyan"/>
          <w:u w:val="none"/>
        </w:rPr>
        <w:t>system II </w:t>
      </w:r>
      <w:r>
        <w:rPr>
          <w:rFonts w:hint="eastAsia" w:ascii="Times New Roman" w:hAnsi="Times New Roman" w:cs="Times New Roman"/>
          <w:color w:val="0E101A"/>
          <w:sz w:val="24"/>
          <w:szCs w:val="24"/>
          <w:highlight w:val="cyan"/>
          <w:u w:val="none"/>
          <w:vertAlign w:val="superscript"/>
          <w:lang w:val="en-US" w:eastAsia="zh-CN"/>
        </w:rPr>
        <w:t>1</w:t>
      </w:r>
      <w:r>
        <w:rPr>
          <w:rFonts w:hint="default" w:ascii="Times New Roman" w:hAnsi="Times New Roman" w:cs="Times New Roman"/>
          <w:color w:val="0E101A"/>
          <w:sz w:val="24"/>
          <w:szCs w:val="24"/>
        </w:rPr>
        <w:t>, individuals first direct their attention to effortful mental activities and once autopilot behaviors, providing a threshold for gaining subjective experiences (Kahneman, 2011). Nearly simultaneously, metacognition involves monitoring one's cognitive states, ensuring individuals view their thoughts critically. System II and metacognition push an individual to the boundary of known, and the process of taking the unknown into the known is self-conscious.</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firstLine="420" w:firstLineChars="0"/>
        <w:textAlignment w:val="auto"/>
        <w:rPr>
          <w:rFonts w:hint="default" w:ascii="Times New Roman" w:hAnsi="Times New Roman" w:cs="Times New Roman"/>
          <w:color w:val="0E101A"/>
          <w:sz w:val="24"/>
          <w:szCs w:val="24"/>
        </w:rPr>
      </w:pPr>
      <w:r>
        <w:rPr>
          <w:rFonts w:hint="default" w:ascii="Times New Roman" w:hAnsi="Times New Roman" w:cs="Times New Roman"/>
          <w:color w:val="0E101A"/>
          <w:sz w:val="24"/>
          <w:szCs w:val="24"/>
        </w:rPr>
        <w:t>However, barriers hinder human beings from discovering the self. Biologically speaking, human beings have a natural tendency to conserve energy and thus evade the activation of System II, especially on tasks that can be done with</w:t>
      </w:r>
      <w:r>
        <w:rPr>
          <w:rFonts w:hint="default" w:ascii="Times New Roman" w:hAnsi="Times New Roman" w:cs="Times New Roman"/>
          <w:color w:val="0E101A"/>
          <w:sz w:val="24"/>
          <w:szCs w:val="24"/>
          <w:highlight w:val="cyan"/>
        </w:rPr>
        <w:t xml:space="preserve"> System I</w:t>
      </w:r>
      <w:r>
        <w:rPr>
          <w:rFonts w:hint="eastAsia" w:ascii="Times New Roman" w:hAnsi="Times New Roman" w:cs="Times New Roman"/>
          <w:color w:val="0E101A"/>
          <w:sz w:val="24"/>
          <w:szCs w:val="24"/>
          <w:highlight w:val="cyan"/>
          <w:lang w:val="en-US" w:eastAsia="zh-CN"/>
        </w:rPr>
        <w:t xml:space="preserve"> </w:t>
      </w:r>
      <w:r>
        <w:rPr>
          <w:rFonts w:hint="eastAsia" w:ascii="Times New Roman" w:hAnsi="Times New Roman" w:cs="Times New Roman"/>
          <w:color w:val="0E101A"/>
          <w:sz w:val="24"/>
          <w:szCs w:val="24"/>
          <w:highlight w:val="cyan"/>
          <w:vertAlign w:val="superscript"/>
          <w:lang w:val="en-US" w:eastAsia="zh-CN"/>
        </w:rPr>
        <w:t>2</w:t>
      </w:r>
      <w:r>
        <w:rPr>
          <w:rFonts w:hint="eastAsia" w:ascii="Times New Roman" w:hAnsi="Times New Roman" w:cs="Times New Roman"/>
          <w:color w:val="0E101A"/>
          <w:sz w:val="24"/>
          <w:szCs w:val="24"/>
          <w:vertAlign w:val="superscript"/>
          <w:lang w:val="en-US" w:eastAsia="zh-CN"/>
        </w:rPr>
        <w:t xml:space="preserve"> </w:t>
      </w:r>
      <w:r>
        <w:rPr>
          <w:rFonts w:hint="default" w:ascii="Times New Roman" w:hAnsi="Times New Roman" w:cs="Times New Roman"/>
          <w:color w:val="0E101A"/>
          <w:sz w:val="24"/>
          <w:szCs w:val="24"/>
        </w:rPr>
        <w:t>(Kahneman, 2011). Moreover, individuals can fail to realize that their attention to externality is virtually divided. As Corteen and Wood (1972) discovered, when words didn't consciously perceive by participants, they still established meaning in their minds. With all barriers to realizing the self, Kants says a man cannot "determine with certainty what would make him truly happy; because to do so he would need to be omniscient</w:t>
      </w:r>
      <w:r>
        <w:rPr>
          <w:rFonts w:hint="eastAsia" w:ascii="Times New Roman" w:hAnsi="Times New Roman" w:cs="Times New Roman"/>
          <w:color w:val="0E101A"/>
          <w:sz w:val="24"/>
          <w:szCs w:val="24"/>
          <w:lang w:val="en-US" w:eastAsia="zh-CN"/>
        </w:rPr>
        <w:t xml:space="preserve"> </w:t>
      </w:r>
      <w:r>
        <w:rPr>
          <w:rFonts w:hint="default" w:ascii="Times New Roman" w:hAnsi="Times New Roman" w:cs="Times New Roman"/>
          <w:color w:val="0E101A"/>
          <w:sz w:val="24"/>
          <w:szCs w:val="24"/>
        </w:rPr>
        <w:t>(Kant, 1889)</w:t>
      </w:r>
      <w:r>
        <w:rPr>
          <w:rFonts w:hint="eastAsia" w:ascii="Times New Roman" w:hAnsi="Times New Roman" w:cs="Times New Roman"/>
          <w:color w:val="0E101A"/>
          <w:sz w:val="24"/>
          <w:szCs w:val="24"/>
          <w:lang w:val="en-US" w:eastAsia="zh-CN"/>
        </w:rPr>
        <w:t>.</w:t>
      </w:r>
      <w:r>
        <w:rPr>
          <w:rFonts w:hint="default" w:ascii="Times New Roman" w:hAnsi="Times New Roman" w:cs="Times New Roman"/>
          <w:color w:val="0E101A"/>
          <w:sz w:val="24"/>
          <w:szCs w:val="24"/>
        </w:rPr>
        <w:t>"</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firstLine="420" w:firstLineChars="0"/>
        <w:textAlignment w:val="auto"/>
        <w:rPr>
          <w:rFonts w:hint="default" w:ascii="Times New Roman" w:hAnsi="Times New Roman" w:cs="Times New Roman"/>
          <w:color w:val="0E101A"/>
          <w:sz w:val="24"/>
          <w:szCs w:val="24"/>
        </w:rPr>
      </w:pPr>
      <w:r>
        <w:rPr>
          <w:rFonts w:hint="default" w:ascii="Times New Roman" w:hAnsi="Times New Roman" w:cs="Times New Roman"/>
          <w:color w:val="0E101A"/>
          <w:sz w:val="24"/>
          <w:szCs w:val="24"/>
        </w:rPr>
        <w:t>The idea of being omniscient is to transcend and discover one's essential state of happiness. However, even if a being believes he/she attains a sense of happiness, it may be a fallacy and not the knowing. To illustrate this claim, I adopt Tal Ben-Shahar's (2007) model and analyze possible cognitive limitations hindering each archetype's transcendence. Every individual who forms a belief to present and future happiness can fill into a quadrant.</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textAlignment w:val="auto"/>
        <w:rPr>
          <w:rFonts w:hint="default" w:ascii="Times New Roman" w:hAnsi="Times New Roman" w:cs="Times New Roman"/>
          <w:color w:val="0E101A"/>
          <w:sz w:val="24"/>
          <w:szCs w:val="24"/>
        </w:rPr>
      </w:pPr>
      <w:r>
        <w:rPr>
          <w:rStyle w:val="6"/>
          <w:rFonts w:hint="default" w:ascii="Times New Roman" w:hAnsi="Times New Roman" w:cs="Times New Roman"/>
          <w:color w:val="0E101A"/>
          <w:sz w:val="24"/>
          <w:szCs w:val="24"/>
        </w:rPr>
        <w:t>Figure 1</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textAlignment w:val="auto"/>
        <w:rPr>
          <w:rFonts w:hint="default" w:ascii="Times New Roman" w:hAnsi="Times New Roman" w:cs="Times New Roman" w:eastAsiaTheme="minorEastAsia"/>
          <w:color w:val="0E101A"/>
          <w:sz w:val="24"/>
          <w:szCs w:val="24"/>
          <w:highlight w:val="cyan"/>
          <w:lang w:val="en-US" w:eastAsia="zh-CN"/>
        </w:rPr>
      </w:pPr>
      <w:r>
        <w:rPr>
          <w:rStyle w:val="7"/>
          <w:rFonts w:hint="default" w:ascii="Times New Roman" w:hAnsi="Times New Roman" w:cs="Times New Roman"/>
          <w:color w:val="0E101A"/>
          <w:sz w:val="24"/>
          <w:szCs w:val="24"/>
          <w:highlight w:val="cyan"/>
        </w:rPr>
        <w:t>The four quadrant</w:t>
      </w:r>
      <w:r>
        <w:rPr>
          <w:rStyle w:val="7"/>
          <w:rFonts w:hint="eastAsia" w:ascii="Times New Roman" w:hAnsi="Times New Roman" w:cs="Times New Roman"/>
          <w:color w:val="0E101A"/>
          <w:sz w:val="24"/>
          <w:szCs w:val="24"/>
          <w:highlight w:val="cyan"/>
          <w:lang w:val="en-US" w:eastAsia="zh-CN"/>
        </w:rPr>
        <w:t xml:space="preserve"> </w:t>
      </w:r>
      <w:r>
        <w:rPr>
          <w:rStyle w:val="7"/>
          <w:rFonts w:hint="eastAsia" w:ascii="Times New Roman" w:hAnsi="Times New Roman" w:cs="Times New Roman"/>
          <w:i w:val="0"/>
          <w:iCs/>
          <w:color w:val="0E101A"/>
          <w:sz w:val="24"/>
          <w:szCs w:val="24"/>
          <w:highlight w:val="cyan"/>
          <w:vertAlign w:val="superscript"/>
          <w:lang w:val="en-US" w:eastAsia="zh-CN"/>
        </w:rPr>
        <w:t>3</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textAlignment w:val="auto"/>
        <w:rPr>
          <w:rFonts w:hint="default" w:ascii="Times New Roman" w:hAnsi="Times New Roman" w:cs="Times New Roman"/>
          <w:color w:val="0E101A"/>
          <w:sz w:val="24"/>
          <w:szCs w:val="24"/>
        </w:rPr>
      </w:pPr>
      <w:r>
        <w:drawing>
          <wp:inline distT="0" distB="0" distL="114300" distR="114300">
            <wp:extent cx="5206365" cy="2763520"/>
            <wp:effectExtent l="0" t="0" r="13335" b="1778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5206365" cy="2763520"/>
                    </a:xfrm>
                    <a:prstGeom prst="rect">
                      <a:avLst/>
                    </a:prstGeom>
                    <a:noFill/>
                    <a:ln>
                      <a:noFill/>
                    </a:ln>
                  </pic:spPr>
                </pic:pic>
              </a:graphicData>
            </a:graphic>
          </wp:inline>
        </w:drawing>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textAlignment w:val="auto"/>
        <w:rPr>
          <w:rFonts w:hint="default" w:ascii="Times New Roman" w:hAnsi="Times New Roman" w:cs="Times New Roman"/>
          <w:color w:val="0E101A"/>
          <w:sz w:val="24"/>
          <w:szCs w:val="24"/>
        </w:rPr>
      </w:pPr>
      <w:r>
        <w:rPr>
          <w:rStyle w:val="6"/>
          <w:rFonts w:hint="default" w:ascii="Times New Roman" w:hAnsi="Times New Roman" w:cs="Times New Roman"/>
          <w:color w:val="0E101A"/>
          <w:sz w:val="24"/>
          <w:szCs w:val="24"/>
        </w:rPr>
        <w:t>Hedonism: Ultimate happiness is attained</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firstLine="420" w:firstLineChars="0"/>
        <w:textAlignment w:val="auto"/>
        <w:rPr>
          <w:rFonts w:hint="default" w:ascii="Times New Roman" w:hAnsi="Times New Roman" w:cs="Times New Roman"/>
          <w:color w:val="0E101A"/>
          <w:sz w:val="24"/>
          <w:szCs w:val="24"/>
        </w:rPr>
      </w:pPr>
      <w:r>
        <w:rPr>
          <w:rFonts w:hint="default" w:ascii="Times New Roman" w:hAnsi="Times New Roman" w:cs="Times New Roman"/>
          <w:color w:val="0E101A"/>
          <w:sz w:val="24"/>
          <w:szCs w:val="24"/>
        </w:rPr>
        <w:t>By taking psychoactive drugs and performing religious behaviors, human beings can intentionally alter their states of consciousness (Cacioppo &amp; Freberg, 2019). With this artificial change of beliefs, hedonistic drug takers regard instant satisfaction as happiness and disregard their future. However, if happiness exists in the form of eudaimonia, the overall</w:t>
      </w:r>
      <w:r>
        <w:rPr>
          <w:rFonts w:hint="eastAsia" w:ascii="Times New Roman" w:hAnsi="Times New Roman" w:cs="Times New Roman"/>
          <w:color w:val="0E101A"/>
          <w:sz w:val="24"/>
          <w:szCs w:val="24"/>
          <w:lang w:val="en-US" w:eastAsia="zh-CN"/>
        </w:rPr>
        <w:t xml:space="preserve"> achievement</w:t>
      </w:r>
      <w:r>
        <w:rPr>
          <w:rFonts w:hint="default" w:ascii="Times New Roman" w:hAnsi="Times New Roman" w:cs="Times New Roman"/>
          <w:color w:val="0E101A"/>
          <w:sz w:val="24"/>
          <w:szCs w:val="24"/>
        </w:rPr>
        <w:t xml:space="preserve"> </w:t>
      </w:r>
      <w:r>
        <w:rPr>
          <w:rFonts w:hint="eastAsia" w:ascii="Times New Roman" w:hAnsi="Times New Roman" w:cs="Times New Roman"/>
          <w:color w:val="0E101A"/>
          <w:sz w:val="24"/>
          <w:szCs w:val="24"/>
          <w:lang w:val="en-US" w:eastAsia="zh-CN"/>
        </w:rPr>
        <w:t xml:space="preserve">in life </w:t>
      </w:r>
      <w:r>
        <w:rPr>
          <w:rFonts w:hint="default" w:ascii="Times New Roman" w:hAnsi="Times New Roman" w:cs="Times New Roman"/>
          <w:color w:val="0E101A"/>
          <w:sz w:val="24"/>
          <w:szCs w:val="24"/>
        </w:rPr>
        <w:t xml:space="preserve">is related to one's </w:t>
      </w:r>
      <w:r>
        <w:rPr>
          <w:rFonts w:hint="eastAsia" w:ascii="Times New Roman" w:hAnsi="Times New Roman" w:cs="Times New Roman"/>
          <w:color w:val="0E101A"/>
          <w:sz w:val="24"/>
          <w:szCs w:val="24"/>
          <w:lang w:val="en-US" w:eastAsia="zh-CN"/>
        </w:rPr>
        <w:t>level of</w:t>
      </w:r>
      <w:r>
        <w:rPr>
          <w:rFonts w:hint="default" w:ascii="Times New Roman" w:hAnsi="Times New Roman" w:cs="Times New Roman"/>
          <w:color w:val="0E101A"/>
          <w:sz w:val="24"/>
          <w:szCs w:val="24"/>
        </w:rPr>
        <w:t xml:space="preserve"> happiness</w:t>
      </w:r>
      <w:r>
        <w:rPr>
          <w:rFonts w:hint="eastAsia" w:ascii="Times New Roman" w:hAnsi="Times New Roman" w:cs="Times New Roman"/>
          <w:color w:val="0E101A"/>
          <w:sz w:val="24"/>
          <w:szCs w:val="24"/>
          <w:lang w:val="en-US" w:eastAsia="zh-CN"/>
        </w:rPr>
        <w:t xml:space="preserve"> </w:t>
      </w:r>
      <w:r>
        <w:rPr>
          <w:rFonts w:hint="eastAsia" w:ascii="Times New Roman" w:hAnsi="Times New Roman" w:cs="Times New Roman"/>
          <w:color w:val="0E101A"/>
          <w:sz w:val="24"/>
          <w:szCs w:val="24"/>
          <w:highlight w:val="cyan"/>
          <w:lang w:val="en-US" w:eastAsia="zh-CN"/>
        </w:rPr>
        <w:t>(Warburton, 2012)</w:t>
      </w:r>
      <w:r>
        <w:rPr>
          <w:rFonts w:hint="default" w:ascii="Times New Roman" w:hAnsi="Times New Roman" w:cs="Times New Roman"/>
          <w:color w:val="0E101A"/>
          <w:sz w:val="24"/>
          <w:szCs w:val="24"/>
        </w:rPr>
        <w:t>. Since hedonists blind future possible happiness, transcendence can only occur when they realize the mistake of regarding instant excitement as ultimate happiness. </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textAlignment w:val="auto"/>
        <w:rPr>
          <w:rFonts w:hint="default" w:ascii="Times New Roman" w:hAnsi="Times New Roman" w:cs="Times New Roman"/>
          <w:color w:val="0E101A"/>
          <w:sz w:val="24"/>
          <w:szCs w:val="24"/>
        </w:rPr>
      </w:pPr>
      <w:r>
        <w:rPr>
          <w:rStyle w:val="6"/>
          <w:rFonts w:hint="default" w:ascii="Times New Roman" w:hAnsi="Times New Roman" w:cs="Times New Roman"/>
          <w:color w:val="0E101A"/>
          <w:sz w:val="24"/>
          <w:szCs w:val="24"/>
        </w:rPr>
        <w:t>Nihilism: Happiness died</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firstLine="420" w:firstLineChars="0"/>
        <w:textAlignment w:val="auto"/>
        <w:rPr>
          <w:rFonts w:hint="default" w:ascii="Times New Roman" w:hAnsi="Times New Roman" w:cs="Times New Roman"/>
          <w:color w:val="0E101A"/>
          <w:sz w:val="24"/>
          <w:szCs w:val="24"/>
        </w:rPr>
      </w:pPr>
      <w:r>
        <w:rPr>
          <w:rFonts w:hint="default" w:ascii="Times New Roman" w:hAnsi="Times New Roman" w:cs="Times New Roman"/>
          <w:color w:val="0E101A"/>
          <w:sz w:val="24"/>
          <w:szCs w:val="24"/>
        </w:rPr>
        <w:t>During World War II, numerous people failed into learned helplessness and believed they lost both present and future happiness. According to Karl Jasper's theory, they fail into a "limit situation," believing that only the external locus of control exists (Valdes-Stauber, 2016). However, a "limit situation" can "becomes one's destination in the realization of one's existence," provoking people to ask for higher happiness (Jacobsen, 2008). Frankl (2006) accepted his unavoidable sufferings bravely, believing meaning is inherent in experiences. People with severe chronic diseases learn to adapt to their impairments and transcend themselves (Charmaz, 1995). Thus, if the higher happiness integrates the meaning of pain, nihilists evaluate their happiness based on their "existence" rather than their "essence" (Sartre, 1946), disregarding the potential of transitoriness. </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textAlignment w:val="auto"/>
        <w:rPr>
          <w:rFonts w:hint="default" w:ascii="Times New Roman" w:hAnsi="Times New Roman" w:cs="Times New Roman"/>
          <w:color w:val="0E101A"/>
          <w:sz w:val="24"/>
          <w:szCs w:val="24"/>
        </w:rPr>
      </w:pPr>
      <w:commentRangeStart w:id="2"/>
      <w:r>
        <w:rPr>
          <w:rStyle w:val="6"/>
          <w:rFonts w:hint="default" w:ascii="Times New Roman" w:hAnsi="Times New Roman" w:cs="Times New Roman"/>
          <w:color w:val="0E101A"/>
          <w:sz w:val="24"/>
          <w:szCs w:val="24"/>
        </w:rPr>
        <w:t>Happiness: the distinction between evaluation and beliefs</w:t>
      </w:r>
      <w:commentRangeEnd w:id="2"/>
      <w:r>
        <w:commentReference w:id="2"/>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firstLine="420" w:firstLineChars="0"/>
        <w:textAlignment w:val="auto"/>
        <w:rPr>
          <w:rFonts w:hint="default" w:ascii="Times New Roman" w:hAnsi="Times New Roman" w:cs="Times New Roman"/>
          <w:color w:val="0E101A"/>
          <w:sz w:val="24"/>
          <w:szCs w:val="24"/>
        </w:rPr>
      </w:pPr>
      <w:r>
        <w:rPr>
          <w:rFonts w:hint="default" w:ascii="Times New Roman" w:hAnsi="Times New Roman" w:cs="Times New Roman"/>
          <w:color w:val="0E101A"/>
          <w:sz w:val="24"/>
          <w:szCs w:val="24"/>
        </w:rPr>
        <w:t xml:space="preserve">Happiness is the archetype with the highest possibility of approaching the knowing since they believe they can discover one's maxim of happiness for now and the future. With the belief to transcend, they take happiness more as a dynamic skill that detaches from established experience. However, if the perception turns to an explicit rating within oneself, possible bias may occur while constructing the frame. For instance, about what contributes to one's happiness, individuals take certain aspects as the primary cause, but the ignored intricate associations among these aspects are also essential for gaining happiness. </w:t>
      </w:r>
      <w:r>
        <w:rPr>
          <w:rFonts w:hint="eastAsia" w:ascii="Times New Roman" w:hAnsi="Times New Roman" w:cs="Times New Roman"/>
          <w:color w:val="0E101A"/>
          <w:sz w:val="24"/>
          <w:szCs w:val="24"/>
          <w:lang w:val="en-US" w:eastAsia="zh-CN"/>
        </w:rPr>
        <w:t>As g</w:t>
      </w:r>
      <w:r>
        <w:rPr>
          <w:rFonts w:hint="default" w:ascii="Times New Roman" w:hAnsi="Times New Roman" w:cs="Times New Roman"/>
          <w:color w:val="0E101A"/>
          <w:sz w:val="24"/>
          <w:szCs w:val="24"/>
        </w:rPr>
        <w:t>estalt psychology illustrated</w:t>
      </w:r>
      <w:r>
        <w:rPr>
          <w:rFonts w:hint="eastAsia" w:ascii="Times New Roman" w:hAnsi="Times New Roman" w:cs="Times New Roman"/>
          <w:color w:val="0E101A"/>
          <w:sz w:val="24"/>
          <w:szCs w:val="24"/>
          <w:lang w:val="en-US" w:eastAsia="zh-CN"/>
        </w:rPr>
        <w:t xml:space="preserve">, </w:t>
      </w:r>
      <w:r>
        <w:rPr>
          <w:rFonts w:hint="default" w:ascii="Times New Roman" w:hAnsi="Times New Roman" w:cs="Times New Roman"/>
          <w:color w:val="0E101A"/>
          <w:sz w:val="24"/>
          <w:szCs w:val="24"/>
        </w:rPr>
        <w:t>one's understanding "seems to depend upon relations among the stimuli rather than upon the individual stimuli as such (Kohler, 1967)." Therefore, the transition between perception and evaluation can undermine the known. </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textAlignment w:val="auto"/>
        <w:rPr>
          <w:rFonts w:hint="default" w:ascii="Times New Roman" w:hAnsi="Times New Roman" w:cs="Times New Roman"/>
          <w:color w:val="0E101A"/>
          <w:sz w:val="24"/>
          <w:szCs w:val="24"/>
        </w:rPr>
      </w:pPr>
      <w:r>
        <w:rPr>
          <w:rStyle w:val="6"/>
          <w:rFonts w:hint="default" w:ascii="Times New Roman" w:hAnsi="Times New Roman" w:cs="Times New Roman"/>
          <w:color w:val="0E101A"/>
          <w:sz w:val="24"/>
          <w:szCs w:val="24"/>
        </w:rPr>
        <w:t>Rat Racer: Serving for happiness</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firstLine="420" w:firstLineChars="0"/>
        <w:textAlignment w:val="auto"/>
        <w:rPr>
          <w:rFonts w:hint="default" w:ascii="Times New Roman" w:hAnsi="Times New Roman" w:cs="Times New Roman"/>
          <w:color w:val="0E101A"/>
          <w:sz w:val="24"/>
          <w:szCs w:val="24"/>
        </w:rPr>
      </w:pPr>
      <w:r>
        <w:rPr>
          <w:rFonts w:hint="default" w:ascii="Times New Roman" w:hAnsi="Times New Roman" w:cs="Times New Roman"/>
          <w:color w:val="0E101A"/>
          <w:sz w:val="24"/>
          <w:szCs w:val="24"/>
        </w:rPr>
        <w:t>Rat racers "subordinate the present to the future" and "suffer now for some anticipated gain" (Tal Ben-Shahar, 2007), regarding their sacrifice in present happiness is meaningful. However, this destiny-orientated pursuit ignores the impact of the shift in reference points. Under this "finite game"</w:t>
      </w:r>
      <w:r>
        <w:rPr>
          <w:rFonts w:hint="eastAsia" w:ascii="Times New Roman" w:hAnsi="Times New Roman" w:cs="Times New Roman"/>
          <w:color w:val="0E101A"/>
          <w:sz w:val="24"/>
          <w:szCs w:val="24"/>
          <w:lang w:val="en-US" w:eastAsia="zh-CN"/>
        </w:rPr>
        <w:t xml:space="preserve"> (</w:t>
      </w:r>
      <w:r>
        <w:rPr>
          <w:rFonts w:hint="default" w:ascii="Times New Roman" w:hAnsi="Times New Roman" w:cs="Times New Roman"/>
          <w:color w:val="0E101A"/>
          <w:sz w:val="24"/>
          <w:szCs w:val="24"/>
        </w:rPr>
        <w:t>Carse, 2012), rat racers keep aiming for a higher reference point and leave themselves in a state of loss. Due to loss aversion, the same amount of gain from the past and loss from now cannot subjectively offset each other (Kahneman, 2011). Without possible transcending, which is to gain happiness from journeys, rat racers accumulate their loss and search for happiness continuously with improper direction. </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textAlignment w:val="auto"/>
        <w:rPr>
          <w:rFonts w:hint="eastAsia" w:ascii="Times New Roman" w:hAnsi="Times New Roman" w:cs="Times New Roman"/>
          <w:b/>
          <w:bCs/>
          <w:color w:val="0E101A"/>
          <w:sz w:val="24"/>
          <w:szCs w:val="24"/>
          <w:lang w:val="en-US" w:eastAsia="zh-CN"/>
        </w:rPr>
      </w:pPr>
      <w:r>
        <w:rPr>
          <w:rFonts w:hint="eastAsia" w:ascii="Times New Roman" w:hAnsi="Times New Roman" w:cs="Times New Roman"/>
          <w:b/>
          <w:bCs/>
          <w:color w:val="0E101A"/>
          <w:sz w:val="24"/>
          <w:szCs w:val="24"/>
          <w:lang w:val="en-US" w:eastAsia="zh-CN"/>
        </w:rPr>
        <w:t>Figure 2</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textAlignment w:val="auto"/>
        <w:rPr>
          <w:rFonts w:hint="eastAsia" w:ascii="Times New Roman" w:hAnsi="Times New Roman" w:cs="Times New Roman"/>
          <w:b w:val="0"/>
          <w:bCs w:val="0"/>
          <w:i w:val="0"/>
          <w:iCs w:val="0"/>
          <w:color w:val="0E101A"/>
          <w:sz w:val="24"/>
          <w:szCs w:val="24"/>
          <w:highlight w:val="none"/>
          <w:vertAlign w:val="superscript"/>
          <w:lang w:val="en-US" w:eastAsia="zh-CN"/>
        </w:rPr>
      </w:pPr>
      <w:r>
        <w:rPr>
          <w:rFonts w:hint="eastAsia" w:ascii="Times New Roman" w:hAnsi="Times New Roman" w:cs="Times New Roman"/>
          <w:b w:val="0"/>
          <w:bCs w:val="0"/>
          <w:i/>
          <w:iCs/>
          <w:color w:val="0E101A"/>
          <w:sz w:val="24"/>
          <w:szCs w:val="24"/>
          <w:highlight w:val="none"/>
          <w:lang w:val="en-US" w:eastAsia="zh-CN"/>
        </w:rPr>
        <w:t xml:space="preserve">The utility function </w:t>
      </w:r>
      <w:r>
        <w:rPr>
          <w:rFonts w:hint="eastAsia" w:ascii="Times New Roman" w:hAnsi="Times New Roman" w:cs="Times New Roman"/>
          <w:b w:val="0"/>
          <w:bCs w:val="0"/>
          <w:i w:val="0"/>
          <w:iCs w:val="0"/>
          <w:color w:val="0E101A"/>
          <w:sz w:val="24"/>
          <w:szCs w:val="24"/>
          <w:highlight w:val="none"/>
          <w:vertAlign w:val="superscript"/>
          <w:lang w:val="en-US" w:eastAsia="zh-CN"/>
        </w:rPr>
        <w:t>5</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textAlignment w:val="auto"/>
        <w:rPr>
          <w:rFonts w:hint="default" w:ascii="Times New Roman" w:hAnsi="Times New Roman" w:cs="Times New Roman"/>
          <w:b w:val="0"/>
          <w:bCs w:val="0"/>
          <w:i w:val="0"/>
          <w:iCs w:val="0"/>
          <w:color w:val="0E101A"/>
          <w:sz w:val="24"/>
          <w:szCs w:val="24"/>
          <w:highlight w:val="none"/>
          <w:vertAlign w:val="baseline"/>
          <w:lang w:val="en-US" w:eastAsia="zh-CN"/>
        </w:rPr>
      </w:pPr>
      <w:r>
        <w:rPr>
          <w:rFonts w:hint="default" w:ascii="Times New Roman" w:hAnsi="Times New Roman" w:cs="Times New Roman"/>
          <w:b w:val="0"/>
          <w:bCs w:val="0"/>
          <w:i w:val="0"/>
          <w:iCs w:val="0"/>
          <w:color w:val="0E101A"/>
          <w:sz w:val="24"/>
          <w:szCs w:val="24"/>
          <w:highlight w:val="none"/>
          <w:vertAlign w:val="baseline"/>
          <w:lang w:val="en-US" w:eastAsia="zh-CN"/>
        </w:rPr>
        <w:drawing>
          <wp:inline distT="0" distB="0" distL="114300" distR="114300">
            <wp:extent cx="3598545" cy="2874645"/>
            <wp:effectExtent l="0" t="0" r="1905" b="1905"/>
            <wp:docPr id="6" name="图片 6" descr="Utility-function-for-both-risk-aversion-and-loss-a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Utility-function-for-both-risk-aversion-and-loss-aversion"/>
                    <pic:cNvPicPr>
                      <a:picLocks noChangeAspect="1"/>
                    </pic:cNvPicPr>
                  </pic:nvPicPr>
                  <pic:blipFill>
                    <a:blip r:embed="rId7"/>
                    <a:stretch>
                      <a:fillRect/>
                    </a:stretch>
                  </pic:blipFill>
                  <pic:spPr>
                    <a:xfrm>
                      <a:off x="0" y="0"/>
                      <a:ext cx="3598545" cy="2874645"/>
                    </a:xfrm>
                    <a:prstGeom prst="rect">
                      <a:avLst/>
                    </a:prstGeom>
                  </pic:spPr>
                </pic:pic>
              </a:graphicData>
            </a:graphic>
          </wp:inline>
        </w:drawing>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firstLine="420" w:firstLineChars="0"/>
        <w:textAlignment w:val="auto"/>
        <w:rPr>
          <w:rFonts w:hint="default" w:ascii="Times New Roman" w:hAnsi="Times New Roman" w:cs="Times New Roman"/>
          <w:b w:val="0"/>
          <w:bCs w:val="0"/>
          <w:i w:val="0"/>
          <w:iCs w:val="0"/>
          <w:color w:val="0E101A"/>
          <w:sz w:val="24"/>
          <w:szCs w:val="24"/>
          <w:highlight w:val="none"/>
          <w:vertAlign w:val="baseline"/>
          <w:lang w:val="en-US" w:eastAsia="zh-CN"/>
        </w:rPr>
      </w:pPr>
      <w:r>
        <w:rPr>
          <w:rFonts w:hint="eastAsia" w:ascii="Times New Roman" w:hAnsi="Times New Roman" w:cs="Times New Roman"/>
          <w:b w:val="0"/>
          <w:bCs w:val="0"/>
          <w:i w:val="0"/>
          <w:iCs w:val="0"/>
          <w:color w:val="0E101A"/>
          <w:sz w:val="24"/>
          <w:szCs w:val="24"/>
          <w:highlight w:val="none"/>
          <w:vertAlign w:val="baseline"/>
          <w:lang w:val="en-US" w:eastAsia="zh-CN"/>
        </w:rPr>
        <w:t>Overall, because of the difficulty of approaching knowing and one</w:t>
      </w:r>
      <w:r>
        <w:rPr>
          <w:rFonts w:hint="default" w:ascii="Times New Roman" w:hAnsi="Times New Roman" w:cs="Times New Roman"/>
          <w:b w:val="0"/>
          <w:bCs w:val="0"/>
          <w:i w:val="0"/>
          <w:iCs w:val="0"/>
          <w:color w:val="0E101A"/>
          <w:sz w:val="24"/>
          <w:szCs w:val="24"/>
          <w:highlight w:val="none"/>
          <w:vertAlign w:val="baseline"/>
          <w:lang w:val="en-US" w:eastAsia="zh-CN"/>
        </w:rPr>
        <w:t>’</w:t>
      </w:r>
      <w:r>
        <w:rPr>
          <w:rFonts w:hint="eastAsia" w:ascii="Times New Roman" w:hAnsi="Times New Roman" w:cs="Times New Roman"/>
          <w:b w:val="0"/>
          <w:bCs w:val="0"/>
          <w:i w:val="0"/>
          <w:iCs w:val="0"/>
          <w:color w:val="0E101A"/>
          <w:sz w:val="24"/>
          <w:szCs w:val="24"/>
          <w:highlight w:val="none"/>
          <w:vertAlign w:val="baseline"/>
          <w:lang w:val="en-US" w:eastAsia="zh-CN"/>
        </w:rPr>
        <w:t>s cognitive limitation, the first process is nearly impossible to be achieved.</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textAlignment w:val="auto"/>
        <w:rPr>
          <w:rFonts w:hint="default" w:ascii="Times New Roman" w:hAnsi="Times New Roman" w:cs="Times New Roman"/>
          <w:color w:val="0E101A"/>
          <w:sz w:val="24"/>
          <w:szCs w:val="24"/>
        </w:rPr>
      </w:pPr>
      <w:r>
        <w:rPr>
          <w:rStyle w:val="6"/>
          <w:rFonts w:hint="eastAsia" w:ascii="Times New Roman" w:hAnsi="Times New Roman" w:cs="Times New Roman"/>
          <w:color w:val="0E101A"/>
          <w:sz w:val="24"/>
          <w:szCs w:val="24"/>
          <w:lang w:val="en-US" w:eastAsia="zh-CN"/>
        </w:rPr>
        <w:t>The p</w:t>
      </w:r>
      <w:r>
        <w:rPr>
          <w:rStyle w:val="6"/>
          <w:rFonts w:hint="default" w:ascii="Times New Roman" w:hAnsi="Times New Roman" w:cs="Times New Roman"/>
          <w:color w:val="0E101A"/>
          <w:sz w:val="24"/>
          <w:szCs w:val="24"/>
        </w:rPr>
        <w:t>rocess II: The interaction between internality and externality</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firstLine="420" w:firstLineChars="0"/>
        <w:textAlignment w:val="auto"/>
        <w:rPr>
          <w:rFonts w:hint="default" w:ascii="Times New Roman" w:hAnsi="Times New Roman" w:cs="Times New Roman"/>
          <w:color w:val="0E101A"/>
          <w:sz w:val="24"/>
          <w:szCs w:val="24"/>
        </w:rPr>
      </w:pPr>
      <w:r>
        <w:rPr>
          <w:rFonts w:hint="default" w:ascii="Times New Roman" w:hAnsi="Times New Roman" w:cs="Times New Roman"/>
          <w:color w:val="0E101A"/>
          <w:sz w:val="24"/>
          <w:szCs w:val="24"/>
        </w:rPr>
        <w:t>Now the respondents need to convey their understanding to the test. Two conditions are needed to satisfy process II:</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firstLine="420" w:firstLineChars="0"/>
        <w:textAlignment w:val="auto"/>
        <w:rPr>
          <w:rFonts w:hint="default" w:ascii="Times New Roman" w:hAnsi="Times New Roman" w:cs="Times New Roman"/>
          <w:color w:val="0E101A"/>
          <w:sz w:val="24"/>
          <w:szCs w:val="24"/>
        </w:rPr>
      </w:pPr>
      <w:r>
        <w:rPr>
          <w:rFonts w:hint="default" w:ascii="Times New Roman" w:hAnsi="Times New Roman" w:cs="Times New Roman"/>
          <w:color w:val="0E101A"/>
          <w:sz w:val="24"/>
          <w:szCs w:val="24"/>
        </w:rPr>
        <w:t>Condition I: Individuals are willing to convey their understanding of externality fully and accurately</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firstLine="420" w:firstLineChars="0"/>
        <w:textAlignment w:val="auto"/>
        <w:rPr>
          <w:rFonts w:hint="default" w:ascii="Times New Roman" w:hAnsi="Times New Roman" w:cs="Times New Roman"/>
          <w:color w:val="0E101A"/>
          <w:sz w:val="24"/>
          <w:szCs w:val="24"/>
        </w:rPr>
      </w:pPr>
      <w:r>
        <w:rPr>
          <w:rFonts w:hint="default" w:ascii="Times New Roman" w:hAnsi="Times New Roman" w:cs="Times New Roman"/>
          <w:color w:val="0E101A"/>
          <w:sz w:val="24"/>
          <w:szCs w:val="24"/>
        </w:rPr>
        <w:t>Condition II: Externality constructs a frame that can capture individuals'</w:t>
      </w:r>
      <w:r>
        <w:rPr>
          <w:rFonts w:hint="eastAsia" w:ascii="Times New Roman" w:hAnsi="Times New Roman" w:cs="Times New Roman"/>
          <w:color w:val="0E101A"/>
          <w:sz w:val="24"/>
          <w:szCs w:val="24"/>
          <w:lang w:val="en-US" w:eastAsia="zh-CN"/>
        </w:rPr>
        <w:t xml:space="preserve"> </w:t>
      </w:r>
      <w:r>
        <w:rPr>
          <w:rFonts w:hint="default" w:ascii="Times New Roman" w:hAnsi="Times New Roman" w:cs="Times New Roman"/>
          <w:color w:val="0E101A"/>
          <w:sz w:val="24"/>
          <w:szCs w:val="24"/>
        </w:rPr>
        <w:t>understanding comprehensively</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firstLine="420" w:firstLineChars="0"/>
        <w:textAlignment w:val="auto"/>
        <w:rPr>
          <w:rFonts w:hint="default" w:ascii="Times New Roman" w:hAnsi="Times New Roman" w:cs="Times New Roman"/>
          <w:color w:val="0E101A"/>
          <w:sz w:val="24"/>
          <w:szCs w:val="24"/>
        </w:rPr>
      </w:pPr>
      <w:r>
        <w:rPr>
          <w:rFonts w:hint="default" w:ascii="Times New Roman" w:hAnsi="Times New Roman" w:cs="Times New Roman"/>
          <w:color w:val="0E101A"/>
          <w:sz w:val="24"/>
          <w:szCs w:val="24"/>
        </w:rPr>
        <w:t>Firstly, for Condition I, tests' intention strongly affects individuals' willingness. If the test aims to achieve the externality's purpose, such as collecting data for scientific research, moderate anonymity facilitates authenticity by lowering social desirability pressures (Lelkes et al., 2012). However, if the respondents regard the measurement as a way of knowing themselves, one essential question arises: Can a man be honest to himself when he/she stays alone? </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firstLine="420" w:firstLineChars="0"/>
        <w:textAlignment w:val="auto"/>
        <w:rPr>
          <w:rFonts w:hint="default" w:ascii="Times New Roman" w:hAnsi="Times New Roman" w:cs="Times New Roman"/>
          <w:color w:val="0E101A"/>
          <w:sz w:val="24"/>
          <w:szCs w:val="24"/>
        </w:rPr>
      </w:pPr>
      <w:r>
        <w:rPr>
          <w:rFonts w:hint="default" w:ascii="Times New Roman" w:hAnsi="Times New Roman" w:cs="Times New Roman"/>
          <w:color w:val="0E101A"/>
          <w:sz w:val="24"/>
          <w:szCs w:val="24"/>
        </w:rPr>
        <w:t>The existence of cognitive dissonance undermine</w:t>
      </w:r>
      <w:r>
        <w:rPr>
          <w:rFonts w:hint="eastAsia" w:ascii="Times New Roman" w:hAnsi="Times New Roman" w:cs="Times New Roman"/>
          <w:color w:val="0E101A"/>
          <w:sz w:val="24"/>
          <w:szCs w:val="24"/>
          <w:lang w:val="en-US" w:eastAsia="zh-CN"/>
        </w:rPr>
        <w:t>s</w:t>
      </w:r>
      <w:r>
        <w:rPr>
          <w:rFonts w:hint="default" w:ascii="Times New Roman" w:hAnsi="Times New Roman" w:cs="Times New Roman"/>
          <w:color w:val="0E101A"/>
          <w:sz w:val="24"/>
          <w:szCs w:val="24"/>
        </w:rPr>
        <w:t xml:space="preserve"> respondents' willingness to convey their understanding. For rat racers, reporting "happy" (action) allows respondents to stay consistent with the social expectation of wealth and fame (belief), even though they realize the lack of happiness. Moreover, under the value system that "unhappiness is a symptom of maladjustment" (Frankl, 2006), respondents may hide their willingness further to conform to social desirability and reduce their cognitive dissonance.</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firstLine="420" w:firstLineChars="0"/>
        <w:textAlignment w:val="auto"/>
        <w:rPr>
          <w:rFonts w:hint="default" w:ascii="Times New Roman" w:hAnsi="Times New Roman" w:cs="Times New Roman"/>
          <w:color w:val="0E101A"/>
          <w:sz w:val="24"/>
          <w:szCs w:val="24"/>
        </w:rPr>
      </w:pPr>
      <w:r>
        <w:rPr>
          <w:rFonts w:hint="default" w:ascii="Times New Roman" w:hAnsi="Times New Roman" w:cs="Times New Roman"/>
          <w:color w:val="0E101A"/>
          <w:sz w:val="24"/>
          <w:szCs w:val="24"/>
        </w:rPr>
        <w:t>Secondly, an effective frame should first capture </w:t>
      </w:r>
      <w:r>
        <w:rPr>
          <w:rStyle w:val="6"/>
          <w:rFonts w:hint="default" w:ascii="Times New Roman" w:hAnsi="Times New Roman" w:cs="Times New Roman"/>
          <w:color w:val="0E101A"/>
          <w:sz w:val="24"/>
          <w:szCs w:val="24"/>
        </w:rPr>
        <w:t>all </w:t>
      </w:r>
      <w:r>
        <w:rPr>
          <w:rFonts w:hint="default" w:ascii="Times New Roman" w:hAnsi="Times New Roman" w:cs="Times New Roman"/>
          <w:color w:val="0E101A"/>
          <w:sz w:val="24"/>
          <w:szCs w:val="24"/>
        </w:rPr>
        <w:t>respondents' understandings to satisfy Condition II. Therefore, researchers use "meaning" in tests without clarification or a broad definition such as "as the sense made of" (Steger et al., 2006). However, the lack of precision means respondents' understanding must be clear. If Process I fails, then Condition II will be hard to achieve.</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firstLine="420" w:firstLineChars="0"/>
        <w:textAlignment w:val="auto"/>
        <w:rPr>
          <w:rFonts w:hint="default" w:ascii="Times New Roman" w:hAnsi="Times New Roman" w:cs="Times New Roman"/>
          <w:color w:val="0E101A"/>
          <w:sz w:val="24"/>
          <w:szCs w:val="24"/>
        </w:rPr>
      </w:pPr>
      <w:r>
        <w:rPr>
          <w:rFonts w:hint="default" w:ascii="Times New Roman" w:hAnsi="Times New Roman" w:cs="Times New Roman"/>
          <w:color w:val="0E101A"/>
          <w:sz w:val="24"/>
          <w:szCs w:val="24"/>
        </w:rPr>
        <w:t xml:space="preserve">Alternatively, the test can be more precise by including potential factors, such as "non-hedonic sources of happiness and suffering (Stone et al.,2013)." </w:t>
      </w:r>
      <w:r>
        <w:rPr>
          <w:rFonts w:hint="eastAsia" w:ascii="Times New Roman" w:hAnsi="Times New Roman" w:cs="Times New Roman"/>
          <w:color w:val="0E101A"/>
          <w:sz w:val="24"/>
          <w:szCs w:val="24"/>
          <w:lang w:val="en-US" w:eastAsia="zh-CN"/>
        </w:rPr>
        <w:t>Nevertheless</w:t>
      </w:r>
      <w:r>
        <w:rPr>
          <w:rFonts w:hint="default" w:ascii="Times New Roman" w:hAnsi="Times New Roman" w:cs="Times New Roman"/>
          <w:color w:val="0E101A"/>
          <w:sz w:val="24"/>
          <w:szCs w:val="24"/>
        </w:rPr>
        <w:t xml:space="preserve">, precision can bring more challenges. For instance, overcoming challenges can bring competence, which is normally regarded as a promoter of happiness. </w:t>
      </w:r>
      <w:r>
        <w:rPr>
          <w:rFonts w:hint="eastAsia" w:ascii="Times New Roman" w:hAnsi="Times New Roman" w:cs="Times New Roman"/>
          <w:color w:val="0E101A"/>
          <w:sz w:val="24"/>
          <w:szCs w:val="24"/>
          <w:lang w:val="en-US" w:eastAsia="zh-CN"/>
        </w:rPr>
        <w:t>But</w:t>
      </w:r>
      <w:r>
        <w:rPr>
          <w:rFonts w:hint="default" w:ascii="Times New Roman" w:hAnsi="Times New Roman" w:cs="Times New Roman"/>
          <w:color w:val="0E101A"/>
          <w:sz w:val="24"/>
          <w:szCs w:val="24"/>
        </w:rPr>
        <w:t xml:space="preserve"> competence cannot enhance their happiness if respondents feel a lack of autonomy while handling the tasks (Ryan &amp; Deci, 2000). Therefore, if the measurement improves the evaluation by incorporating more correlated sources, such as competence, it should take even more correlated factors to ensure the test is unbiased. </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firstLine="420" w:firstLineChars="0"/>
        <w:textAlignment w:val="auto"/>
        <w:rPr>
          <w:rFonts w:hint="default" w:ascii="Times New Roman" w:hAnsi="Times New Roman" w:cs="Times New Roman"/>
          <w:color w:val="0E101A"/>
          <w:sz w:val="24"/>
          <w:szCs w:val="24"/>
        </w:rPr>
      </w:pPr>
      <w:r>
        <w:rPr>
          <w:rFonts w:hint="default" w:ascii="Times New Roman" w:hAnsi="Times New Roman" w:cs="Times New Roman"/>
          <w:color w:val="0E101A"/>
          <w:sz w:val="24"/>
          <w:szCs w:val="24"/>
        </w:rPr>
        <w:t>Not only does the trade-off between broadness and precision bring a challenge, but the cognition of society also limits the frame of the test. Influenced by culture, measurement in a collectivist society attaches more importance to contributions toward groups, likely to regard these efforts are more eudaimonic than personal growth. Influenced by the features of an era, society's understanding of happiness diverges with individuals'. For instance, in Song Dynasty, Su Tungpo spoke truth to power and thus was exiled to undeveloped land such as Lingnan. Even though he suffered, he still perceived a strong sense of happiness, expressing that in his poem: "With three hundred litchis every day and night; I am willing to be a Lingnan man for the rest of my life</w:t>
      </w:r>
      <w:r>
        <w:rPr>
          <w:rFonts w:hint="eastAsia" w:ascii="Times New Roman" w:hAnsi="Times New Roman" w:cs="Times New Roman"/>
          <w:color w:val="0E101A"/>
          <w:sz w:val="24"/>
          <w:szCs w:val="24"/>
          <w:lang w:val="en-US" w:eastAsia="zh-CN"/>
        </w:rPr>
        <w:t xml:space="preserve"> </w:t>
      </w:r>
      <w:r>
        <w:rPr>
          <w:rFonts w:hint="default" w:ascii="Times New Roman" w:hAnsi="Times New Roman" w:cs="Times New Roman"/>
          <w:color w:val="0E101A"/>
          <w:sz w:val="24"/>
          <w:szCs w:val="24"/>
        </w:rPr>
        <w:t>(Lin, 2018)</w:t>
      </w:r>
      <w:r>
        <w:rPr>
          <w:rFonts w:hint="eastAsia" w:ascii="Times New Roman" w:hAnsi="Times New Roman" w:cs="Times New Roman"/>
          <w:color w:val="0E101A"/>
          <w:sz w:val="24"/>
          <w:szCs w:val="24"/>
          <w:lang w:val="en-US" w:eastAsia="zh-CN"/>
        </w:rPr>
        <w:t>.</w:t>
      </w:r>
      <w:r>
        <w:rPr>
          <w:rFonts w:hint="default" w:ascii="Times New Roman" w:hAnsi="Times New Roman" w:cs="Times New Roman"/>
          <w:color w:val="0E101A"/>
          <w:sz w:val="24"/>
          <w:szCs w:val="24"/>
          <w:lang w:val="en-US" w:eastAsia="zh-CN"/>
        </w:rPr>
        <w:t>”</w:t>
      </w:r>
      <w:r>
        <w:rPr>
          <w:rFonts w:hint="eastAsia" w:ascii="Times New Roman" w:hAnsi="Times New Roman" w:cs="Times New Roman"/>
          <w:color w:val="0E101A"/>
          <w:sz w:val="24"/>
          <w:szCs w:val="24"/>
          <w:lang w:val="en-US" w:eastAsia="zh-CN"/>
        </w:rPr>
        <w:t xml:space="preserve"> </w:t>
      </w:r>
      <w:r>
        <w:rPr>
          <w:rFonts w:hint="default" w:ascii="Times New Roman" w:hAnsi="Times New Roman" w:cs="Times New Roman"/>
          <w:color w:val="0E101A"/>
          <w:sz w:val="24"/>
          <w:szCs w:val="24"/>
        </w:rPr>
        <w:t>Society aims to suppress him and reduce his happiness, but Tungpo "amor fati"--loves his fate (Han-Pile, 2009). The diverged understandings between individual and externality mean that if the externality constructs a measurement, it would hardly be not biased. </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firstLine="420" w:firstLineChars="0"/>
        <w:textAlignment w:val="auto"/>
        <w:rPr>
          <w:rFonts w:hint="default" w:ascii="Times New Roman" w:hAnsi="Times New Roman" w:cs="Times New Roman"/>
          <w:color w:val="0E101A"/>
          <w:sz w:val="24"/>
          <w:szCs w:val="24"/>
        </w:rPr>
      </w:pPr>
      <w:commentRangeStart w:id="3"/>
      <w:r>
        <w:rPr>
          <w:rFonts w:hint="default" w:ascii="Times New Roman" w:hAnsi="Times New Roman" w:cs="Times New Roman"/>
          <w:color w:val="0E101A"/>
          <w:sz w:val="24"/>
          <w:szCs w:val="24"/>
        </w:rPr>
        <w:t xml:space="preserve">More importantly, it is </w:t>
      </w:r>
      <w:r>
        <w:rPr>
          <w:rFonts w:hint="eastAsia" w:ascii="Times New Roman" w:hAnsi="Times New Roman" w:cs="Times New Roman"/>
          <w:color w:val="0E101A"/>
          <w:sz w:val="24"/>
          <w:szCs w:val="24"/>
          <w:lang w:val="en-US" w:eastAsia="zh-CN"/>
        </w:rPr>
        <w:t>hard</w:t>
      </w:r>
      <w:r>
        <w:rPr>
          <w:rFonts w:hint="default" w:ascii="Times New Roman" w:hAnsi="Times New Roman" w:cs="Times New Roman"/>
          <w:color w:val="0E101A"/>
          <w:sz w:val="24"/>
          <w:szCs w:val="24"/>
        </w:rPr>
        <w:t xml:space="preserve"> </w:t>
      </w:r>
      <w:r>
        <w:rPr>
          <w:rFonts w:hint="eastAsia" w:ascii="Times New Roman" w:hAnsi="Times New Roman" w:cs="Times New Roman"/>
          <w:color w:val="0E101A"/>
          <w:sz w:val="24"/>
          <w:szCs w:val="24"/>
          <w:lang w:val="en-US" w:eastAsia="zh-CN"/>
        </w:rPr>
        <w:t>for individuals to realize that</w:t>
      </w:r>
      <w:r>
        <w:rPr>
          <w:rFonts w:hint="default" w:ascii="Times New Roman" w:hAnsi="Times New Roman" w:cs="Times New Roman"/>
          <w:color w:val="0E101A"/>
          <w:sz w:val="24"/>
          <w:szCs w:val="24"/>
        </w:rPr>
        <w:t xml:space="preserve"> society and </w:t>
      </w:r>
      <w:r>
        <w:rPr>
          <w:rFonts w:hint="eastAsia" w:ascii="Times New Roman" w:hAnsi="Times New Roman" w:cs="Times New Roman"/>
          <w:color w:val="0E101A"/>
          <w:sz w:val="24"/>
          <w:szCs w:val="24"/>
          <w:lang w:val="en-US" w:eastAsia="zh-CN"/>
        </w:rPr>
        <w:t xml:space="preserve">themselves </w:t>
      </w:r>
      <w:r>
        <w:rPr>
          <w:rFonts w:hint="default" w:ascii="Times New Roman" w:hAnsi="Times New Roman" w:cs="Times New Roman"/>
          <w:color w:val="0E101A"/>
          <w:sz w:val="24"/>
          <w:szCs w:val="24"/>
        </w:rPr>
        <w:t xml:space="preserve">have </w:t>
      </w:r>
      <w:r>
        <w:rPr>
          <w:rFonts w:hint="eastAsia" w:ascii="Times New Roman" w:hAnsi="Times New Roman" w:cs="Times New Roman"/>
          <w:color w:val="0E101A"/>
          <w:sz w:val="24"/>
          <w:szCs w:val="24"/>
          <w:lang w:val="en-US" w:eastAsia="zh-CN"/>
        </w:rPr>
        <w:t>diverged</w:t>
      </w:r>
      <w:r>
        <w:rPr>
          <w:rFonts w:hint="default" w:ascii="Times New Roman" w:hAnsi="Times New Roman" w:cs="Times New Roman"/>
          <w:color w:val="0E101A"/>
          <w:sz w:val="24"/>
          <w:szCs w:val="24"/>
        </w:rPr>
        <w:t xml:space="preserve"> understanding toward happiness. For instance, </w:t>
      </w:r>
      <w:r>
        <w:rPr>
          <w:rFonts w:hint="eastAsia" w:ascii="Times New Roman" w:hAnsi="Times New Roman" w:cs="Times New Roman"/>
          <w:color w:val="0E101A"/>
          <w:sz w:val="24"/>
          <w:szCs w:val="24"/>
          <w:lang w:val="en-US" w:eastAsia="zh-CN"/>
        </w:rPr>
        <w:t xml:space="preserve">it is convincing that </w:t>
      </w:r>
      <w:r>
        <w:rPr>
          <w:rFonts w:hint="default" w:ascii="Times New Roman" w:hAnsi="Times New Roman" w:cs="Times New Roman"/>
          <w:color w:val="0E101A"/>
          <w:sz w:val="24"/>
          <w:szCs w:val="24"/>
        </w:rPr>
        <w:t xml:space="preserve">social connection can promote the development of self-esteem (Maslow, 1943), but is it possible that society overly reinforces the role of externality on one's happiness? Under the encouragement of social networks, </w:t>
      </w:r>
      <w:r>
        <w:rPr>
          <w:rFonts w:hint="eastAsia" w:ascii="Times New Roman" w:hAnsi="Times New Roman" w:cs="Times New Roman"/>
          <w:color w:val="0E101A"/>
          <w:sz w:val="24"/>
          <w:szCs w:val="24"/>
          <w:lang w:val="en-US" w:eastAsia="zh-CN"/>
        </w:rPr>
        <w:t>individuals</w:t>
      </w:r>
      <w:r>
        <w:rPr>
          <w:rFonts w:hint="default" w:ascii="Times New Roman" w:hAnsi="Times New Roman" w:cs="Times New Roman"/>
          <w:color w:val="0E101A"/>
          <w:sz w:val="24"/>
          <w:szCs w:val="24"/>
        </w:rPr>
        <w:t xml:space="preserve"> may falsely regard solitude as loneliness</w:t>
      </w:r>
      <w:r>
        <w:rPr>
          <w:rFonts w:hint="eastAsia" w:ascii="Times New Roman" w:hAnsi="Times New Roman" w:cs="Times New Roman"/>
          <w:color w:val="0E101A"/>
          <w:sz w:val="24"/>
          <w:szCs w:val="24"/>
          <w:lang w:val="en-US" w:eastAsia="zh-CN"/>
        </w:rPr>
        <w:t>, internalizing society</w:t>
      </w:r>
      <w:r>
        <w:rPr>
          <w:rFonts w:hint="default" w:ascii="Times New Roman" w:hAnsi="Times New Roman" w:cs="Times New Roman"/>
          <w:color w:val="0E101A"/>
          <w:sz w:val="24"/>
          <w:szCs w:val="24"/>
          <w:lang w:val="en-US" w:eastAsia="zh-CN"/>
        </w:rPr>
        <w:t>’</w:t>
      </w:r>
      <w:r>
        <w:rPr>
          <w:rFonts w:hint="eastAsia" w:ascii="Times New Roman" w:hAnsi="Times New Roman" w:cs="Times New Roman"/>
          <w:color w:val="0E101A"/>
          <w:sz w:val="24"/>
          <w:szCs w:val="24"/>
          <w:lang w:val="en-US" w:eastAsia="zh-CN"/>
        </w:rPr>
        <w:t>s value and veiling their personal understandings</w:t>
      </w:r>
      <w:r>
        <w:rPr>
          <w:rFonts w:hint="default" w:ascii="Times New Roman" w:hAnsi="Times New Roman" w:cs="Times New Roman"/>
          <w:color w:val="0E101A"/>
          <w:sz w:val="24"/>
          <w:szCs w:val="24"/>
        </w:rPr>
        <w:t>. Society believes test</w:t>
      </w:r>
      <w:r>
        <w:rPr>
          <w:rFonts w:hint="eastAsia" w:ascii="Times New Roman" w:hAnsi="Times New Roman" w:cs="Times New Roman"/>
          <w:color w:val="0E101A"/>
          <w:sz w:val="24"/>
          <w:szCs w:val="24"/>
          <w:lang w:val="en-US" w:eastAsia="zh-CN"/>
        </w:rPr>
        <w:t>s such as subjective well-being shows strong</w:t>
      </w:r>
      <w:r>
        <w:rPr>
          <w:rFonts w:hint="default" w:ascii="Times New Roman" w:hAnsi="Times New Roman" w:cs="Times New Roman"/>
          <w:color w:val="0E101A"/>
          <w:sz w:val="24"/>
          <w:szCs w:val="24"/>
        </w:rPr>
        <w:t xml:space="preserve"> convergent validity</w:t>
      </w:r>
      <w:r>
        <w:rPr>
          <w:rFonts w:hint="eastAsia" w:ascii="Times New Roman" w:hAnsi="Times New Roman" w:cs="Times New Roman"/>
          <w:color w:val="0E101A"/>
          <w:sz w:val="24"/>
          <w:szCs w:val="24"/>
          <w:lang w:val="en-US" w:eastAsia="zh-CN"/>
        </w:rPr>
        <w:t xml:space="preserve"> </w:t>
      </w:r>
      <w:r>
        <w:rPr>
          <w:rFonts w:hint="default" w:ascii="Times New Roman" w:hAnsi="Times New Roman" w:cs="Times New Roman"/>
          <w:color w:val="0E101A"/>
          <w:sz w:val="24"/>
          <w:szCs w:val="24"/>
        </w:rPr>
        <w:t>(Stone et al., 2013), but is this</w:t>
      </w:r>
      <w:r>
        <w:rPr>
          <w:rFonts w:hint="eastAsia" w:ascii="Times New Roman" w:hAnsi="Times New Roman" w:cs="Times New Roman"/>
          <w:color w:val="0E101A"/>
          <w:sz w:val="24"/>
          <w:szCs w:val="24"/>
          <w:lang w:val="en-US" w:eastAsia="zh-CN"/>
        </w:rPr>
        <w:t xml:space="preserve"> testing</w:t>
      </w:r>
      <w:r>
        <w:rPr>
          <w:rFonts w:hint="default" w:ascii="Times New Roman" w:hAnsi="Times New Roman" w:cs="Times New Roman"/>
          <w:color w:val="0E101A"/>
          <w:sz w:val="24"/>
          <w:szCs w:val="24"/>
        </w:rPr>
        <w:t xml:space="preserve"> individuals' </w:t>
      </w:r>
      <w:r>
        <w:rPr>
          <w:rFonts w:hint="default" w:ascii="Times New Roman" w:hAnsi="Times New Roman" w:cs="Times New Roman"/>
          <w:i/>
          <w:iCs/>
          <w:color w:val="0E101A"/>
          <w:sz w:val="24"/>
          <w:szCs w:val="24"/>
        </w:rPr>
        <w:t>subjective</w:t>
      </w:r>
      <w:r>
        <w:rPr>
          <w:rFonts w:hint="default" w:ascii="Times New Roman" w:hAnsi="Times New Roman" w:cs="Times New Roman"/>
          <w:color w:val="0E101A"/>
          <w:sz w:val="24"/>
          <w:szCs w:val="24"/>
        </w:rPr>
        <w:t xml:space="preserve"> well-being? Or </w:t>
      </w:r>
      <w:r>
        <w:rPr>
          <w:rFonts w:hint="eastAsia" w:ascii="Times New Roman" w:hAnsi="Times New Roman" w:cs="Times New Roman"/>
          <w:color w:val="0E101A"/>
          <w:sz w:val="24"/>
          <w:szCs w:val="24"/>
          <w:lang w:val="en-US" w:eastAsia="zh-CN"/>
        </w:rPr>
        <w:t xml:space="preserve">it is </w:t>
      </w:r>
      <w:r>
        <w:rPr>
          <w:rFonts w:hint="default" w:ascii="Times New Roman" w:hAnsi="Times New Roman" w:cs="Times New Roman"/>
          <w:color w:val="0E101A"/>
          <w:sz w:val="24"/>
          <w:szCs w:val="24"/>
        </w:rPr>
        <w:t>more about society-encouraged well-being? </w:t>
      </w:r>
      <w:commentRangeEnd w:id="3"/>
      <w:r>
        <w:commentReference w:id="3"/>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textAlignment w:val="auto"/>
        <w:rPr>
          <w:rFonts w:hint="default" w:ascii="Times New Roman" w:hAnsi="Times New Roman" w:cs="Times New Roman"/>
          <w:color w:val="0E101A"/>
          <w:sz w:val="24"/>
          <w:szCs w:val="24"/>
        </w:rPr>
      </w:pPr>
      <w:commentRangeStart w:id="4"/>
      <w:r>
        <w:rPr>
          <w:rStyle w:val="6"/>
          <w:rFonts w:hint="default" w:ascii="Times New Roman" w:hAnsi="Times New Roman" w:cs="Times New Roman"/>
          <w:color w:val="0E101A"/>
          <w:sz w:val="24"/>
          <w:szCs w:val="24"/>
        </w:rPr>
        <w:t>Conclusion</w:t>
      </w:r>
      <w:commentRangeEnd w:id="4"/>
      <w:r>
        <w:commentReference w:id="4"/>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firstLine="420" w:firstLineChars="0"/>
        <w:textAlignment w:val="auto"/>
        <w:rPr>
          <w:rFonts w:hint="default" w:ascii="Times New Roman" w:hAnsi="Times New Roman" w:cs="Times New Roman"/>
          <w:color w:val="0E101A"/>
          <w:sz w:val="24"/>
          <w:szCs w:val="24"/>
        </w:rPr>
      </w:pPr>
      <w:r>
        <w:rPr>
          <w:rFonts w:hint="default" w:ascii="Times New Roman" w:hAnsi="Times New Roman" w:cs="Times New Roman"/>
          <w:color w:val="0E101A"/>
          <w:sz w:val="24"/>
          <w:szCs w:val="24"/>
        </w:rPr>
        <w:t xml:space="preserve">This essay argues that happiness cannot be measured by examining two processes. </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firstLine="420" w:firstLineChars="0"/>
        <w:textAlignment w:val="auto"/>
        <w:rPr>
          <w:rFonts w:hint="default" w:ascii="Times New Roman" w:hAnsi="Times New Roman" w:cs="Times New Roman"/>
          <w:color w:val="0E101A"/>
          <w:sz w:val="24"/>
          <w:szCs w:val="24"/>
        </w:rPr>
      </w:pPr>
      <w:r>
        <w:rPr>
          <w:rFonts w:hint="default" w:ascii="Times New Roman" w:hAnsi="Times New Roman" w:cs="Times New Roman"/>
          <w:color w:val="0E101A"/>
          <w:sz w:val="24"/>
          <w:szCs w:val="24"/>
        </w:rPr>
        <w:t>First, an individual must approach knowing to establish a benchmark for subjective measurement. However, staying self-conscious is arduous; additionally, possible cognitive limitations of hedonism, nihilism, and rat racer, and conversion from beliefs to evaluation for happiness archetype can hinder the process of knowing. Thus, the process I cannot be satisfied with.</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firstLine="420" w:firstLineChars="0"/>
        <w:textAlignment w:val="auto"/>
        <w:rPr>
          <w:rFonts w:hint="default" w:ascii="Times New Roman" w:hAnsi="Times New Roman" w:cs="Times New Roman"/>
          <w:color w:val="0E101A"/>
          <w:sz w:val="24"/>
          <w:szCs w:val="24"/>
        </w:rPr>
      </w:pPr>
      <w:r>
        <w:rPr>
          <w:rFonts w:hint="default" w:ascii="Times New Roman" w:hAnsi="Times New Roman" w:cs="Times New Roman"/>
          <w:color w:val="0E101A"/>
          <w:sz w:val="24"/>
          <w:szCs w:val="24"/>
        </w:rPr>
        <w:t xml:space="preserve">Second, respondents' willingness to convey and the test's frame determine the effectiveness of process II. Respectively, cognitive dissonance undermines one's willingness to convey, and the trade-off between broadness and preciseness brings challenges to constructing </w:t>
      </w:r>
      <w:r>
        <w:rPr>
          <w:rFonts w:hint="eastAsia" w:ascii="Times New Roman" w:hAnsi="Times New Roman" w:cs="Times New Roman"/>
          <w:color w:val="0E101A"/>
          <w:sz w:val="24"/>
          <w:szCs w:val="24"/>
          <w:lang w:val="en-US" w:eastAsia="zh-CN"/>
        </w:rPr>
        <w:t>the frame</w:t>
      </w:r>
      <w:r>
        <w:rPr>
          <w:rFonts w:hint="default" w:ascii="Times New Roman" w:hAnsi="Times New Roman" w:cs="Times New Roman"/>
          <w:color w:val="0E101A"/>
          <w:sz w:val="24"/>
          <w:szCs w:val="24"/>
        </w:rPr>
        <w:t xml:space="preserve">. Moreover, </w:t>
      </w:r>
      <w:r>
        <w:rPr>
          <w:rFonts w:hint="eastAsia" w:ascii="Times New Roman" w:hAnsi="Times New Roman" w:cs="Times New Roman"/>
          <w:color w:val="0E101A"/>
          <w:sz w:val="24"/>
          <w:szCs w:val="24"/>
          <w:lang w:val="en-US" w:eastAsia="zh-CN"/>
        </w:rPr>
        <w:t xml:space="preserve">since </w:t>
      </w:r>
      <w:r>
        <w:rPr>
          <w:rFonts w:hint="default" w:ascii="Times New Roman" w:hAnsi="Times New Roman" w:cs="Times New Roman"/>
          <w:color w:val="0E101A"/>
          <w:sz w:val="24"/>
          <w:szCs w:val="24"/>
        </w:rPr>
        <w:t xml:space="preserve">society's cognition limits the test frame significantly, individuals' </w:t>
      </w:r>
      <w:r>
        <w:rPr>
          <w:rFonts w:hint="eastAsia" w:ascii="Times New Roman" w:hAnsi="Times New Roman" w:cs="Times New Roman"/>
          <w:color w:val="0E101A"/>
          <w:sz w:val="24"/>
          <w:szCs w:val="24"/>
          <w:lang w:val="en-US" w:eastAsia="zh-CN"/>
        </w:rPr>
        <w:t xml:space="preserve">understandings to happiness </w:t>
      </w:r>
      <w:r>
        <w:rPr>
          <w:rFonts w:hint="default" w:ascii="Times New Roman" w:hAnsi="Times New Roman" w:cs="Times New Roman"/>
          <w:color w:val="0E101A"/>
          <w:sz w:val="24"/>
          <w:szCs w:val="24"/>
        </w:rPr>
        <w:t>are hard to be reflected. If the test is constructed by externality, it will continuously measure socially desired well-being rather than subjective well-being. </w:t>
      </w:r>
    </w:p>
    <w:p>
      <w:pPr>
        <w:keepNext w:val="0"/>
        <w:keepLines w:val="0"/>
        <w:pageBreakBefore w:val="0"/>
        <w:kinsoku/>
        <w:wordWrap/>
        <w:overflowPunct/>
        <w:topLinePunct w:val="0"/>
        <w:autoSpaceDE/>
        <w:autoSpaceDN/>
        <w:bidi w:val="0"/>
        <w:adjustRightInd/>
        <w:snapToGrid/>
        <w:spacing w:line="480" w:lineRule="auto"/>
        <w:textAlignment w:val="auto"/>
        <w:rPr>
          <w:rFonts w:hint="default" w:ascii="Times New Roman" w:hAnsi="Times New Roman" w:cs="Times New Roman"/>
          <w:sz w:val="24"/>
          <w:szCs w:val="24"/>
        </w:rPr>
      </w:pPr>
    </w:p>
    <w:p>
      <w:pPr>
        <w:keepNext w:val="0"/>
        <w:keepLines w:val="0"/>
        <w:pageBreakBefore w:val="0"/>
        <w:kinsoku/>
        <w:wordWrap/>
        <w:overflowPunct/>
        <w:topLinePunct w:val="0"/>
        <w:autoSpaceDE/>
        <w:autoSpaceDN/>
        <w:bidi w:val="0"/>
        <w:adjustRightInd/>
        <w:snapToGrid/>
        <w:spacing w:line="480" w:lineRule="auto"/>
        <w:textAlignment w:val="auto"/>
        <w:rPr>
          <w:rFonts w:hint="default" w:ascii="Times New Roman" w:hAnsi="Times New Roman" w:cs="Times New Roman"/>
          <w:sz w:val="24"/>
          <w:szCs w:val="24"/>
          <w:highlight w:val="none"/>
        </w:rPr>
        <w:sectPr>
          <w:pgSz w:w="11906" w:h="16838"/>
          <w:pgMar w:top="1440" w:right="1440" w:bottom="1440" w:left="1440" w:header="851" w:footer="992" w:gutter="0"/>
          <w:cols w:space="425" w:num="1"/>
          <w:docGrid w:type="lines" w:linePitch="312" w:charSpace="0"/>
        </w:sectPr>
      </w:pPr>
    </w:p>
    <w:p>
      <w:pPr>
        <w:pStyle w:val="3"/>
        <w:widowControl/>
        <w:spacing w:beforeAutospacing="0" w:afterAutospacing="0" w:line="480" w:lineRule="auto"/>
        <w:jc w:val="center"/>
        <w:rPr>
          <w:b/>
          <w:bCs/>
          <w:highlight w:val="none"/>
        </w:rPr>
      </w:pPr>
      <w:r>
        <w:rPr>
          <w:rFonts w:ascii="Times New Roman" w:hAnsi="Times New Roman"/>
          <w:b/>
          <w:bCs/>
          <w:highlight w:val="none"/>
        </w:rPr>
        <w:t>References</w:t>
      </w:r>
    </w:p>
    <w:p>
      <w:pPr>
        <w:pStyle w:val="3"/>
        <w:widowControl/>
        <w:spacing w:beforeAutospacing="0" w:afterAutospacing="0" w:line="480" w:lineRule="auto"/>
        <w:ind w:hanging="720"/>
        <w:rPr>
          <w:highlight w:val="none"/>
        </w:rPr>
      </w:pPr>
      <w:r>
        <w:rPr>
          <w:rFonts w:ascii="Times New Roman" w:hAnsi="Times New Roman"/>
          <w:highlight w:val="none"/>
        </w:rPr>
        <w:t xml:space="preserve">Cacioppo, J. T., &amp; Freberg, L. (2019). </w:t>
      </w:r>
      <w:r>
        <w:rPr>
          <w:rFonts w:ascii="Times New Roman" w:hAnsi="Times New Roman"/>
          <w:i/>
          <w:iCs/>
          <w:highlight w:val="none"/>
        </w:rPr>
        <w:t>Discovering psychology 3e : the science of mind</w:t>
      </w:r>
      <w:r>
        <w:rPr>
          <w:rFonts w:ascii="Times New Roman" w:hAnsi="Times New Roman"/>
          <w:highlight w:val="none"/>
        </w:rPr>
        <w:t>. Cengage.</w:t>
      </w:r>
    </w:p>
    <w:p>
      <w:pPr>
        <w:pStyle w:val="3"/>
        <w:widowControl/>
        <w:spacing w:beforeAutospacing="0" w:afterAutospacing="0" w:line="480" w:lineRule="auto"/>
        <w:ind w:hanging="720"/>
        <w:rPr>
          <w:highlight w:val="none"/>
        </w:rPr>
      </w:pPr>
      <w:r>
        <w:rPr>
          <w:rFonts w:ascii="Times New Roman" w:hAnsi="Times New Roman"/>
          <w:highlight w:val="none"/>
        </w:rPr>
        <w:t xml:space="preserve">Carse, J. P. (2012). </w:t>
      </w:r>
      <w:r>
        <w:rPr>
          <w:rFonts w:ascii="Times New Roman" w:hAnsi="Times New Roman"/>
          <w:i/>
          <w:iCs/>
          <w:highlight w:val="none"/>
        </w:rPr>
        <w:t>Finite and infinite games : a vision of life as play and possibility</w:t>
      </w:r>
      <w:r>
        <w:rPr>
          <w:rFonts w:ascii="Times New Roman" w:hAnsi="Times New Roman"/>
          <w:highlight w:val="none"/>
        </w:rPr>
        <w:t>. Free Press.</w:t>
      </w:r>
    </w:p>
    <w:p>
      <w:pPr>
        <w:pStyle w:val="3"/>
        <w:widowControl/>
        <w:spacing w:beforeAutospacing="0" w:afterAutospacing="0" w:line="480" w:lineRule="auto"/>
        <w:ind w:hanging="720"/>
        <w:rPr>
          <w:highlight w:val="none"/>
        </w:rPr>
      </w:pPr>
      <w:r>
        <w:rPr>
          <w:rFonts w:ascii="Times New Roman" w:hAnsi="Times New Roman"/>
          <w:highlight w:val="none"/>
        </w:rPr>
        <w:t xml:space="preserve">Charmaz, K. (1995). The Body, Identity, and Self: Adapting to Impairment. </w:t>
      </w:r>
      <w:r>
        <w:rPr>
          <w:rFonts w:ascii="Times New Roman" w:hAnsi="Times New Roman"/>
          <w:i/>
          <w:iCs/>
          <w:highlight w:val="none"/>
        </w:rPr>
        <w:t>The Sociological Quarterly</w:t>
      </w:r>
      <w:r>
        <w:rPr>
          <w:rFonts w:ascii="Times New Roman" w:hAnsi="Times New Roman"/>
          <w:highlight w:val="none"/>
        </w:rPr>
        <w:t xml:space="preserve">, </w:t>
      </w:r>
      <w:r>
        <w:rPr>
          <w:rFonts w:ascii="Times New Roman" w:hAnsi="Times New Roman"/>
          <w:i/>
          <w:iCs/>
          <w:highlight w:val="none"/>
        </w:rPr>
        <w:t>36</w:t>
      </w:r>
      <w:r>
        <w:rPr>
          <w:rFonts w:ascii="Times New Roman" w:hAnsi="Times New Roman"/>
          <w:highlight w:val="none"/>
        </w:rPr>
        <w:t>(4), 657–680. https://www.jstor.org/stable/4121346</w:t>
      </w:r>
    </w:p>
    <w:p>
      <w:pPr>
        <w:pStyle w:val="3"/>
        <w:widowControl/>
        <w:spacing w:beforeAutospacing="0" w:afterAutospacing="0" w:line="480" w:lineRule="auto"/>
        <w:ind w:hanging="720"/>
        <w:rPr>
          <w:rFonts w:ascii="Times New Roman" w:hAnsi="Times New Roman"/>
          <w:highlight w:val="none"/>
        </w:rPr>
      </w:pPr>
      <w:r>
        <w:rPr>
          <w:rFonts w:ascii="Times New Roman" w:hAnsi="Times New Roman"/>
          <w:highlight w:val="none"/>
        </w:rPr>
        <w:t xml:space="preserve">Corteen, R. S., &amp; Wood, B. (1972). Autonomic responses to shock-associated words in an unattended channel. </w:t>
      </w:r>
      <w:r>
        <w:rPr>
          <w:rFonts w:ascii="Times New Roman" w:hAnsi="Times New Roman"/>
          <w:i/>
          <w:iCs/>
          <w:highlight w:val="none"/>
        </w:rPr>
        <w:t>Journal of Experimental Psychology</w:t>
      </w:r>
      <w:r>
        <w:rPr>
          <w:rFonts w:ascii="Times New Roman" w:hAnsi="Times New Roman"/>
          <w:highlight w:val="none"/>
        </w:rPr>
        <w:t xml:space="preserve">, </w:t>
      </w:r>
      <w:r>
        <w:rPr>
          <w:rFonts w:ascii="Times New Roman" w:hAnsi="Times New Roman"/>
          <w:i/>
          <w:iCs/>
          <w:highlight w:val="none"/>
        </w:rPr>
        <w:t>94</w:t>
      </w:r>
      <w:r>
        <w:rPr>
          <w:rFonts w:ascii="Times New Roman" w:hAnsi="Times New Roman"/>
          <w:highlight w:val="none"/>
        </w:rPr>
        <w:t xml:space="preserve">(3), 308–313. </w:t>
      </w:r>
      <w:r>
        <w:rPr>
          <w:rFonts w:ascii="Times New Roman" w:hAnsi="Times New Roman"/>
          <w:highlight w:val="none"/>
        </w:rPr>
        <w:fldChar w:fldCharType="begin"/>
      </w:r>
      <w:r>
        <w:rPr>
          <w:rFonts w:ascii="Times New Roman" w:hAnsi="Times New Roman"/>
          <w:highlight w:val="none"/>
        </w:rPr>
        <w:instrText xml:space="preserve"> HYPERLINK "https://doi.org/10.1037/h0032759" </w:instrText>
      </w:r>
      <w:r>
        <w:rPr>
          <w:rFonts w:ascii="Times New Roman" w:hAnsi="Times New Roman"/>
          <w:highlight w:val="none"/>
        </w:rPr>
        <w:fldChar w:fldCharType="separate"/>
      </w:r>
      <w:r>
        <w:rPr>
          <w:rStyle w:val="8"/>
          <w:rFonts w:ascii="Times New Roman" w:hAnsi="Times New Roman"/>
          <w:highlight w:val="none"/>
        </w:rPr>
        <w:t>https://doi.org/10.1037/h0032759</w:t>
      </w:r>
      <w:r>
        <w:rPr>
          <w:rFonts w:ascii="Times New Roman" w:hAnsi="Times New Roman"/>
          <w:highlight w:val="none"/>
        </w:rPr>
        <w:fldChar w:fldCharType="end"/>
      </w:r>
    </w:p>
    <w:p>
      <w:pPr>
        <w:pStyle w:val="3"/>
        <w:keepNext w:val="0"/>
        <w:keepLines w:val="0"/>
        <w:widowControl/>
        <w:suppressLineNumbers w:val="0"/>
        <w:pBdr>
          <w:left w:val="none" w:color="auto" w:sz="0" w:space="0"/>
        </w:pBdr>
        <w:spacing w:before="0" w:beforeAutospacing="0" w:after="0" w:afterAutospacing="0" w:line="480" w:lineRule="auto"/>
        <w:ind w:left="0" w:hanging="720"/>
        <w:rPr>
          <w:rFonts w:hint="default" w:ascii="Times New Roman" w:hAnsi="Times New Roman" w:cs="Times New Roman"/>
          <w:sz w:val="24"/>
          <w:szCs w:val="24"/>
          <w:bdr w:val="none" w:color="auto" w:sz="0" w:space="0"/>
        </w:rPr>
      </w:pPr>
      <w:r>
        <w:rPr>
          <w:rFonts w:hint="default" w:ascii="Times New Roman" w:hAnsi="Times New Roman" w:cs="Times New Roman"/>
          <w:sz w:val="24"/>
          <w:szCs w:val="24"/>
          <w:bdr w:val="none" w:color="auto" w:sz="0" w:space="0"/>
        </w:rPr>
        <w:t xml:space="preserve">Crisp, R. (2017). </w:t>
      </w:r>
      <w:r>
        <w:rPr>
          <w:rFonts w:hint="default" w:ascii="Times New Roman" w:hAnsi="Times New Roman" w:cs="Times New Roman"/>
          <w:i/>
          <w:iCs/>
          <w:sz w:val="24"/>
          <w:szCs w:val="24"/>
          <w:bdr w:val="none" w:color="auto" w:sz="0" w:space="0"/>
        </w:rPr>
        <w:t>Well-Being (Stanford Encyclopedia of Philosophy)</w:t>
      </w:r>
      <w:r>
        <w:rPr>
          <w:rFonts w:hint="default" w:ascii="Times New Roman" w:hAnsi="Times New Roman" w:cs="Times New Roman"/>
          <w:sz w:val="24"/>
          <w:szCs w:val="24"/>
          <w:bdr w:val="none" w:color="auto" w:sz="0" w:space="0"/>
        </w:rPr>
        <w:t xml:space="preserve">. Stanford.edu. </w:t>
      </w:r>
      <w:r>
        <w:rPr>
          <w:rFonts w:hint="default" w:ascii="Times New Roman" w:hAnsi="Times New Roman" w:cs="Times New Roman"/>
          <w:sz w:val="24"/>
          <w:szCs w:val="24"/>
          <w:bdr w:val="none" w:color="auto" w:sz="0" w:space="0"/>
        </w:rPr>
        <w:fldChar w:fldCharType="begin"/>
      </w:r>
      <w:r>
        <w:rPr>
          <w:rFonts w:hint="default" w:ascii="Times New Roman" w:hAnsi="Times New Roman" w:cs="Times New Roman"/>
          <w:sz w:val="24"/>
          <w:szCs w:val="24"/>
          <w:bdr w:val="none" w:color="auto" w:sz="0" w:space="0"/>
        </w:rPr>
        <w:instrText xml:space="preserve"> HYPERLINK "https://plato.stanford.edu/entries/well-being/#ObjLisThe" </w:instrText>
      </w:r>
      <w:r>
        <w:rPr>
          <w:rFonts w:hint="default" w:ascii="Times New Roman" w:hAnsi="Times New Roman" w:cs="Times New Roman"/>
          <w:sz w:val="24"/>
          <w:szCs w:val="24"/>
          <w:bdr w:val="none" w:color="auto" w:sz="0" w:space="0"/>
        </w:rPr>
        <w:fldChar w:fldCharType="separate"/>
      </w:r>
      <w:r>
        <w:rPr>
          <w:rStyle w:val="8"/>
          <w:rFonts w:hint="default" w:ascii="Times New Roman" w:hAnsi="Times New Roman" w:cs="Times New Roman"/>
          <w:sz w:val="24"/>
          <w:szCs w:val="24"/>
          <w:bdr w:val="none" w:color="auto" w:sz="0" w:space="0"/>
        </w:rPr>
        <w:t>https://plato.stanford.edu/entries/well-being/#ObjLisThe</w:t>
      </w:r>
      <w:r>
        <w:rPr>
          <w:rFonts w:hint="default" w:ascii="Times New Roman" w:hAnsi="Times New Roman" w:cs="Times New Roman"/>
          <w:sz w:val="24"/>
          <w:szCs w:val="24"/>
          <w:bdr w:val="none" w:color="auto" w:sz="0" w:space="0"/>
        </w:rPr>
        <w:fldChar w:fldCharType="end"/>
      </w:r>
    </w:p>
    <w:p>
      <w:pPr>
        <w:pStyle w:val="3"/>
        <w:widowControl/>
        <w:spacing w:beforeAutospacing="0" w:afterAutospacing="0" w:line="480" w:lineRule="auto"/>
        <w:ind w:hanging="720"/>
        <w:rPr>
          <w:highlight w:val="none"/>
        </w:rPr>
      </w:pPr>
      <w:r>
        <w:rPr>
          <w:rFonts w:ascii="Times New Roman" w:hAnsi="Times New Roman"/>
          <w:highlight w:val="none"/>
        </w:rPr>
        <w:t xml:space="preserve">Frankl, V. E. (2006). </w:t>
      </w:r>
      <w:r>
        <w:rPr>
          <w:rFonts w:ascii="Times New Roman" w:hAnsi="Times New Roman"/>
          <w:i/>
          <w:iCs/>
          <w:highlight w:val="none"/>
        </w:rPr>
        <w:t>Man’s Search for Meaning</w:t>
      </w:r>
      <w:r>
        <w:rPr>
          <w:rFonts w:ascii="Times New Roman" w:hAnsi="Times New Roman"/>
          <w:highlight w:val="none"/>
        </w:rPr>
        <w:t>. Beacon Press.</w:t>
      </w:r>
    </w:p>
    <w:p>
      <w:pPr>
        <w:pStyle w:val="3"/>
        <w:widowControl/>
        <w:spacing w:beforeAutospacing="0" w:afterAutospacing="0" w:line="480" w:lineRule="auto"/>
        <w:ind w:hanging="720"/>
        <w:rPr>
          <w:highlight w:val="none"/>
        </w:rPr>
      </w:pPr>
      <w:r>
        <w:rPr>
          <w:rFonts w:ascii="Times New Roman" w:hAnsi="Times New Roman"/>
          <w:highlight w:val="none"/>
        </w:rPr>
        <w:t xml:space="preserve">Gertler, B. (2020). </w:t>
      </w:r>
      <w:r>
        <w:rPr>
          <w:rFonts w:ascii="Times New Roman" w:hAnsi="Times New Roman"/>
          <w:i/>
          <w:iCs/>
          <w:highlight w:val="none"/>
        </w:rPr>
        <w:t>Self-Knowledge</w:t>
      </w:r>
      <w:r>
        <w:rPr>
          <w:rFonts w:ascii="Times New Roman" w:hAnsi="Times New Roman"/>
          <w:highlight w:val="none"/>
        </w:rPr>
        <w:t xml:space="preserve"> (E. N. Zalta, Ed.). Stanford Encyclopedia of Philosophy; Metaphysics Research Lab, Stanford University. https://plato.stanford.edu/entries/self-knowledge/</w:t>
      </w:r>
    </w:p>
    <w:p>
      <w:pPr>
        <w:pStyle w:val="3"/>
        <w:widowControl/>
        <w:spacing w:beforeAutospacing="0" w:afterAutospacing="0" w:line="480" w:lineRule="auto"/>
        <w:ind w:hanging="720"/>
        <w:rPr>
          <w:highlight w:val="none"/>
        </w:rPr>
      </w:pPr>
      <w:r>
        <w:rPr>
          <w:rFonts w:ascii="Times New Roman" w:hAnsi="Times New Roman"/>
          <w:highlight w:val="none"/>
        </w:rPr>
        <w:t xml:space="preserve">Gregory, R. L. (2015). </w:t>
      </w:r>
      <w:r>
        <w:rPr>
          <w:rFonts w:ascii="Times New Roman" w:hAnsi="Times New Roman"/>
          <w:i/>
          <w:iCs/>
          <w:highlight w:val="none"/>
        </w:rPr>
        <w:t>Eye and Brain : The Psychology of Seeing - Fifth Edition</w:t>
      </w:r>
      <w:r>
        <w:rPr>
          <w:rFonts w:ascii="Times New Roman" w:hAnsi="Times New Roman"/>
          <w:highlight w:val="none"/>
        </w:rPr>
        <w:t>. Princeton University Press.</w:t>
      </w:r>
    </w:p>
    <w:p>
      <w:pPr>
        <w:pStyle w:val="3"/>
        <w:widowControl/>
        <w:spacing w:beforeAutospacing="0" w:afterAutospacing="0" w:line="480" w:lineRule="auto"/>
        <w:ind w:hanging="720"/>
        <w:rPr>
          <w:highlight w:val="none"/>
        </w:rPr>
      </w:pPr>
      <w:r>
        <w:rPr>
          <w:rFonts w:ascii="Times New Roman" w:hAnsi="Times New Roman"/>
          <w:highlight w:val="none"/>
        </w:rPr>
        <w:t xml:space="preserve">Han-Pile, B. (2009). Nietzsche and Amor Fati. </w:t>
      </w:r>
      <w:r>
        <w:rPr>
          <w:rFonts w:ascii="Times New Roman" w:hAnsi="Times New Roman"/>
          <w:i/>
          <w:iCs/>
          <w:highlight w:val="none"/>
        </w:rPr>
        <w:t>European Journal of Philosophy</w:t>
      </w:r>
      <w:r>
        <w:rPr>
          <w:rFonts w:ascii="Times New Roman" w:hAnsi="Times New Roman"/>
          <w:highlight w:val="none"/>
        </w:rPr>
        <w:t xml:space="preserve">, </w:t>
      </w:r>
      <w:r>
        <w:rPr>
          <w:rFonts w:ascii="Times New Roman" w:hAnsi="Times New Roman"/>
          <w:i/>
          <w:iCs/>
          <w:highlight w:val="none"/>
        </w:rPr>
        <w:t>19</w:t>
      </w:r>
      <w:r>
        <w:rPr>
          <w:rFonts w:ascii="Times New Roman" w:hAnsi="Times New Roman"/>
          <w:highlight w:val="none"/>
        </w:rPr>
        <w:t>(2), 224–261. https://doi.org/10.1111/j.1468-0378.2009.00380.x</w:t>
      </w:r>
    </w:p>
    <w:p>
      <w:pPr>
        <w:pStyle w:val="3"/>
        <w:widowControl/>
        <w:spacing w:beforeAutospacing="0" w:afterAutospacing="0" w:line="480" w:lineRule="auto"/>
        <w:ind w:hanging="720"/>
        <w:rPr>
          <w:rFonts w:ascii="Times New Roman" w:hAnsi="Times New Roman"/>
          <w:highlight w:val="none"/>
        </w:rPr>
      </w:pPr>
      <w:r>
        <w:rPr>
          <w:rFonts w:ascii="Times New Roman" w:hAnsi="Times New Roman"/>
          <w:highlight w:val="none"/>
        </w:rPr>
        <w:t xml:space="preserve">Haybron, D. (2020). </w:t>
      </w:r>
      <w:r>
        <w:rPr>
          <w:rFonts w:ascii="Times New Roman" w:hAnsi="Times New Roman"/>
          <w:i/>
          <w:iCs/>
          <w:highlight w:val="none"/>
        </w:rPr>
        <w:t>Happiness</w:t>
      </w:r>
      <w:r>
        <w:rPr>
          <w:rFonts w:ascii="Times New Roman" w:hAnsi="Times New Roman"/>
          <w:highlight w:val="none"/>
        </w:rPr>
        <w:t xml:space="preserve"> (E. N. Zalta, Ed.). Stanford Encyclopedia of Philosophy; Metaphysics Research Lab, Stanford University. </w:t>
      </w:r>
      <w:r>
        <w:rPr>
          <w:highlight w:val="none"/>
        </w:rPr>
        <w:fldChar w:fldCharType="begin"/>
      </w:r>
      <w:r>
        <w:rPr>
          <w:highlight w:val="none"/>
        </w:rPr>
        <w:instrText xml:space="preserve"> HYPERLINK "https://plato.stanford.edu/entries/happiness/#HedVerEmoSta" </w:instrText>
      </w:r>
      <w:r>
        <w:rPr>
          <w:highlight w:val="none"/>
        </w:rPr>
        <w:fldChar w:fldCharType="separate"/>
      </w:r>
      <w:r>
        <w:rPr>
          <w:rStyle w:val="8"/>
          <w:rFonts w:ascii="Times New Roman" w:hAnsi="Times New Roman"/>
          <w:highlight w:val="none"/>
        </w:rPr>
        <w:t>https://plato.stanford.edu/entries/happiness/#HedVerEmoSta</w:t>
      </w:r>
      <w:r>
        <w:rPr>
          <w:rStyle w:val="8"/>
          <w:rFonts w:ascii="Times New Roman" w:hAnsi="Times New Roman"/>
          <w:highlight w:val="none"/>
        </w:rPr>
        <w:fldChar w:fldCharType="end"/>
      </w:r>
    </w:p>
    <w:p>
      <w:pPr>
        <w:pStyle w:val="3"/>
        <w:widowControl/>
        <w:spacing w:beforeAutospacing="0" w:afterAutospacing="0" w:line="480" w:lineRule="auto"/>
        <w:ind w:hanging="720"/>
        <w:rPr>
          <w:rFonts w:ascii="Times New Roman" w:hAnsi="Times New Roman"/>
          <w:highlight w:val="none"/>
        </w:rPr>
      </w:pPr>
      <w:r>
        <w:rPr>
          <w:rFonts w:ascii="Times New Roman" w:hAnsi="Times New Roman"/>
          <w:highlight w:val="none"/>
        </w:rPr>
        <w:t xml:space="preserve">Jacobsen, B. (2007). </w:t>
      </w:r>
      <w:r>
        <w:rPr>
          <w:rFonts w:ascii="Times New Roman" w:hAnsi="Times New Roman"/>
          <w:i/>
          <w:iCs/>
          <w:highlight w:val="none"/>
        </w:rPr>
        <w:t>Invitation to existential psychology : a psychology for the unique human being and its applications in therapy</w:t>
      </w:r>
      <w:r>
        <w:rPr>
          <w:rFonts w:ascii="Times New Roman" w:hAnsi="Times New Roman"/>
          <w:highlight w:val="none"/>
        </w:rPr>
        <w:t>. John Wiley.</w:t>
      </w:r>
    </w:p>
    <w:p>
      <w:pPr>
        <w:pStyle w:val="3"/>
        <w:widowControl/>
        <w:spacing w:beforeAutospacing="0" w:afterAutospacing="0" w:line="480" w:lineRule="auto"/>
        <w:ind w:hanging="720"/>
        <w:rPr>
          <w:highlight w:val="none"/>
        </w:rPr>
      </w:pPr>
      <w:r>
        <w:rPr>
          <w:rFonts w:ascii="Times New Roman" w:hAnsi="Times New Roman"/>
          <w:highlight w:val="none"/>
        </w:rPr>
        <w:t xml:space="preserve">Kahneman, D. (2011). </w:t>
      </w:r>
      <w:r>
        <w:rPr>
          <w:rFonts w:ascii="Times New Roman" w:hAnsi="Times New Roman"/>
          <w:i/>
          <w:iCs/>
          <w:highlight w:val="none"/>
        </w:rPr>
        <w:t>Thinking, Fast and Slow</w:t>
      </w:r>
      <w:r>
        <w:rPr>
          <w:rFonts w:ascii="Times New Roman" w:hAnsi="Times New Roman"/>
          <w:highlight w:val="none"/>
        </w:rPr>
        <w:t>. Farrar, Straus and Giroux.</w:t>
      </w:r>
    </w:p>
    <w:p>
      <w:pPr>
        <w:pStyle w:val="3"/>
        <w:widowControl/>
        <w:spacing w:beforeAutospacing="0" w:afterAutospacing="0" w:line="480" w:lineRule="auto"/>
        <w:ind w:hanging="720"/>
        <w:rPr>
          <w:rFonts w:ascii="Times New Roman" w:hAnsi="Times New Roman"/>
          <w:highlight w:val="none"/>
        </w:rPr>
      </w:pPr>
      <w:r>
        <w:rPr>
          <w:rFonts w:ascii="Times New Roman" w:hAnsi="Times New Roman"/>
          <w:highlight w:val="none"/>
        </w:rPr>
        <w:t xml:space="preserve">Kant, I. (1889). </w:t>
      </w:r>
      <w:r>
        <w:rPr>
          <w:rFonts w:ascii="Times New Roman" w:hAnsi="Times New Roman"/>
          <w:i/>
          <w:iCs/>
          <w:highlight w:val="none"/>
        </w:rPr>
        <w:t>Foundations of the Metaphysics of Morals</w:t>
      </w:r>
      <w:r>
        <w:rPr>
          <w:rFonts w:ascii="Times New Roman" w:hAnsi="Times New Roman"/>
          <w:highlight w:val="none"/>
        </w:rPr>
        <w:t xml:space="preserve">. </w:t>
      </w:r>
      <w:r>
        <w:rPr>
          <w:rFonts w:ascii="Times New Roman" w:hAnsi="Times New Roman"/>
          <w:highlight w:val="none"/>
        </w:rPr>
        <w:fldChar w:fldCharType="begin"/>
      </w:r>
      <w:r>
        <w:rPr>
          <w:rFonts w:ascii="Times New Roman" w:hAnsi="Times New Roman"/>
          <w:highlight w:val="none"/>
        </w:rPr>
        <w:instrText xml:space="preserve"> HYPERLINK "http://www.sophia-project.org/uploads/1/3/9/5/13955288/kant_foundations.pdf" </w:instrText>
      </w:r>
      <w:r>
        <w:rPr>
          <w:rFonts w:ascii="Times New Roman" w:hAnsi="Times New Roman"/>
          <w:highlight w:val="none"/>
        </w:rPr>
        <w:fldChar w:fldCharType="separate"/>
      </w:r>
      <w:r>
        <w:rPr>
          <w:rStyle w:val="8"/>
          <w:rFonts w:ascii="Times New Roman" w:hAnsi="Times New Roman"/>
          <w:highlight w:val="none"/>
        </w:rPr>
        <w:t>http://www.sophia-project.org/uploads/1/3/9/5/13955288/kant_foundations.pdf</w:t>
      </w:r>
      <w:r>
        <w:rPr>
          <w:rFonts w:ascii="Times New Roman" w:hAnsi="Times New Roman"/>
          <w:highlight w:val="none"/>
        </w:rPr>
        <w:fldChar w:fldCharType="end"/>
      </w:r>
    </w:p>
    <w:p>
      <w:pPr>
        <w:pStyle w:val="3"/>
        <w:keepNext w:val="0"/>
        <w:keepLines w:val="0"/>
        <w:widowControl/>
        <w:suppressLineNumbers w:val="0"/>
        <w:pBdr>
          <w:left w:val="none" w:color="auto" w:sz="0" w:space="0"/>
        </w:pBdr>
        <w:spacing w:before="0" w:beforeAutospacing="0" w:after="0" w:afterAutospacing="0" w:line="480" w:lineRule="auto"/>
        <w:ind w:left="0" w:hanging="720"/>
        <w:rPr>
          <w:rFonts w:ascii="Times New Roman" w:hAnsi="Times New Roman"/>
          <w:highlight w:val="none"/>
        </w:rPr>
      </w:pPr>
      <w:r>
        <w:rPr>
          <w:rFonts w:hint="default" w:ascii="Times New Roman" w:hAnsi="Times New Roman" w:cs="Times New Roman"/>
          <w:sz w:val="24"/>
          <w:szCs w:val="24"/>
          <w:bdr w:val="none" w:color="auto" w:sz="0" w:space="0"/>
        </w:rPr>
        <w:t xml:space="preserve">Khalil, T. E., Albastaki, F., Obaid, L., Zaid, H. A., Dalalah, D., &amp; Alhassani, S. (2022). Ranking Risk Attitudes Using an Integrated AHP-TOPSIS Approach. </w:t>
      </w:r>
      <w:r>
        <w:rPr>
          <w:rFonts w:hint="default" w:ascii="Times New Roman" w:hAnsi="Times New Roman" w:cs="Times New Roman"/>
          <w:i/>
          <w:iCs/>
          <w:sz w:val="24"/>
          <w:szCs w:val="24"/>
          <w:bdr w:val="none" w:color="auto" w:sz="0" w:space="0"/>
        </w:rPr>
        <w:t>International Journal of Applied Decision Sciences</w:t>
      </w:r>
      <w:r>
        <w:rPr>
          <w:rFonts w:hint="default" w:ascii="Times New Roman" w:hAnsi="Times New Roman" w:cs="Times New Roman"/>
          <w:sz w:val="24"/>
          <w:szCs w:val="24"/>
          <w:bdr w:val="none" w:color="auto" w:sz="0" w:space="0"/>
        </w:rPr>
        <w:t xml:space="preserve">, </w:t>
      </w:r>
      <w:r>
        <w:rPr>
          <w:rFonts w:hint="default" w:ascii="Times New Roman" w:hAnsi="Times New Roman" w:cs="Times New Roman"/>
          <w:i/>
          <w:iCs/>
          <w:sz w:val="24"/>
          <w:szCs w:val="24"/>
          <w:bdr w:val="none" w:color="auto" w:sz="0" w:space="0"/>
        </w:rPr>
        <w:t>1</w:t>
      </w:r>
      <w:r>
        <w:rPr>
          <w:rFonts w:hint="default" w:ascii="Times New Roman" w:hAnsi="Times New Roman" w:cs="Times New Roman"/>
          <w:sz w:val="24"/>
          <w:szCs w:val="24"/>
          <w:bdr w:val="none" w:color="auto" w:sz="0" w:space="0"/>
        </w:rPr>
        <w:t>(1), 1. https://doi.org/10.1504/ijads.2022.10037216</w:t>
      </w:r>
    </w:p>
    <w:p>
      <w:pPr>
        <w:pStyle w:val="3"/>
        <w:widowControl/>
        <w:spacing w:beforeAutospacing="0" w:afterAutospacing="0" w:line="480" w:lineRule="auto"/>
        <w:ind w:hanging="720"/>
        <w:rPr>
          <w:rFonts w:ascii="Times New Roman" w:hAnsi="Times New Roman"/>
          <w:highlight w:val="none"/>
        </w:rPr>
      </w:pPr>
      <w:r>
        <w:rPr>
          <w:rFonts w:ascii="Times New Roman" w:hAnsi="Times New Roman"/>
          <w:highlight w:val="none"/>
        </w:rPr>
        <w:t xml:space="preserve">Kohler, W. (1967). Gestalt psychology. </w:t>
      </w:r>
      <w:r>
        <w:rPr>
          <w:rFonts w:ascii="Times New Roman" w:hAnsi="Times New Roman"/>
          <w:i/>
          <w:iCs/>
          <w:highlight w:val="none"/>
        </w:rPr>
        <w:t>Psychologische Forschung</w:t>
      </w:r>
      <w:r>
        <w:rPr>
          <w:rFonts w:ascii="Times New Roman" w:hAnsi="Times New Roman"/>
          <w:highlight w:val="none"/>
        </w:rPr>
        <w:t xml:space="preserve">, </w:t>
      </w:r>
      <w:r>
        <w:rPr>
          <w:rFonts w:ascii="Times New Roman" w:hAnsi="Times New Roman"/>
          <w:i/>
          <w:iCs/>
          <w:highlight w:val="none"/>
        </w:rPr>
        <w:t>31</w:t>
      </w:r>
      <w:r>
        <w:rPr>
          <w:rFonts w:ascii="Times New Roman" w:hAnsi="Times New Roman"/>
          <w:highlight w:val="none"/>
        </w:rPr>
        <w:t xml:space="preserve">(1), XVIII–XXX. </w:t>
      </w:r>
      <w:r>
        <w:rPr>
          <w:rFonts w:ascii="Times New Roman" w:hAnsi="Times New Roman"/>
          <w:highlight w:val="none"/>
        </w:rPr>
        <w:fldChar w:fldCharType="begin"/>
      </w:r>
      <w:r>
        <w:rPr>
          <w:rFonts w:ascii="Times New Roman" w:hAnsi="Times New Roman"/>
          <w:highlight w:val="none"/>
        </w:rPr>
        <w:instrText xml:space="preserve"> HYPERLINK "https://doi.org/10.1007/bf00422382" </w:instrText>
      </w:r>
      <w:r>
        <w:rPr>
          <w:rFonts w:ascii="Times New Roman" w:hAnsi="Times New Roman"/>
          <w:highlight w:val="none"/>
        </w:rPr>
        <w:fldChar w:fldCharType="separate"/>
      </w:r>
      <w:r>
        <w:rPr>
          <w:rStyle w:val="8"/>
          <w:rFonts w:ascii="Times New Roman" w:hAnsi="Times New Roman"/>
          <w:highlight w:val="none"/>
        </w:rPr>
        <w:t>https://doi.org/10.1007/bf00422382</w:t>
      </w:r>
      <w:r>
        <w:rPr>
          <w:rFonts w:ascii="Times New Roman" w:hAnsi="Times New Roman"/>
          <w:highlight w:val="none"/>
        </w:rPr>
        <w:fldChar w:fldCharType="end"/>
      </w:r>
    </w:p>
    <w:p>
      <w:pPr>
        <w:pStyle w:val="3"/>
        <w:keepNext w:val="0"/>
        <w:keepLines w:val="0"/>
        <w:widowControl/>
        <w:suppressLineNumbers w:val="0"/>
        <w:pBdr>
          <w:left w:val="none" w:color="auto" w:sz="0" w:space="0"/>
        </w:pBdr>
        <w:spacing w:before="0" w:beforeAutospacing="0" w:after="0" w:afterAutospacing="0" w:line="480" w:lineRule="auto"/>
        <w:ind w:left="0" w:hanging="720"/>
        <w:rPr>
          <w:rFonts w:ascii="Times New Roman" w:hAnsi="Times New Roman"/>
          <w:highlight w:val="none"/>
        </w:rPr>
      </w:pPr>
      <w:r>
        <w:rPr>
          <w:rFonts w:hint="default" w:ascii="Times New Roman" w:hAnsi="Times New Roman" w:cs="Times New Roman"/>
          <w:sz w:val="24"/>
          <w:szCs w:val="24"/>
          <w:bdr w:val="none" w:color="auto" w:sz="0" w:space="0"/>
        </w:rPr>
        <w:t xml:space="preserve">Laozi. (2018). </w:t>
      </w:r>
      <w:r>
        <w:rPr>
          <w:rFonts w:hint="default" w:ascii="Times New Roman" w:hAnsi="Times New Roman" w:cs="Times New Roman"/>
          <w:i/>
          <w:iCs/>
          <w:sz w:val="24"/>
          <w:szCs w:val="24"/>
          <w:bdr w:val="none" w:color="auto" w:sz="0" w:space="0"/>
        </w:rPr>
        <w:t>Laws divine and human</w:t>
      </w:r>
      <w:r>
        <w:rPr>
          <w:rFonts w:hint="default" w:ascii="Times New Roman" w:hAnsi="Times New Roman" w:cs="Times New Roman"/>
          <w:sz w:val="24"/>
          <w:szCs w:val="24"/>
          <w:bdr w:val="none" w:color="auto" w:sz="0" w:space="0"/>
        </w:rPr>
        <w:t xml:space="preserve"> (Y. Xu, Trans.). Zhonghua Book Company.</w:t>
      </w:r>
    </w:p>
    <w:p>
      <w:pPr>
        <w:pStyle w:val="3"/>
        <w:widowControl/>
        <w:spacing w:beforeAutospacing="0" w:afterAutospacing="0" w:line="480" w:lineRule="auto"/>
        <w:ind w:hanging="720"/>
        <w:rPr>
          <w:highlight w:val="none"/>
        </w:rPr>
      </w:pPr>
      <w:r>
        <w:rPr>
          <w:rFonts w:ascii="Times New Roman" w:hAnsi="Times New Roman"/>
          <w:highlight w:val="none"/>
        </w:rPr>
        <w:t xml:space="preserve">Lelkes, Y., Krosnick, J. A., Marx, D. M., Judd, C. M., &amp; Park, B. (2012). Complete anonymity compromises the accuracy of self-reports. </w:t>
      </w:r>
      <w:r>
        <w:rPr>
          <w:rFonts w:ascii="Times New Roman" w:hAnsi="Times New Roman"/>
          <w:i/>
          <w:iCs/>
          <w:highlight w:val="none"/>
        </w:rPr>
        <w:t>Journal of Experimental Social Psychology</w:t>
      </w:r>
      <w:r>
        <w:rPr>
          <w:rFonts w:ascii="Times New Roman" w:hAnsi="Times New Roman"/>
          <w:highlight w:val="none"/>
        </w:rPr>
        <w:t xml:space="preserve">, </w:t>
      </w:r>
      <w:r>
        <w:rPr>
          <w:rFonts w:ascii="Times New Roman" w:hAnsi="Times New Roman"/>
          <w:i/>
          <w:iCs/>
          <w:highlight w:val="none"/>
        </w:rPr>
        <w:t>48</w:t>
      </w:r>
      <w:r>
        <w:rPr>
          <w:rFonts w:ascii="Times New Roman" w:hAnsi="Times New Roman"/>
          <w:highlight w:val="none"/>
        </w:rPr>
        <w:t>(6), 1291–1299. https://doi.org/10.1016/j.jesp.2012.07.002</w:t>
      </w:r>
    </w:p>
    <w:p>
      <w:pPr>
        <w:pStyle w:val="3"/>
        <w:widowControl/>
        <w:spacing w:beforeAutospacing="0" w:afterAutospacing="0" w:line="480" w:lineRule="auto"/>
        <w:ind w:hanging="720"/>
        <w:rPr>
          <w:highlight w:val="none"/>
        </w:rPr>
      </w:pPr>
      <w:r>
        <w:rPr>
          <w:rFonts w:ascii="Times New Roman" w:hAnsi="Times New Roman"/>
          <w:highlight w:val="none"/>
        </w:rPr>
        <w:t xml:space="preserve">Maslow, A. H. (1943). A Theory of Human Motivation. </w:t>
      </w:r>
      <w:r>
        <w:rPr>
          <w:rFonts w:ascii="Times New Roman" w:hAnsi="Times New Roman"/>
          <w:i/>
          <w:iCs/>
          <w:highlight w:val="none"/>
        </w:rPr>
        <w:t>Psychological Review</w:t>
      </w:r>
      <w:r>
        <w:rPr>
          <w:rFonts w:ascii="Times New Roman" w:hAnsi="Times New Roman"/>
          <w:highlight w:val="none"/>
        </w:rPr>
        <w:t xml:space="preserve">, </w:t>
      </w:r>
      <w:r>
        <w:rPr>
          <w:rFonts w:ascii="Times New Roman" w:hAnsi="Times New Roman"/>
          <w:i/>
          <w:iCs/>
          <w:highlight w:val="none"/>
        </w:rPr>
        <w:t>50</w:t>
      </w:r>
      <w:r>
        <w:rPr>
          <w:rFonts w:ascii="Times New Roman" w:hAnsi="Times New Roman"/>
          <w:highlight w:val="none"/>
        </w:rPr>
        <w:t>(4), 370–396.</w:t>
      </w:r>
    </w:p>
    <w:p>
      <w:pPr>
        <w:pStyle w:val="3"/>
        <w:widowControl/>
        <w:spacing w:beforeAutospacing="0" w:afterAutospacing="0" w:line="480" w:lineRule="auto"/>
        <w:ind w:hanging="720"/>
        <w:rPr>
          <w:highlight w:val="none"/>
        </w:rPr>
      </w:pPr>
      <w:r>
        <w:rPr>
          <w:rFonts w:ascii="Times New Roman" w:hAnsi="Times New Roman"/>
          <w:highlight w:val="none"/>
        </w:rPr>
        <w:t xml:space="preserve">Rockwood, N. (2018). LOCKE ON EMPIRICAL KNOWLEDGE. </w:t>
      </w:r>
      <w:r>
        <w:rPr>
          <w:rFonts w:ascii="Times New Roman" w:hAnsi="Times New Roman"/>
          <w:i/>
          <w:iCs/>
          <w:highlight w:val="none"/>
        </w:rPr>
        <w:t>History of Philosophy Quarterly</w:t>
      </w:r>
      <w:r>
        <w:rPr>
          <w:rFonts w:ascii="Times New Roman" w:hAnsi="Times New Roman"/>
          <w:highlight w:val="none"/>
        </w:rPr>
        <w:t xml:space="preserve">, </w:t>
      </w:r>
      <w:r>
        <w:rPr>
          <w:rFonts w:ascii="Times New Roman" w:hAnsi="Times New Roman"/>
          <w:i/>
          <w:iCs/>
          <w:highlight w:val="none"/>
        </w:rPr>
        <w:t>35</w:t>
      </w:r>
      <w:r>
        <w:rPr>
          <w:rFonts w:ascii="Times New Roman" w:hAnsi="Times New Roman"/>
          <w:highlight w:val="none"/>
        </w:rPr>
        <w:t>(4), 317–336. https://doi.org/10.2307/48570921</w:t>
      </w:r>
    </w:p>
    <w:p>
      <w:pPr>
        <w:pStyle w:val="3"/>
        <w:widowControl/>
        <w:spacing w:beforeAutospacing="0" w:afterAutospacing="0" w:line="480" w:lineRule="auto"/>
        <w:ind w:hanging="720"/>
        <w:rPr>
          <w:highlight w:val="none"/>
        </w:rPr>
      </w:pPr>
      <w:r>
        <w:rPr>
          <w:rFonts w:ascii="Times New Roman" w:hAnsi="Times New Roman"/>
          <w:highlight w:val="none"/>
        </w:rPr>
        <w:t xml:space="preserve">Ryan, R. M., &amp; Deci, E. L. (2000). Self-Determination Theory and the Facilitation of Intrinsic Motivation, Social Development, and Well-Being. </w:t>
      </w:r>
      <w:r>
        <w:rPr>
          <w:rFonts w:ascii="Times New Roman" w:hAnsi="Times New Roman"/>
          <w:i/>
          <w:iCs/>
          <w:highlight w:val="none"/>
        </w:rPr>
        <w:t>American Psychologist</w:t>
      </w:r>
      <w:r>
        <w:rPr>
          <w:rFonts w:ascii="Times New Roman" w:hAnsi="Times New Roman"/>
          <w:highlight w:val="none"/>
        </w:rPr>
        <w:t xml:space="preserve">, </w:t>
      </w:r>
      <w:r>
        <w:rPr>
          <w:rFonts w:ascii="Times New Roman" w:hAnsi="Times New Roman"/>
          <w:i/>
          <w:iCs/>
          <w:highlight w:val="none"/>
        </w:rPr>
        <w:t>55</w:t>
      </w:r>
      <w:r>
        <w:rPr>
          <w:rFonts w:ascii="Times New Roman" w:hAnsi="Times New Roman"/>
          <w:highlight w:val="none"/>
        </w:rPr>
        <w:t>(1), 68–78.</w:t>
      </w:r>
    </w:p>
    <w:p>
      <w:pPr>
        <w:pStyle w:val="3"/>
        <w:widowControl/>
        <w:spacing w:beforeAutospacing="0" w:afterAutospacing="0" w:line="480" w:lineRule="auto"/>
        <w:ind w:hanging="720"/>
        <w:rPr>
          <w:highlight w:val="none"/>
        </w:rPr>
      </w:pPr>
      <w:r>
        <w:rPr>
          <w:rFonts w:ascii="Times New Roman" w:hAnsi="Times New Roman"/>
          <w:highlight w:val="none"/>
        </w:rPr>
        <w:t xml:space="preserve">Sartre, J.-P. (1946). </w:t>
      </w:r>
      <w:r>
        <w:rPr>
          <w:rFonts w:ascii="Times New Roman" w:hAnsi="Times New Roman"/>
          <w:i/>
          <w:iCs/>
          <w:highlight w:val="none"/>
        </w:rPr>
        <w:t xml:space="preserve">Existentialism is a humanism </w:t>
      </w:r>
      <w:r>
        <w:rPr>
          <w:rFonts w:ascii="Times New Roman" w:hAnsi="Times New Roman"/>
          <w:highlight w:val="none"/>
        </w:rPr>
        <w:t>. Yale University Press.</w:t>
      </w:r>
    </w:p>
    <w:p>
      <w:pPr>
        <w:pStyle w:val="3"/>
        <w:widowControl/>
        <w:spacing w:beforeAutospacing="0" w:afterAutospacing="0" w:line="480" w:lineRule="auto"/>
        <w:ind w:hanging="720"/>
        <w:rPr>
          <w:highlight w:val="none"/>
        </w:rPr>
      </w:pPr>
      <w:r>
        <w:rPr>
          <w:rFonts w:ascii="Times New Roman" w:hAnsi="Times New Roman"/>
          <w:highlight w:val="none"/>
        </w:rPr>
        <w:t xml:space="preserve">Schumacher, E. F. (1978). </w:t>
      </w:r>
      <w:r>
        <w:rPr>
          <w:rFonts w:ascii="Times New Roman" w:hAnsi="Times New Roman"/>
          <w:i/>
          <w:iCs/>
          <w:highlight w:val="none"/>
        </w:rPr>
        <w:t>A guide for the perplexed</w:t>
      </w:r>
      <w:r>
        <w:rPr>
          <w:rFonts w:ascii="Times New Roman" w:hAnsi="Times New Roman"/>
          <w:highlight w:val="none"/>
        </w:rPr>
        <w:t>. Harper &amp; Row.</w:t>
      </w:r>
    </w:p>
    <w:p>
      <w:pPr>
        <w:pStyle w:val="3"/>
        <w:widowControl/>
        <w:spacing w:beforeAutospacing="0" w:afterAutospacing="0" w:line="480" w:lineRule="auto"/>
        <w:ind w:hanging="720"/>
        <w:rPr>
          <w:highlight w:val="none"/>
        </w:rPr>
      </w:pPr>
      <w:r>
        <w:rPr>
          <w:rFonts w:ascii="Times New Roman" w:hAnsi="Times New Roman"/>
          <w:highlight w:val="none"/>
        </w:rPr>
        <w:t xml:space="preserve">Steger, M. F., Frazier, P., Oishi, S., &amp; Kaler, M. (2006). The meaning in life questionnaire: Assessing the presence of and search for meaning in life. </w:t>
      </w:r>
      <w:r>
        <w:rPr>
          <w:rFonts w:ascii="Times New Roman" w:hAnsi="Times New Roman"/>
          <w:i/>
          <w:iCs/>
          <w:highlight w:val="none"/>
        </w:rPr>
        <w:t>Journal of Counseling Psychology</w:t>
      </w:r>
      <w:r>
        <w:rPr>
          <w:rFonts w:ascii="Times New Roman" w:hAnsi="Times New Roman"/>
          <w:highlight w:val="none"/>
        </w:rPr>
        <w:t xml:space="preserve">, </w:t>
      </w:r>
      <w:r>
        <w:rPr>
          <w:rFonts w:ascii="Times New Roman" w:hAnsi="Times New Roman"/>
          <w:i/>
          <w:iCs/>
          <w:highlight w:val="none"/>
        </w:rPr>
        <w:t>53</w:t>
      </w:r>
      <w:r>
        <w:rPr>
          <w:rFonts w:ascii="Times New Roman" w:hAnsi="Times New Roman"/>
          <w:highlight w:val="none"/>
        </w:rPr>
        <w:t>(1), 80–93. https://doi.org/10.1037/0022-0167.53.1.80</w:t>
      </w:r>
    </w:p>
    <w:p>
      <w:pPr>
        <w:pStyle w:val="3"/>
        <w:widowControl/>
        <w:spacing w:beforeAutospacing="0" w:afterAutospacing="0" w:line="480" w:lineRule="auto"/>
        <w:ind w:hanging="720"/>
        <w:rPr>
          <w:highlight w:val="none"/>
        </w:rPr>
      </w:pPr>
      <w:r>
        <w:rPr>
          <w:rFonts w:ascii="Times New Roman" w:hAnsi="Times New Roman"/>
          <w:highlight w:val="none"/>
        </w:rPr>
        <w:t xml:space="preserve">Stone, A. A., Mackie, C. J., Policy-Relevant, I. A., &amp; National Research Council (U.S.). Committee On National Statistics. (2013). </w:t>
      </w:r>
      <w:r>
        <w:rPr>
          <w:rFonts w:ascii="Times New Roman" w:hAnsi="Times New Roman"/>
          <w:i/>
          <w:iCs/>
          <w:highlight w:val="none"/>
        </w:rPr>
        <w:t>Subjective well-being : measuring happiness, suffering, and other dimensions of experience</w:t>
      </w:r>
      <w:r>
        <w:rPr>
          <w:rFonts w:ascii="Times New Roman" w:hAnsi="Times New Roman"/>
          <w:highlight w:val="none"/>
        </w:rPr>
        <w:t>. The National Academies Press.</w:t>
      </w:r>
    </w:p>
    <w:p>
      <w:pPr>
        <w:pStyle w:val="3"/>
        <w:widowControl/>
        <w:spacing w:beforeAutospacing="0" w:afterAutospacing="0" w:line="480" w:lineRule="auto"/>
        <w:ind w:hanging="720"/>
        <w:rPr>
          <w:highlight w:val="none"/>
        </w:rPr>
      </w:pPr>
      <w:r>
        <w:rPr>
          <w:rFonts w:ascii="Times New Roman" w:hAnsi="Times New Roman"/>
          <w:highlight w:val="none"/>
        </w:rPr>
        <w:t xml:space="preserve">Tal Ben-Shahar. (2007). </w:t>
      </w:r>
      <w:r>
        <w:rPr>
          <w:rFonts w:ascii="Times New Roman" w:hAnsi="Times New Roman"/>
          <w:i/>
          <w:iCs/>
          <w:highlight w:val="none"/>
        </w:rPr>
        <w:t>Happier : learn the secrets to daily joy and lasting fulfillment</w:t>
      </w:r>
      <w:r>
        <w:rPr>
          <w:rFonts w:ascii="Times New Roman" w:hAnsi="Times New Roman"/>
          <w:highlight w:val="none"/>
        </w:rPr>
        <w:t>. Mcgraw-Hill.</w:t>
      </w:r>
    </w:p>
    <w:p>
      <w:pPr>
        <w:pStyle w:val="3"/>
        <w:widowControl/>
        <w:spacing w:beforeAutospacing="0" w:afterAutospacing="0" w:line="480" w:lineRule="auto"/>
        <w:ind w:hanging="720"/>
        <w:rPr>
          <w:rFonts w:ascii="Times New Roman" w:hAnsi="Times New Roman"/>
          <w:highlight w:val="none"/>
        </w:rPr>
      </w:pPr>
      <w:r>
        <w:rPr>
          <w:rFonts w:ascii="Times New Roman" w:hAnsi="Times New Roman"/>
          <w:highlight w:val="none"/>
        </w:rPr>
        <w:t xml:space="preserve">Valdes-Stauber, J. (2016). [Man at the Frontier of his Being: Scope of the Concept of “Limit Situation” in Psychiatry and Psychotherapy Following Jaspers’ Existential Ontology]. </w:t>
      </w:r>
      <w:r>
        <w:rPr>
          <w:rFonts w:ascii="Times New Roman" w:hAnsi="Times New Roman"/>
          <w:i/>
          <w:iCs/>
          <w:highlight w:val="none"/>
        </w:rPr>
        <w:t>Fortschritte Der Neurologie-Psychiatrie</w:t>
      </w:r>
      <w:r>
        <w:rPr>
          <w:rFonts w:ascii="Times New Roman" w:hAnsi="Times New Roman"/>
          <w:highlight w:val="none"/>
        </w:rPr>
        <w:t xml:space="preserve">, </w:t>
      </w:r>
      <w:r>
        <w:rPr>
          <w:rFonts w:ascii="Times New Roman" w:hAnsi="Times New Roman"/>
          <w:i/>
          <w:iCs/>
          <w:highlight w:val="none"/>
        </w:rPr>
        <w:t>84</w:t>
      </w:r>
      <w:r>
        <w:rPr>
          <w:rFonts w:ascii="Times New Roman" w:hAnsi="Times New Roman"/>
          <w:highlight w:val="none"/>
        </w:rPr>
        <w:t xml:space="preserve">(1), 19–27. </w:t>
      </w:r>
      <w:r>
        <w:rPr>
          <w:rFonts w:ascii="Times New Roman" w:hAnsi="Times New Roman"/>
          <w:highlight w:val="none"/>
        </w:rPr>
        <w:fldChar w:fldCharType="begin"/>
      </w:r>
      <w:r>
        <w:rPr>
          <w:rFonts w:ascii="Times New Roman" w:hAnsi="Times New Roman"/>
          <w:highlight w:val="none"/>
        </w:rPr>
        <w:instrText xml:space="preserve"> HYPERLINK "https://doi.org/10.1055/s-0042-101167" </w:instrText>
      </w:r>
      <w:r>
        <w:rPr>
          <w:rFonts w:ascii="Times New Roman" w:hAnsi="Times New Roman"/>
          <w:highlight w:val="none"/>
        </w:rPr>
        <w:fldChar w:fldCharType="separate"/>
      </w:r>
      <w:r>
        <w:rPr>
          <w:rStyle w:val="8"/>
          <w:rFonts w:ascii="Times New Roman" w:hAnsi="Times New Roman"/>
          <w:highlight w:val="none"/>
        </w:rPr>
        <w:t>https://doi.org/10.1055/s-0042-101167</w:t>
      </w:r>
      <w:r>
        <w:rPr>
          <w:rFonts w:ascii="Times New Roman" w:hAnsi="Times New Roman"/>
          <w:highlight w:val="none"/>
        </w:rPr>
        <w:fldChar w:fldCharType="end"/>
      </w:r>
    </w:p>
    <w:p>
      <w:pPr>
        <w:pStyle w:val="3"/>
        <w:keepNext w:val="0"/>
        <w:keepLines w:val="0"/>
        <w:widowControl/>
        <w:suppressLineNumbers w:val="0"/>
        <w:pBdr>
          <w:left w:val="none" w:color="auto" w:sz="0" w:space="0"/>
        </w:pBdr>
        <w:spacing w:before="0" w:beforeAutospacing="0" w:after="0" w:afterAutospacing="0" w:line="480" w:lineRule="auto"/>
        <w:ind w:left="0" w:hanging="720"/>
        <w:rPr>
          <w:rFonts w:ascii="Times New Roman" w:hAnsi="Times New Roman"/>
          <w:highlight w:val="none"/>
        </w:rPr>
      </w:pPr>
      <w:r>
        <w:rPr>
          <w:rFonts w:hint="default" w:ascii="Times New Roman" w:hAnsi="Times New Roman" w:cs="Times New Roman"/>
          <w:sz w:val="24"/>
          <w:szCs w:val="24"/>
          <w:bdr w:val="none" w:color="auto" w:sz="0" w:space="0"/>
        </w:rPr>
        <w:t xml:space="preserve">Warburton, N. (2012). </w:t>
      </w:r>
      <w:r>
        <w:rPr>
          <w:rFonts w:hint="default" w:ascii="Times New Roman" w:hAnsi="Times New Roman" w:cs="Times New Roman"/>
          <w:i/>
          <w:iCs/>
          <w:sz w:val="24"/>
          <w:szCs w:val="24"/>
          <w:bdr w:val="none" w:color="auto" w:sz="0" w:space="0"/>
        </w:rPr>
        <w:t>A little history of philosophy</w:t>
      </w:r>
      <w:r>
        <w:rPr>
          <w:rFonts w:hint="default" w:ascii="Times New Roman" w:hAnsi="Times New Roman" w:cs="Times New Roman"/>
          <w:sz w:val="24"/>
          <w:szCs w:val="24"/>
          <w:bdr w:val="none" w:color="auto" w:sz="0" w:space="0"/>
        </w:rPr>
        <w:t>. Yale University Press.</w:t>
      </w:r>
    </w:p>
    <w:p>
      <w:pPr>
        <w:pStyle w:val="3"/>
        <w:widowControl/>
        <w:spacing w:beforeAutospacing="0" w:afterAutospacing="0" w:line="480" w:lineRule="auto"/>
        <w:ind w:hanging="720"/>
        <w:rPr>
          <w:highlight w:val="none"/>
        </w:rPr>
      </w:pPr>
      <w:r>
        <w:rPr>
          <w:rFonts w:ascii="Times New Roman" w:hAnsi="Times New Roman"/>
          <w:highlight w:val="none"/>
        </w:rPr>
        <w:t xml:space="preserve">Yutang Lin. (2018). </w:t>
      </w:r>
      <w:r>
        <w:rPr>
          <w:rFonts w:ascii="Times New Roman" w:hAnsi="Times New Roman"/>
          <w:i/>
          <w:iCs/>
          <w:highlight w:val="none"/>
        </w:rPr>
        <w:t>The Gay Genius：The Life and Times of Su Tungpo</w:t>
      </w:r>
      <w:r>
        <w:rPr>
          <w:rFonts w:ascii="Times New Roman" w:hAnsi="Times New Roman"/>
          <w:highlight w:val="none"/>
        </w:rPr>
        <w:t>. Hunan Literature and Art Publishing House.</w:t>
      </w:r>
    </w:p>
    <w:p/>
    <w:p/>
    <w:p>
      <w:pPr>
        <w:keepNext w:val="0"/>
        <w:keepLines w:val="0"/>
        <w:pageBreakBefore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b/>
          <w:bCs/>
          <w:sz w:val="24"/>
          <w:szCs w:val="24"/>
          <w:lang w:val="en-US" w:eastAsia="zh-CN"/>
        </w:rPr>
      </w:pPr>
    </w:p>
    <w:p>
      <w:pPr>
        <w:keepNext w:val="0"/>
        <w:keepLines w:val="0"/>
        <w:pageBreakBefore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b/>
          <w:bCs/>
          <w:sz w:val="24"/>
          <w:szCs w:val="24"/>
          <w:lang w:val="en-US" w:eastAsia="zh-CN"/>
        </w:rPr>
      </w:pPr>
    </w:p>
    <w:p>
      <w:pPr>
        <w:keepNext w:val="0"/>
        <w:keepLines w:val="0"/>
        <w:pageBreakBefore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b/>
          <w:bCs/>
          <w:sz w:val="24"/>
          <w:szCs w:val="24"/>
          <w:lang w:val="en-US" w:eastAsia="zh-CN"/>
        </w:rPr>
      </w:pPr>
    </w:p>
    <w:p>
      <w:pPr>
        <w:keepNext w:val="0"/>
        <w:keepLines w:val="0"/>
        <w:pageBreakBefore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b/>
          <w:bCs/>
          <w:sz w:val="24"/>
          <w:szCs w:val="24"/>
          <w:lang w:val="en-US" w:eastAsia="zh-CN"/>
        </w:rPr>
      </w:pPr>
    </w:p>
    <w:p>
      <w:pPr>
        <w:keepNext w:val="0"/>
        <w:keepLines w:val="0"/>
        <w:pageBreakBefore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b/>
          <w:bCs/>
          <w:sz w:val="24"/>
          <w:szCs w:val="24"/>
          <w:lang w:val="en-US" w:eastAsia="zh-CN"/>
        </w:rPr>
      </w:pPr>
    </w:p>
    <w:p>
      <w:pPr>
        <w:keepNext w:val="0"/>
        <w:keepLines w:val="0"/>
        <w:pageBreakBefore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b/>
          <w:bCs/>
          <w:sz w:val="24"/>
          <w:szCs w:val="24"/>
          <w:lang w:val="en-US" w:eastAsia="zh-CN"/>
        </w:rPr>
      </w:pPr>
    </w:p>
    <w:p>
      <w:pPr>
        <w:keepNext w:val="0"/>
        <w:keepLines w:val="0"/>
        <w:pageBreakBefore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b/>
          <w:bCs/>
          <w:sz w:val="24"/>
          <w:szCs w:val="24"/>
          <w:lang w:val="en-US" w:eastAsia="zh-CN"/>
        </w:rPr>
      </w:pPr>
    </w:p>
    <w:p>
      <w:pPr>
        <w:keepNext w:val="0"/>
        <w:keepLines w:val="0"/>
        <w:pageBreakBefore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Footnotes</w:t>
      </w:r>
    </w:p>
    <w:p>
      <w:pPr>
        <w:keepNext w:val="0"/>
        <w:keepLines w:val="0"/>
        <w:pageBreakBefore w:val="0"/>
        <w:kinsoku/>
        <w:wordWrap/>
        <w:overflowPunct/>
        <w:topLinePunct w:val="0"/>
        <w:autoSpaceDE/>
        <w:autoSpaceDN/>
        <w:bidi w:val="0"/>
        <w:adjustRightInd/>
        <w:snapToGrid/>
        <w:spacing w:line="480" w:lineRule="auto"/>
        <w:ind w:firstLine="420" w:firstLineChars="0"/>
        <w:jc w:val="left"/>
        <w:textAlignment w:val="auto"/>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superscript"/>
          <w:lang w:val="en-US" w:eastAsia="zh-CN"/>
        </w:rPr>
        <w:t xml:space="preserve">1 </w:t>
      </w:r>
      <w:r>
        <w:rPr>
          <w:rFonts w:hint="default" w:ascii="Times New Roman" w:hAnsi="Times New Roman" w:cs="Times New Roman"/>
          <w:sz w:val="24"/>
          <w:szCs w:val="24"/>
          <w:vertAlign w:val="baseline"/>
          <w:lang w:val="en-US" w:eastAsia="zh-CN"/>
        </w:rPr>
        <w:t>According to Kahnman (2011), system II in mind “allocates attention to the effortful mental activities that demand it.”</w:t>
      </w:r>
    </w:p>
    <w:p>
      <w:pPr>
        <w:keepNext w:val="0"/>
        <w:keepLines w:val="0"/>
        <w:pageBreakBefore w:val="0"/>
        <w:kinsoku/>
        <w:wordWrap/>
        <w:overflowPunct/>
        <w:topLinePunct w:val="0"/>
        <w:autoSpaceDE/>
        <w:autoSpaceDN/>
        <w:bidi w:val="0"/>
        <w:adjustRightInd/>
        <w:snapToGrid/>
        <w:spacing w:line="480" w:lineRule="auto"/>
        <w:ind w:firstLine="420" w:firstLineChars="0"/>
        <w:jc w:val="left"/>
        <w:textAlignment w:val="auto"/>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superscript"/>
          <w:lang w:val="en-US" w:eastAsia="zh-CN"/>
        </w:rPr>
        <w:t>2</w:t>
      </w:r>
      <w:r>
        <w:rPr>
          <w:rFonts w:hint="default" w:ascii="Times New Roman" w:hAnsi="Times New Roman" w:cs="Times New Roman"/>
          <w:sz w:val="24"/>
          <w:szCs w:val="24"/>
          <w:vertAlign w:val="baseline"/>
          <w:lang w:val="en-US" w:eastAsia="zh-CN"/>
        </w:rPr>
        <w:t>According to Kahnman (2011), system I in mind “ operates automatically and quickly, with little or no effort and no sense of voluntary control.”</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firstLine="420" w:firstLineChars="0"/>
        <w:jc w:val="left"/>
        <w:textAlignment w:val="auto"/>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superscript"/>
          <w:lang w:val="en-US" w:eastAsia="zh-CN"/>
        </w:rPr>
        <w:t>3</w:t>
      </w:r>
      <w:r>
        <w:rPr>
          <w:rFonts w:hint="default" w:ascii="Times New Roman" w:hAnsi="Times New Roman" w:cs="Times New Roman"/>
          <w:sz w:val="24"/>
          <w:szCs w:val="24"/>
          <w:vertAlign w:val="baseline"/>
          <w:lang w:val="en-US" w:eastAsia="zh-CN"/>
        </w:rPr>
        <w:t xml:space="preserve"> </w:t>
      </w:r>
      <w:r>
        <w:rPr>
          <w:rFonts w:hint="default" w:ascii="Times New Roman" w:hAnsi="Times New Roman" w:cs="Times New Roman"/>
          <w:color w:val="0E101A"/>
          <w:sz w:val="24"/>
          <w:szCs w:val="24"/>
        </w:rPr>
        <w:t>The image is from Tal Ben-Shahar. (2007). </w:t>
      </w:r>
      <w:r>
        <w:rPr>
          <w:rStyle w:val="7"/>
          <w:rFonts w:hint="default" w:ascii="Times New Roman" w:hAnsi="Times New Roman" w:cs="Times New Roman"/>
          <w:color w:val="0E101A"/>
          <w:sz w:val="24"/>
          <w:szCs w:val="24"/>
        </w:rPr>
        <w:t>Happier : learn the secrets to daily joy and lasting fulfillment</w:t>
      </w:r>
      <w:r>
        <w:rPr>
          <w:rFonts w:hint="default" w:ascii="Times New Roman" w:hAnsi="Times New Roman" w:cs="Times New Roman"/>
          <w:color w:val="0E101A"/>
          <w:sz w:val="24"/>
          <w:szCs w:val="24"/>
        </w:rPr>
        <w:t>. Mcgraw-Hill.</w:t>
      </w:r>
    </w:p>
    <w:p>
      <w:pPr>
        <w:keepNext w:val="0"/>
        <w:keepLines w:val="0"/>
        <w:pageBreakBefore w:val="0"/>
        <w:kinsoku/>
        <w:wordWrap/>
        <w:overflowPunct/>
        <w:topLinePunct w:val="0"/>
        <w:autoSpaceDE/>
        <w:autoSpaceDN/>
        <w:bidi w:val="0"/>
        <w:adjustRightInd/>
        <w:snapToGrid/>
        <w:spacing w:line="480" w:lineRule="auto"/>
        <w:ind w:firstLine="420" w:firstLineChars="0"/>
        <w:jc w:val="left"/>
        <w:textAlignment w:val="auto"/>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superscript"/>
          <w:lang w:val="en-US" w:eastAsia="zh-CN"/>
        </w:rPr>
        <w:t>4</w:t>
      </w:r>
      <w:r>
        <w:rPr>
          <w:rFonts w:hint="default" w:ascii="Times New Roman" w:hAnsi="Times New Roman" w:cs="Times New Roman"/>
          <w:sz w:val="24"/>
          <w:szCs w:val="24"/>
          <w:vertAlign w:val="baseline"/>
          <w:lang w:val="en-US" w:eastAsia="zh-CN"/>
        </w:rPr>
        <w:t xml:space="preserve"> According to Carse (2012), finite game is “played for the purpose of winning”; oppositely, an infinite game is “for the purpose of continuing the play.”</w:t>
      </w:r>
    </w:p>
    <w:p>
      <w:pPr>
        <w:pStyle w:val="3"/>
        <w:keepNext w:val="0"/>
        <w:keepLines w:val="0"/>
        <w:pageBreakBefore w:val="0"/>
        <w:widowControl/>
        <w:suppressLineNumbers w:val="0"/>
        <w:pBdr>
          <w:left w:val="none" w:color="auto" w:sz="0" w:space="0"/>
        </w:pBdr>
        <w:kinsoku/>
        <w:wordWrap/>
        <w:overflowPunct/>
        <w:topLinePunct w:val="0"/>
        <w:autoSpaceDE/>
        <w:autoSpaceDN/>
        <w:bidi w:val="0"/>
        <w:adjustRightInd/>
        <w:snapToGrid/>
        <w:spacing w:before="0" w:beforeAutospacing="0" w:after="0" w:afterAutospacing="0" w:line="480" w:lineRule="auto"/>
        <w:ind w:left="0" w:firstLine="420" w:firstLineChars="0"/>
        <w:jc w:val="left"/>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vertAlign w:val="superscript"/>
          <w:lang w:val="en-US" w:eastAsia="zh-CN"/>
        </w:rPr>
        <w:t xml:space="preserve">5 </w:t>
      </w:r>
      <w:bookmarkStart w:id="2" w:name="_GoBack"/>
      <w:bookmarkEnd w:id="2"/>
      <w:r>
        <w:rPr>
          <w:rFonts w:hint="default" w:ascii="Times New Roman" w:hAnsi="Times New Roman" w:cs="Times New Roman"/>
          <w:sz w:val="24"/>
          <w:szCs w:val="24"/>
          <w:vertAlign w:val="baseline"/>
          <w:lang w:val="en-US" w:eastAsia="zh-CN"/>
        </w:rPr>
        <w:t xml:space="preserve">The absolute value of U(-a) is greater than U(a), which means the subjective gain obtained from (a+b) cannot offset the subjective loss brought by -(a+b). This figure is from </w:t>
      </w:r>
      <w:r>
        <w:rPr>
          <w:rFonts w:hint="default" w:ascii="Times New Roman" w:hAnsi="Times New Roman" w:cs="Times New Roman"/>
          <w:sz w:val="24"/>
          <w:szCs w:val="24"/>
        </w:rPr>
        <w:t xml:space="preserve">Khalil, T. E., Albastaki, F., Obaid, L., Zaid, H. A., Dalalah, D., &amp; Alhassani, S. (2022). Ranking Risk Attitudes Using an Integrated AHP-TOPSIS Approach. </w:t>
      </w:r>
      <w:r>
        <w:rPr>
          <w:rFonts w:hint="default" w:ascii="Times New Roman" w:hAnsi="Times New Roman" w:cs="Times New Roman"/>
          <w:i/>
          <w:iCs/>
          <w:sz w:val="24"/>
          <w:szCs w:val="24"/>
        </w:rPr>
        <w:t>International Journal of Applied Decision Sciences</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1</w:t>
      </w:r>
      <w:r>
        <w:rPr>
          <w:rFonts w:hint="default" w:ascii="Times New Roman" w:hAnsi="Times New Roman" w:cs="Times New Roman"/>
          <w:sz w:val="24"/>
          <w:szCs w:val="24"/>
        </w:rPr>
        <w:t xml:space="preserve">(1), 1.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"https://doi.org/10.1504/ijads.2022.10037216." </w:instrText>
      </w:r>
      <w:r>
        <w:rPr>
          <w:rFonts w:hint="default" w:ascii="Times New Roman" w:hAnsi="Times New Roman" w:cs="Times New Roman"/>
          <w:sz w:val="24"/>
          <w:szCs w:val="24"/>
        </w:rPr>
        <w:fldChar w:fldCharType="separate"/>
      </w:r>
      <w:r>
        <w:rPr>
          <w:rStyle w:val="8"/>
          <w:rFonts w:hint="default" w:ascii="Times New Roman" w:hAnsi="Times New Roman" w:cs="Times New Roman"/>
          <w:sz w:val="24"/>
          <w:szCs w:val="24"/>
        </w:rPr>
        <w:t>https://doi.org/10.1504/ijads.2022.10037216</w:t>
      </w:r>
      <w:r>
        <w:rPr>
          <w:rStyle w:val="8"/>
          <w:rFonts w:hint="default" w:ascii="Times New Roman" w:hAnsi="Times New Roman" w:cs="Times New Roman"/>
          <w:sz w:val="24"/>
          <w:szCs w:val="24"/>
          <w:lang w:val="en-US" w:eastAsia="zh-CN"/>
        </w:rPr>
        <w:t>.</w:t>
      </w:r>
      <w:r>
        <w:rPr>
          <w:rFonts w:hint="default" w:ascii="Times New Roman" w:hAnsi="Times New Roman" w:cs="Times New Roman"/>
          <w:sz w:val="24"/>
          <w:szCs w:val="24"/>
        </w:rPr>
        <w:fldChar w:fldCharType="end"/>
      </w:r>
    </w:p>
    <w:p>
      <w:pPr>
        <w:jc w:val="left"/>
      </w:pPr>
    </w:p>
    <w:p>
      <w:pPr>
        <w:jc w:val="left"/>
      </w:pPr>
    </w:p>
    <w:p>
      <w:pPr>
        <w:jc w:val="left"/>
      </w:pPr>
    </w:p>
    <w:p>
      <w:pPr>
        <w:jc w:val="left"/>
      </w:pPr>
    </w:p>
    <w:p>
      <w:pPr>
        <w:jc w:val="left"/>
      </w:pPr>
    </w:p>
    <w:p>
      <w:pPr>
        <w:jc w:val="left"/>
      </w:pPr>
    </w:p>
    <w:p>
      <w:pPr>
        <w:jc w:val="left"/>
      </w:pPr>
    </w:p>
    <w:p>
      <w:pPr>
        <w:jc w:val="left"/>
      </w:pPr>
    </w:p>
    <w:p>
      <w:pPr>
        <w:jc w:val="left"/>
      </w:pPr>
    </w:p>
    <w:p/>
    <w:p/>
    <w:p/>
    <w:p/>
    <w:p/>
    <w:p/>
    <w:p/>
    <w:p/>
    <w:p>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sectPr>
      <w:pgSz w:w="11906" w:h="16838"/>
      <w:pgMar w:top="1440" w:right="1440" w:bottom="1440" w:left="144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小尘" w:date="2023-06-30T09:42:54Z" w:initials="">
    <w:p w14:paraId="6CF2750D">
      <w:pPr>
        <w:pStyle w:val="2"/>
        <w:rPr>
          <w:rFonts w:hint="default"/>
          <w:lang w:val="en-US" w:eastAsia="zh-CN"/>
        </w:rPr>
      </w:pPr>
      <w:r>
        <w:rPr>
          <w:rFonts w:hint="eastAsia"/>
          <w:lang w:val="en-US" w:eastAsia="zh-CN"/>
        </w:rPr>
        <w:t>怎样说明我指的happiness是meaning-end的happiness呢？因为我觉得hedonic happiness是可以被测量的，而且通篇的描述都是针对meaning。之前有写一个“based on this understanding to happiness</w:t>
      </w:r>
      <w:r>
        <w:rPr>
          <w:rFonts w:hint="default"/>
          <w:lang w:val="en-US" w:eastAsia="zh-CN"/>
        </w:rPr>
        <w:t>”</w:t>
      </w:r>
    </w:p>
    <w:p w14:paraId="50B67FF8">
      <w:pPr>
        <w:pStyle w:val="2"/>
      </w:pPr>
      <w:r>
        <w:rPr>
          <w:rFonts w:hint="eastAsia"/>
          <w:lang w:val="en-US" w:eastAsia="zh-CN"/>
        </w:rPr>
        <w:t>但是我的第一句</w:t>
      </w:r>
      <w:r>
        <w:rPr>
          <w:rFonts w:hint="default"/>
          <w:lang w:val="en-US" w:eastAsia="zh-CN"/>
        </w:rPr>
        <w:t>”</w:t>
      </w:r>
      <w:r>
        <w:rPr>
          <w:rFonts w:hint="default" w:ascii="Times New Roman" w:hAnsi="Times New Roman" w:cs="Times New Roman"/>
          <w:color w:val="0E101A"/>
          <w:sz w:val="24"/>
          <w:szCs w:val="24"/>
        </w:rPr>
        <w:t>being a couch potato can bring joy, but only experiencing virtuous activities can bring happines</w:t>
      </w:r>
      <w:r>
        <w:rPr>
          <w:rFonts w:hint="default" w:ascii="Times New Roman" w:hAnsi="Times New Roman" w:cs="Times New Roman"/>
          <w:color w:val="0E101A"/>
          <w:sz w:val="24"/>
          <w:szCs w:val="24"/>
          <w:lang w:val="en-US" w:eastAsia="zh-CN"/>
        </w:rPr>
        <w:t>”</w:t>
      </w:r>
      <w:r>
        <w:rPr>
          <w:rFonts w:hint="eastAsia" w:ascii="Times New Roman" w:hAnsi="Times New Roman" w:cs="Times New Roman"/>
          <w:color w:val="0E101A"/>
          <w:sz w:val="24"/>
          <w:szCs w:val="24"/>
          <w:lang w:val="en-US" w:eastAsia="zh-CN"/>
        </w:rPr>
        <w:t>其实是有界定happiness的</w:t>
      </w:r>
    </w:p>
  </w:comment>
  <w:comment w:id="1" w:author="小尘" w:date="2023-06-30T09:47:20Z" w:initials="">
    <w:p w14:paraId="76C61340">
      <w:pPr>
        <w:pStyle w:val="2"/>
        <w:rPr>
          <w:rFonts w:hint="default" w:eastAsiaTheme="minorEastAsia"/>
          <w:lang w:val="en-US" w:eastAsia="zh-CN"/>
        </w:rPr>
      </w:pPr>
      <w:r>
        <w:rPr>
          <w:rFonts w:hint="eastAsia"/>
          <w:lang w:val="en-US" w:eastAsia="zh-CN"/>
        </w:rPr>
        <w:t>有一点点冗余，但是不加会不会导致衔接上没有很流畅？</w:t>
      </w:r>
    </w:p>
  </w:comment>
  <w:comment w:id="2" w:author="小尘" w:date="2023-06-30T09:51:13Z" w:initials="">
    <w:p w14:paraId="75992E74">
      <w:pPr>
        <w:pStyle w:val="2"/>
        <w:rPr>
          <w:rFonts w:hint="default" w:eastAsiaTheme="minorEastAsia"/>
          <w:lang w:val="en-US" w:eastAsia="zh-CN"/>
        </w:rPr>
      </w:pPr>
      <w:r>
        <w:rPr>
          <w:rFonts w:hint="eastAsia"/>
          <w:lang w:val="en-US" w:eastAsia="zh-CN"/>
        </w:rPr>
        <w:t>这个标题不是说的happiness的特征（其他的archetype都是特征），而是不能测量的原因在哪；但是我也不知道happiness该怎么取了，想听听您的建议</w:t>
      </w:r>
    </w:p>
  </w:comment>
  <w:comment w:id="3" w:author="小尘" w:date="2023-06-30T11:21:50Z" w:initials="">
    <w:p w14:paraId="4BB356CE">
      <w:pPr>
        <w:pStyle w:val="2"/>
        <w:rPr>
          <w:rFonts w:hint="default" w:eastAsiaTheme="minorEastAsia"/>
          <w:lang w:val="en-US" w:eastAsia="zh-CN"/>
        </w:rPr>
      </w:pPr>
      <w:r>
        <w:rPr>
          <w:rFonts w:hint="eastAsia"/>
          <w:lang w:val="en-US" w:eastAsia="zh-CN"/>
        </w:rPr>
        <w:t>这段的意思我传达清楚了吗？</w:t>
      </w:r>
    </w:p>
  </w:comment>
  <w:comment w:id="4" w:author="小尘" w:date="2023-06-30T11:58:28Z" w:initials="">
    <w:p w14:paraId="633E2E2A">
      <w:pPr>
        <w:pStyle w:val="2"/>
        <w:rPr>
          <w:rFonts w:hint="default" w:eastAsiaTheme="minorEastAsia"/>
          <w:lang w:val="en-US" w:eastAsia="zh-CN"/>
        </w:rPr>
      </w:pPr>
      <w:r>
        <w:rPr>
          <w:rFonts w:hint="eastAsia"/>
          <w:lang w:val="en-US" w:eastAsia="zh-CN"/>
        </w:rPr>
        <w:t>conclusion还需要升华吗？</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0B67FF8" w15:done="0"/>
  <w15:commentEx w15:paraId="76C61340" w15:done="0"/>
  <w15:commentEx w15:paraId="75992E74" w15:done="0"/>
  <w15:commentEx w15:paraId="4BB356CE" w15:done="0"/>
  <w15:commentEx w15:paraId="633E2E2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小尘">
    <w15:presenceInfo w15:providerId="WPS Office" w15:userId="17483368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kyYTFkMWQyNDg1NGI5NTI0ZWU5YWIxOWU0ZjEyYTcifQ=="/>
  </w:docVars>
  <w:rsids>
    <w:rsidRoot w:val="00000000"/>
    <w:rsid w:val="005E24E7"/>
    <w:rsid w:val="006833D3"/>
    <w:rsid w:val="04955DFD"/>
    <w:rsid w:val="101D15C4"/>
    <w:rsid w:val="14EE4EEE"/>
    <w:rsid w:val="15A20FDE"/>
    <w:rsid w:val="23756D56"/>
    <w:rsid w:val="23952182"/>
    <w:rsid w:val="298D301C"/>
    <w:rsid w:val="307C1B8B"/>
    <w:rsid w:val="30B73060"/>
    <w:rsid w:val="33522C72"/>
    <w:rsid w:val="375872F6"/>
    <w:rsid w:val="3F0833B0"/>
    <w:rsid w:val="417967E7"/>
    <w:rsid w:val="46E42955"/>
    <w:rsid w:val="4D1F478F"/>
    <w:rsid w:val="502678E2"/>
    <w:rsid w:val="523E4987"/>
    <w:rsid w:val="53FC02D7"/>
    <w:rsid w:val="58D171FD"/>
    <w:rsid w:val="65841133"/>
    <w:rsid w:val="65913850"/>
    <w:rsid w:val="68506FFE"/>
    <w:rsid w:val="6C24541E"/>
    <w:rsid w:val="6DE47554"/>
    <w:rsid w:val="714B6FA9"/>
    <w:rsid w:val="73F41B79"/>
    <w:rsid w:val="772E7150"/>
    <w:rsid w:val="773C7ABF"/>
    <w:rsid w:val="7EE66563"/>
    <w:rsid w:val="7EED16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 w:type="character" w:styleId="8">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2295</Words>
  <Characters>14091</Characters>
  <Lines>0</Lines>
  <Paragraphs>0</Paragraphs>
  <TotalTime>5</TotalTime>
  <ScaleCrop>false</ScaleCrop>
  <LinksUpToDate>false</LinksUpToDate>
  <CharactersWithSpaces>16331</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2023-06-29T23:54:52Z</dcterms:created>
  <dc:creator>爱吃吃的的Sarah</dc:creator>
  <cp:lastModifiedBy>小尘</cp:lastModifiedBy>
  <dcterms:modified xsi:type="dcterms:W3CDTF">2023-06-30T04:12:07Z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35D41ECBF11B42F793BC967FE2067F0B_12</vt:lpwstr>
  </property>
</Properties>
</file>