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jc w:val="center"/>
        <w:rPr>
          <w:rFonts w:ascii="Times New Roman" w:hAnsi="Times New Roman" w:cs="Times New Roman"/>
          <w:b/>
          <w:bCs/>
          <w:sz w:val="24"/>
        </w:rPr>
      </w:pPr>
      <w:r>
        <w:rPr>
          <w:rFonts w:ascii="Times New Roman" w:hAnsi="Times New Roman" w:cs="Times New Roman"/>
          <w:b/>
          <w:bCs/>
          <w:sz w:val="24"/>
        </w:rPr>
        <w:t>Introduction</w:t>
      </w:r>
    </w:p>
    <w:p>
      <w:pPr>
        <w:spacing w:line="480" w:lineRule="auto"/>
        <w:ind w:firstLine="420"/>
        <w:jc w:val="left"/>
        <w:rPr>
          <w:rFonts w:ascii="Times New Roman" w:hAnsi="Times New Roman" w:cs="Times New Roman"/>
          <w:strike/>
          <w:dstrike w:val="0"/>
          <w:sz w:val="24"/>
        </w:rPr>
      </w:pPr>
      <w:bookmarkStart w:id="0" w:name="OLE_LINK1"/>
      <w:r>
        <w:rPr>
          <w:rFonts w:ascii="Times New Roman" w:hAnsi="Times New Roman" w:cs="Times New Roman"/>
          <w:sz w:val="24"/>
        </w:rPr>
        <w:t xml:space="preserve">Objective list theories believe in the existence of objective prudential goods: </w:t>
      </w:r>
      <w:r>
        <w:rPr>
          <w:rFonts w:hint="eastAsia" w:ascii="Times New Roman" w:hAnsi="Times New Roman" w:cs="Times New Roman"/>
          <w:sz w:val="24"/>
          <w:lang w:val="en-US" w:eastAsia="zh-CN"/>
        </w:rPr>
        <w:t>that is, one can choose to be a</w:t>
      </w:r>
      <w:r>
        <w:rPr>
          <w:rFonts w:ascii="Times New Roman" w:hAnsi="Times New Roman" w:cs="Times New Roman"/>
          <w:sz w:val="24"/>
        </w:rPr>
        <w:t xml:space="preserve"> couch potato, </w:t>
      </w:r>
      <w:r>
        <w:rPr>
          <w:rFonts w:hint="eastAsia" w:ascii="Times New Roman" w:hAnsi="Times New Roman" w:cs="Times New Roman"/>
          <w:sz w:val="24"/>
          <w:lang w:val="en-US" w:eastAsia="zh-CN"/>
        </w:rPr>
        <w:t>but happiness can only be approached through</w:t>
      </w:r>
      <w:r>
        <w:rPr>
          <w:rFonts w:ascii="Times New Roman" w:hAnsi="Times New Roman" w:cs="Times New Roman"/>
          <w:sz w:val="24"/>
        </w:rPr>
        <w:t xml:space="preserve"> more virtuous </w:t>
      </w:r>
      <w:r>
        <w:rPr>
          <w:rFonts w:hint="eastAsia" w:ascii="Times New Roman" w:hAnsi="Times New Roman" w:cs="Times New Roman"/>
          <w:sz w:val="24"/>
          <w:lang w:val="en-US" w:eastAsia="zh-CN"/>
        </w:rPr>
        <w:t xml:space="preserve">activities </w:t>
      </w:r>
      <w:r>
        <w:rPr>
          <w:rFonts w:ascii="Times New Roman" w:hAnsi="Times New Roman" w:cs="Times New Roman"/>
          <w:sz w:val="24"/>
          <w:highlight w:val="yellow"/>
        </w:rPr>
        <w:t>(Haybron, 2020).</w:t>
      </w:r>
      <w:r>
        <w:rPr>
          <w:rFonts w:ascii="Times New Roman" w:hAnsi="Times New Roman" w:cs="Times New Roman"/>
          <w:sz w:val="24"/>
        </w:rPr>
        <w:t xml:space="preserve"> Nevertheless, individuals still have subjective understandings of objective goods</w:t>
      </w:r>
      <w:r>
        <w:rPr>
          <w:rFonts w:hint="eastAsia" w:ascii="Times New Roman" w:hAnsi="Times New Roman" w:cs="Times New Roman"/>
          <w:sz w:val="24"/>
          <w:lang w:val="en-US" w:eastAsia="zh-CN"/>
        </w:rPr>
        <w:t>. For instance, perfectionism believes perfecting human nature constitutes one</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s well-being</w:t>
      </w:r>
      <w:r>
        <w:rPr>
          <w:rFonts w:hint="eastAsia" w:ascii="Times New Roman" w:hAnsi="Times New Roman" w:cs="Times New Roman"/>
          <w:sz w:val="24"/>
          <w:highlight w:val="cyan"/>
          <w:lang w:val="en-US" w:eastAsia="zh-CN"/>
        </w:rPr>
        <w:t xml:space="preserve"> (Crisp, 2017), </w:t>
      </w:r>
      <w:r>
        <w:rPr>
          <w:rFonts w:hint="eastAsia" w:ascii="Times New Roman" w:hAnsi="Times New Roman" w:cs="Times New Roman"/>
          <w:sz w:val="24"/>
          <w:lang w:val="en-US" w:eastAsia="zh-CN"/>
        </w:rPr>
        <w:t>and Aristotelians believe achieving eudaimonia needs a fulfillment of human capacities (Haybron, 2020)</w:t>
      </w:r>
      <w:r>
        <w:rPr>
          <w:rFonts w:hint="eastAsia" w:ascii="Times New Roman" w:hAnsi="Times New Roman" w:cs="Times New Roman"/>
          <w:strike w:val="0"/>
          <w:dstrike w:val="0"/>
          <w:sz w:val="24"/>
          <w:lang w:val="en-US" w:eastAsia="zh-CN"/>
        </w:rPr>
        <w:t>.</w:t>
      </w:r>
      <w:r>
        <w:rPr>
          <w:rFonts w:hint="eastAsia" w:ascii="Times New Roman" w:hAnsi="Times New Roman" w:cs="Times New Roman"/>
          <w:strike/>
          <w:dstrike w:val="0"/>
          <w:sz w:val="24"/>
          <w:lang w:val="en-US" w:eastAsia="zh-CN"/>
        </w:rPr>
        <w:t xml:space="preserve"> </w:t>
      </w:r>
      <w:r>
        <w:rPr>
          <w:rFonts w:ascii="Times New Roman" w:hAnsi="Times New Roman" w:cs="Times New Roman"/>
          <w:strike/>
          <w:dstrike w:val="0"/>
          <w:color w:val="FF0000"/>
          <w:sz w:val="24"/>
        </w:rPr>
        <w:t xml:space="preserve">(i.e. or for example), </w:t>
      </w:r>
      <w:r>
        <w:rPr>
          <w:rFonts w:ascii="Times New Roman" w:hAnsi="Times New Roman" w:cs="Times New Roman"/>
          <w:strike/>
          <w:dstrike w:val="0"/>
          <w:sz w:val="24"/>
        </w:rPr>
        <w:t xml:space="preserve">which I refer to as an essential state of happiness. </w:t>
      </w:r>
    </w:p>
    <w:p>
      <w:pPr>
        <w:spacing w:line="480" w:lineRule="auto"/>
        <w:ind w:firstLine="420"/>
        <w:jc w:val="left"/>
        <w:rPr>
          <w:rFonts w:hint="default" w:ascii="Times New Roman" w:hAnsi="Times New Roman" w:cs="Times New Roman" w:eastAsiaTheme="minorEastAsia"/>
          <w:sz w:val="24"/>
          <w:lang w:val="en-US" w:eastAsia="zh-CN"/>
        </w:rPr>
      </w:pPr>
      <w:r>
        <w:rPr>
          <w:rFonts w:hint="eastAsia" w:ascii="Times New Roman" w:hAnsi="Times New Roman" w:cs="Times New Roman"/>
          <w:color w:val="FF0000"/>
          <w:sz w:val="24"/>
          <w:lang w:val="en-US" w:eastAsia="zh-CN"/>
        </w:rPr>
        <w:t>However,</w:t>
      </w:r>
      <w:r>
        <w:rPr>
          <w:rFonts w:ascii="Times New Roman" w:hAnsi="Times New Roman" w:cs="Times New Roman"/>
          <w:color w:val="FF0000"/>
          <w:sz w:val="24"/>
          <w:lang w:val="en-GB"/>
        </w:rPr>
        <w:t xml:space="preserve"> whether one approaches happiness from objective or subjective line of investigation,</w:t>
      </w:r>
      <w:r>
        <w:rPr>
          <w:rFonts w:hint="eastAsia" w:ascii="Times New Roman" w:hAnsi="Times New Roman" w:cs="Times New Roman"/>
          <w:color w:val="FF0000"/>
          <w:sz w:val="24"/>
          <w:lang w:val="en-US" w:eastAsia="zh-CN"/>
        </w:rPr>
        <w:t xml:space="preserve"> </w:t>
      </w:r>
      <w:r>
        <w:rPr>
          <w:rFonts w:ascii="Times New Roman" w:hAnsi="Times New Roman" w:cs="Times New Roman"/>
          <w:color w:val="FF0000"/>
          <w:sz w:val="24"/>
          <w:lang w:val="en-GB"/>
        </w:rPr>
        <w:t xml:space="preserve">in the attempt to measure it, one faces inevitable challenges which prevent this construct being accurately measured. </w:t>
      </w:r>
      <w:r>
        <w:rPr>
          <w:rFonts w:hint="eastAsia" w:ascii="Times New Roman" w:hAnsi="Times New Roman" w:cs="Times New Roman"/>
          <w:color w:val="FF0000"/>
          <w:sz w:val="24"/>
          <w:lang w:val="en-US" w:eastAsia="zh-CN"/>
        </w:rPr>
        <w:t>t</w:t>
      </w:r>
      <w:r>
        <w:rPr>
          <w:rFonts w:ascii="Times New Roman" w:hAnsi="Times New Roman" w:cs="Times New Roman"/>
          <w:sz w:val="24"/>
        </w:rPr>
        <w:t xml:space="preserve">wo </w:t>
      </w:r>
      <w:r>
        <w:rPr>
          <w:rFonts w:hint="eastAsia" w:ascii="Times New Roman" w:hAnsi="Times New Roman" w:cs="Times New Roman"/>
          <w:sz w:val="24"/>
          <w:lang w:val="en-US" w:eastAsia="zh-CN"/>
        </w:rPr>
        <w:t xml:space="preserve">necessary processes are needed to be satisfied for an </w:t>
      </w:r>
      <w:r>
        <w:rPr>
          <w:rFonts w:ascii="Times New Roman" w:hAnsi="Times New Roman" w:cs="Times New Roman"/>
          <w:sz w:val="24"/>
        </w:rPr>
        <w:t>effective measurement</w:t>
      </w:r>
      <w:r>
        <w:rPr>
          <w:rFonts w:hint="eastAsia" w:ascii="Times New Roman" w:hAnsi="Times New Roman" w:cs="Times New Roman"/>
          <w:sz w:val="24"/>
          <w:lang w:val="en-US" w:eastAsia="zh-CN"/>
        </w:rPr>
        <w:t xml:space="preserve">, which are: </w:t>
      </w:r>
    </w:p>
    <w:p>
      <w:pPr>
        <w:keepNext w:val="0"/>
        <w:keepLines w:val="0"/>
        <w:pageBreakBefore w:val="0"/>
        <w:widowControl w:val="0"/>
        <w:numPr>
          <w:ilvl w:val="0"/>
          <w:numId w:val="1"/>
        </w:numPr>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Respondents have a clear understanding of their personal happiness (I - inner)</w:t>
      </w:r>
    </w:p>
    <w:p>
      <w:pPr>
        <w:keepNext w:val="0"/>
        <w:keepLines w:val="0"/>
        <w:pageBreakBefore w:val="0"/>
        <w:widowControl w:val="0"/>
        <w:numPr>
          <w:ilvl w:val="0"/>
          <w:numId w:val="1"/>
        </w:numPr>
        <w:kinsoku/>
        <w:wordWrap/>
        <w:overflowPunct/>
        <w:topLinePunct w:val="0"/>
        <w:autoSpaceDE/>
        <w:autoSpaceDN/>
        <w:bidi w:val="0"/>
        <w:adjustRightInd/>
        <w:snapToGrid/>
        <w:spacing w:line="480" w:lineRule="auto"/>
        <w:ind w:left="0" w:leftChars="0"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They convey their sense of happiness accurately and completely to the test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(inner-externality)</w:t>
      </w:r>
    </w:p>
    <w:p>
      <w:pPr>
        <w:spacing w:line="480" w:lineRule="auto"/>
        <w:jc w:val="left"/>
        <w:rPr>
          <w:rFonts w:hint="default" w:ascii="Times New Roman" w:hAnsi="Times New Roman" w:cs="Times New Roman" w:eastAsiaTheme="minorEastAsia"/>
          <w:strike w:val="0"/>
          <w:sz w:val="24"/>
          <w:lang w:val="en-US" w:eastAsia="zh-CN"/>
        </w:rPr>
      </w:pPr>
      <w:r>
        <w:rPr>
          <w:rFonts w:hint="eastAsia" w:ascii="Times New Roman" w:hAnsi="Times New Roman" w:cs="Times New Roman"/>
          <w:strike w:val="0"/>
          <w:sz w:val="24"/>
          <w:lang w:val="en-US" w:eastAsia="zh-CN"/>
        </w:rPr>
        <w:t xml:space="preserve">In the following essay, I will illustrate </w:t>
      </w:r>
    </w:p>
    <w:p>
      <w:pPr>
        <w:spacing w:line="480" w:lineRule="auto"/>
        <w:jc w:val="left"/>
        <w:rPr>
          <w:rFonts w:ascii="Times New Roman" w:hAnsi="Times New Roman" w:cs="Times New Roman"/>
          <w:strike/>
          <w:sz w:val="24"/>
        </w:rPr>
      </w:pPr>
      <w:r>
        <w:rPr>
          <w:rFonts w:ascii="Times New Roman" w:hAnsi="Times New Roman" w:cs="Times New Roman"/>
          <w:strike/>
          <w:sz w:val="24"/>
        </w:rPr>
        <w:t>They convey their sense of happiness accurately and completely to the test (inner-externality)</w:t>
      </w:r>
    </w:p>
    <w:p>
      <w:pPr>
        <w:spacing w:line="480" w:lineRule="auto"/>
        <w:jc w:val="left"/>
        <w:rPr>
          <w:rFonts w:ascii="Times New Roman" w:hAnsi="Times New Roman" w:cs="Times New Roman"/>
          <w:color w:val="FF0000"/>
          <w:sz w:val="24"/>
        </w:rPr>
      </w:pPr>
      <w:r>
        <w:rPr>
          <w:rFonts w:ascii="Times New Roman" w:hAnsi="Times New Roman" w:cs="Times New Roman"/>
          <w:strike/>
          <w:sz w:val="24"/>
        </w:rPr>
        <w:t>However, insurmountable barriers hinder the satisfaction of these two processes. Therefore, this essay argues that happiness cannot be measured by subjective well-being tests (SWB)</w:t>
      </w:r>
      <w:r>
        <w:rPr>
          <w:rFonts w:ascii="Times New Roman" w:hAnsi="Times New Roman" w:cs="Times New Roman"/>
          <w:sz w:val="24"/>
        </w:rPr>
        <w:t xml:space="preserve"> </w:t>
      </w:r>
      <w:r>
        <w:rPr>
          <w:rFonts w:hint="eastAsia" w:ascii="Times New Roman" w:hAnsi="Times New Roman" w:cs="Times New Roman"/>
          <w:color w:val="FF0000"/>
          <w:sz w:val="24"/>
        </w:rPr>
        <w:t>（把这段从“原因——结论”，改成“结论——论证”）</w:t>
      </w:r>
      <w:r>
        <w:rPr>
          <w:rFonts w:ascii="Times New Roman" w:hAnsi="Times New Roman" w:cs="Times New Roman"/>
          <w:sz w:val="24"/>
          <w:highlight w:val="yellow"/>
        </w:rPr>
        <w:t>(Stone et al., 2013).</w:t>
      </w:r>
      <w:r>
        <w:rPr>
          <w:rFonts w:ascii="Times New Roman" w:hAnsi="Times New Roman" w:cs="Times New Roman"/>
          <w:color w:val="FF0000"/>
          <w:sz w:val="24"/>
        </w:rPr>
        <w:t>(</w:t>
      </w:r>
      <w:r>
        <w:rPr>
          <w:rFonts w:hint="eastAsia" w:ascii="Times New Roman" w:hAnsi="Times New Roman" w:cs="Times New Roman"/>
          <w:color w:val="FF0000"/>
          <w:sz w:val="24"/>
        </w:rPr>
        <w:t>在introduction部分不要列举一个具体的scale，这样会给人造成误解，以为你的论文仅仅是批判这一个scale。可以在后文相应的地方来做这件事)</w:t>
      </w:r>
    </w:p>
    <w:p>
      <w:pPr>
        <w:spacing w:line="480" w:lineRule="auto"/>
        <w:jc w:val="left"/>
        <w:rPr>
          <w:rFonts w:ascii="Times New Roman" w:hAnsi="Times New Roman" w:cs="Times New Roman"/>
          <w:color w:val="FF0000"/>
          <w:sz w:val="24"/>
        </w:rPr>
      </w:pPr>
    </w:p>
    <w:p>
      <w:pPr>
        <w:spacing w:line="480" w:lineRule="auto"/>
        <w:jc w:val="center"/>
        <w:rPr>
          <w:rFonts w:ascii="Times New Roman" w:hAnsi="Times New Roman" w:cs="Times New Roman"/>
          <w:b/>
          <w:bCs/>
          <w:sz w:val="24"/>
        </w:rPr>
      </w:pPr>
      <w:r>
        <w:rPr>
          <w:rFonts w:ascii="Times New Roman" w:hAnsi="Times New Roman" w:cs="Times New Roman"/>
          <w:b/>
          <w:bCs/>
          <w:sz w:val="24"/>
        </w:rPr>
        <w:t>First process</w:t>
      </w:r>
      <w:r>
        <w:rPr>
          <w:rFonts w:ascii="Times New Roman" w:hAnsi="Times New Roman" w:cs="Times New Roman"/>
          <w:b/>
          <w:bCs/>
          <w:color w:val="FF0000"/>
          <w:sz w:val="24"/>
        </w:rPr>
        <w:t>(process I??</w:t>
      </w:r>
      <w:r>
        <w:rPr>
          <w:rFonts w:hint="eastAsia" w:ascii="Times New Roman" w:hAnsi="Times New Roman" w:cs="Times New Roman"/>
          <w:b/>
          <w:bCs/>
          <w:color w:val="FF0000"/>
          <w:sz w:val="24"/>
        </w:rPr>
        <w:t>和前面的提发格式一致</w:t>
      </w:r>
      <w:r>
        <w:rPr>
          <w:rFonts w:ascii="Times New Roman" w:hAnsi="Times New Roman" w:cs="Times New Roman"/>
          <w:b/>
          <w:bCs/>
          <w:color w:val="FF0000"/>
          <w:sz w:val="24"/>
        </w:rPr>
        <w:t>)</w:t>
      </w:r>
      <w:r>
        <w:rPr>
          <w:rFonts w:ascii="Times New Roman" w:hAnsi="Times New Roman" w:cs="Times New Roman"/>
          <w:b/>
          <w:bCs/>
          <w:sz w:val="24"/>
        </w:rPr>
        <w:t>: realization of the self</w:t>
      </w:r>
    </w:p>
    <w:p>
      <w:pPr>
        <w:spacing w:line="480" w:lineRule="auto"/>
        <w:ind w:firstLine="420"/>
        <w:jc w:val="left"/>
        <w:rPr>
          <w:rFonts w:ascii="Times New Roman" w:hAnsi="Times New Roman" w:cs="Times New Roman"/>
          <w:sz w:val="24"/>
        </w:rPr>
      </w:pPr>
      <w:r>
        <w:rPr>
          <w:rFonts w:ascii="Times New Roman" w:hAnsi="Times New Roman" w:cs="Times New Roman"/>
          <w:strike/>
          <w:sz w:val="24"/>
        </w:rPr>
        <w:t>In Tao Te Ching,</w:t>
      </w:r>
      <w:r>
        <w:rPr>
          <w:rFonts w:hint="eastAsia" w:ascii="Times New Roman" w:hAnsi="Times New Roman" w:cs="Times New Roman"/>
          <w:sz w:val="24"/>
        </w:rPr>
        <w:t>（</w:t>
      </w:r>
      <w:r>
        <w:rPr>
          <w:rFonts w:hint="eastAsia" w:ascii="Times New Roman" w:hAnsi="Times New Roman" w:cs="Times New Roman"/>
          <w:color w:val="FF0000"/>
          <w:sz w:val="24"/>
        </w:rPr>
        <w:t>不是所有人都知道道德经，且道德经也不会影响理解，所以不需要提。只是在引用的时候需要cite出处，在reference</w:t>
      </w:r>
      <w:r>
        <w:rPr>
          <w:rFonts w:ascii="Times New Roman" w:hAnsi="Times New Roman" w:cs="Times New Roman"/>
          <w:color w:val="FF0000"/>
          <w:sz w:val="24"/>
        </w:rPr>
        <w:t xml:space="preserve"> </w:t>
      </w:r>
      <w:r>
        <w:rPr>
          <w:rFonts w:hint="eastAsia" w:ascii="Times New Roman" w:hAnsi="Times New Roman" w:cs="Times New Roman"/>
          <w:color w:val="FF0000"/>
          <w:sz w:val="24"/>
        </w:rPr>
        <w:t>list）</w:t>
      </w:r>
      <w:r>
        <w:rPr>
          <w:rFonts w:ascii="Times New Roman" w:hAnsi="Times New Roman" w:cs="Times New Roman"/>
          <w:color w:val="FF0000"/>
          <w:sz w:val="24"/>
        </w:rPr>
        <w:t xml:space="preserve"> </w:t>
      </w:r>
      <w:r>
        <w:rPr>
          <w:rFonts w:ascii="Times New Roman" w:hAnsi="Times New Roman" w:cs="Times New Roman"/>
          <w:sz w:val="24"/>
        </w:rPr>
        <w:t>Lao-Tzu believes that " He who knows himself is enlightened." Knowing oneself is to discover one's feelings, thoughts, and beliefs fully</w:t>
      </w:r>
      <w:r>
        <w:rPr>
          <w:rFonts w:ascii="Times New Roman" w:hAnsi="Times New Roman" w:cs="Times New Roman"/>
          <w:sz w:val="24"/>
          <w:highlight w:val="yellow"/>
        </w:rPr>
        <w:t xml:space="preserve"> (Gertler, 2020).</w:t>
      </w:r>
      <w:r>
        <w:rPr>
          <w:rFonts w:ascii="Times New Roman" w:hAnsi="Times New Roman" w:cs="Times New Roman"/>
          <w:sz w:val="24"/>
        </w:rPr>
        <w:t xml:space="preserve"> And since happiness is an inner experience, knowing will be the zero condition to discover one's essential state of happiness. </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Because happiness blends inseparably with physical sensation, one's knowledge of externality will first affect one's knowing. To learn the external world, Locke writes, "Tis therefore the actual receiving the ideas from without that gives us notice of the existence of other things </w:t>
      </w:r>
      <w:r>
        <w:rPr>
          <w:rFonts w:ascii="Times New Roman" w:hAnsi="Times New Roman" w:cs="Times New Roman"/>
          <w:sz w:val="24"/>
          <w:highlight w:val="yellow"/>
        </w:rPr>
        <w:t>(Rockwood, 2018)</w:t>
      </w:r>
      <w:r>
        <w:rPr>
          <w:rFonts w:ascii="Times New Roman" w:hAnsi="Times New Roman" w:cs="Times New Roman"/>
          <w:sz w:val="24"/>
        </w:rPr>
        <w:t xml:space="preserve">." That means the knowledge about externality doesn't build from established beliefs toward externality but is from our raw sensation. To discern these two sources, individuals' perception needs to be a "dynamic searching for the best interpretation of available data" </w:t>
      </w:r>
      <w:r>
        <w:rPr>
          <w:rFonts w:ascii="Times New Roman" w:hAnsi="Times New Roman" w:cs="Times New Roman"/>
          <w:sz w:val="24"/>
          <w:highlight w:val="yellow"/>
        </w:rPr>
        <w:t>(Gregory, 2015)</w:t>
      </w:r>
      <w:r>
        <w:rPr>
          <w:rFonts w:ascii="Times New Roman" w:hAnsi="Times New Roman" w:cs="Times New Roman"/>
          <w:sz w:val="24"/>
        </w:rPr>
        <w:t>, and I interpret this search as self-consciousness.</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Being self-conscious takes two steps. By invoking system </w:t>
      </w:r>
      <w:r>
        <w:rPr>
          <w:rFonts w:hint="eastAsia" w:ascii="Times New Roman" w:hAnsi="Times New Roman" w:cs="Times New Roman"/>
          <w:sz w:val="24"/>
        </w:rPr>
        <w:t>II</w:t>
      </w:r>
      <w:r>
        <w:rPr>
          <w:rFonts w:ascii="Times New Roman" w:hAnsi="Times New Roman" w:cs="Times New Roman"/>
          <w:sz w:val="24"/>
        </w:rPr>
        <w:t xml:space="preserve"> </w:t>
      </w:r>
      <w:r>
        <w:rPr>
          <w:rFonts w:hint="eastAsia" w:ascii="Times New Roman" w:hAnsi="Times New Roman" w:cs="Times New Roman"/>
          <w:color w:val="FF0000"/>
          <w:sz w:val="24"/>
        </w:rPr>
        <w:t>（需要解释这个概念，不能assume所有读者都知道这个概念）</w:t>
      </w:r>
      <w:r>
        <w:rPr>
          <w:rFonts w:ascii="Times New Roman" w:hAnsi="Times New Roman" w:cs="Times New Roman"/>
          <w:sz w:val="24"/>
        </w:rPr>
        <w:t>, individuals first direct their attention to effortful mental activities and once autopilot behaviors, providing a threshold for gaining subjective experiences</w:t>
      </w:r>
      <w:r>
        <w:rPr>
          <w:rFonts w:ascii="Times New Roman" w:hAnsi="Times New Roman" w:cs="Times New Roman"/>
          <w:sz w:val="24"/>
          <w:highlight w:val="yellow"/>
        </w:rPr>
        <w:t xml:space="preserve"> (Kahneman, 2011).</w:t>
      </w:r>
      <w:r>
        <w:rPr>
          <w:rFonts w:ascii="Times New Roman" w:hAnsi="Times New Roman" w:cs="Times New Roman"/>
          <w:sz w:val="24"/>
        </w:rPr>
        <w:t xml:space="preserve"> Nearly simultaneously, metacognition involves monitoring one's cognitive states, ensuring individuals view their own thoughts critically. The activation of system II and metacognition pushes an individual to the boundary of the known, and the process of taking the unknown into the known is self-conscious.</w:t>
      </w:r>
    </w:p>
    <w:p>
      <w:pPr>
        <w:spacing w:line="480" w:lineRule="auto"/>
        <w:ind w:firstLine="420"/>
        <w:jc w:val="left"/>
        <w:rPr>
          <w:rFonts w:ascii="Times New Roman" w:hAnsi="Times New Roman" w:cs="Times New Roman"/>
          <w:sz w:val="24"/>
        </w:rPr>
      </w:pPr>
      <w:r>
        <w:rPr>
          <w:rFonts w:ascii="Times New Roman" w:hAnsi="Times New Roman" w:cs="Times New Roman"/>
          <w:sz w:val="24"/>
        </w:rPr>
        <w:t>However, barriers hinder human beings to discover the self. Biologically speaking, human beings have a natural tendency to conserve energy and thus evade the activation of System II, especially on tasks that can be done with System I</w:t>
      </w:r>
      <w:r>
        <w:rPr>
          <w:rFonts w:ascii="Times New Roman" w:hAnsi="Times New Roman" w:cs="Times New Roman"/>
          <w:sz w:val="24"/>
          <w:highlight w:val="yellow"/>
        </w:rPr>
        <w:t xml:space="preserve"> (Kahneman, 2011).</w:t>
      </w:r>
      <w:r>
        <w:rPr>
          <w:rFonts w:ascii="Times New Roman" w:hAnsi="Times New Roman" w:cs="Times New Roman"/>
          <w:sz w:val="24"/>
        </w:rPr>
        <w:t xml:space="preserve"> Moreover, without mindfulness, the attention on externality is likely to be divided, which individuals may fail to realize. As Corteen and </w:t>
      </w:r>
      <w:r>
        <w:rPr>
          <w:rFonts w:ascii="Times New Roman" w:hAnsi="Times New Roman" w:cs="Times New Roman"/>
          <w:sz w:val="24"/>
          <w:highlight w:val="yellow"/>
        </w:rPr>
        <w:t>Wood (1972)</w:t>
      </w:r>
      <w:r>
        <w:rPr>
          <w:rFonts w:ascii="Times New Roman" w:hAnsi="Times New Roman" w:cs="Times New Roman"/>
          <w:sz w:val="24"/>
        </w:rPr>
        <w:t xml:space="preserve"> have discovered, when words didn't consciously perceive by participants, they still established meaning in their minds. With all barriers to realizing the self, Kants says a man cannot "determine with certainty what would make him truly happy; because to do so he would need to be omniscient. </w:t>
      </w:r>
      <w:r>
        <w:rPr>
          <w:rFonts w:ascii="Times New Roman" w:hAnsi="Times New Roman" w:cs="Times New Roman"/>
          <w:sz w:val="24"/>
          <w:highlight w:val="yellow"/>
        </w:rPr>
        <w:t>(Kant, 1889)</w:t>
      </w:r>
      <w:r>
        <w:rPr>
          <w:rFonts w:ascii="Times New Roman" w:hAnsi="Times New Roman" w:cs="Times New Roman"/>
          <w:sz w:val="24"/>
        </w:rPr>
        <w:t>"</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The idea of being omniscient is to transcend and discover one's essential state of happiness. But even if a being believes that he attain a sense of happiness, it may be a fallacy and not the known. To illustrate this claim, I adopt </w:t>
      </w:r>
      <w:r>
        <w:rPr>
          <w:rFonts w:ascii="Times New Roman" w:hAnsi="Times New Roman" w:cs="Times New Roman"/>
          <w:sz w:val="24"/>
          <w:highlight w:val="yellow"/>
        </w:rPr>
        <w:t xml:space="preserve">Tal Ben-Shahar's (2007) </w:t>
      </w:r>
      <w:r>
        <w:rPr>
          <w:rFonts w:ascii="Times New Roman" w:hAnsi="Times New Roman" w:cs="Times New Roman"/>
          <w:sz w:val="24"/>
        </w:rPr>
        <w:t>model and analyze possible cognitive limitations that hinder each archetype to transcend. For every individual who has a belief in present and future happiness, one can fill into a quadrant.</w:t>
      </w:r>
    </w:p>
    <w:p>
      <w:pPr>
        <w:spacing w:line="480" w:lineRule="auto"/>
        <w:rPr>
          <w:rFonts w:ascii="Times New Roman" w:hAnsi="Times New Roman" w:cs="Times New Roman"/>
          <w:b/>
          <w:bCs/>
          <w:sz w:val="24"/>
        </w:rPr>
      </w:pPr>
      <w:r>
        <w:rPr>
          <w:rFonts w:hint="eastAsia" w:ascii="Times New Roman" w:hAnsi="Times New Roman" w:cs="Times New Roman"/>
          <w:b/>
          <w:bCs/>
          <w:sz w:val="24"/>
        </w:rPr>
        <w:t>Figure 1</w:t>
      </w:r>
    </w:p>
    <w:p>
      <w:pPr>
        <w:spacing w:line="480" w:lineRule="auto"/>
        <w:rPr>
          <w:rFonts w:ascii="Times New Roman" w:hAnsi="Times New Roman" w:cs="Times New Roman"/>
          <w:i/>
          <w:iCs/>
          <w:sz w:val="24"/>
        </w:rPr>
      </w:pPr>
      <w:r>
        <w:rPr>
          <w:rFonts w:hint="eastAsia" w:ascii="Times New Roman" w:hAnsi="Times New Roman" w:cs="Times New Roman"/>
          <w:i/>
          <w:iCs/>
          <w:sz w:val="24"/>
        </w:rPr>
        <w:t>The four quadrant</w:t>
      </w:r>
    </w:p>
    <w:p>
      <w:pPr>
        <w:jc w:val="left"/>
      </w:pPr>
      <w:bookmarkStart w:id="1" w:name="_GoBack"/>
      <w:r>
        <w:drawing>
          <wp:inline distT="0" distB="0" distL="114300" distR="114300">
            <wp:extent cx="5206365" cy="2763520"/>
            <wp:effectExtent l="0" t="0" r="13335" b="177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06365" cy="2763520"/>
                    </a:xfrm>
                    <a:prstGeom prst="rect">
                      <a:avLst/>
                    </a:prstGeom>
                    <a:noFill/>
                    <a:ln>
                      <a:noFill/>
                    </a:ln>
                  </pic:spPr>
                </pic:pic>
              </a:graphicData>
            </a:graphic>
          </wp:inline>
        </w:drawing>
      </w:r>
      <w:bookmarkEnd w:id="1"/>
    </w:p>
    <w:p>
      <w:pPr>
        <w:pStyle w:val="5"/>
        <w:widowControl/>
        <w:spacing w:beforeAutospacing="0" w:afterAutospacing="0" w:line="480" w:lineRule="auto"/>
        <w:rPr>
          <w:rFonts w:ascii="Times New Roman" w:hAnsi="Times New Roman"/>
        </w:rPr>
      </w:pPr>
      <w:r>
        <w:rPr>
          <w:rFonts w:ascii="Times New Roman" w:hAnsi="Times New Roman"/>
          <w:i/>
          <w:iCs/>
        </w:rPr>
        <w:t>Note.</w:t>
      </w:r>
      <w:r>
        <w:rPr>
          <w:rFonts w:hint="eastAsia" w:ascii="Times New Roman" w:hAnsi="Times New Roman"/>
          <w:i/>
          <w:iCs/>
        </w:rPr>
        <w:t xml:space="preserve"> </w:t>
      </w:r>
      <w:r>
        <w:rPr>
          <w:rFonts w:hint="eastAsia" w:ascii="Times New Roman" w:hAnsi="Times New Roman"/>
        </w:rPr>
        <w:t xml:space="preserve">The image is from </w:t>
      </w:r>
      <w:r>
        <w:rPr>
          <w:rFonts w:ascii="Times New Roman" w:hAnsi="Times New Roman"/>
        </w:rPr>
        <w:t xml:space="preserve">Tal Ben-Shahar. (2007). </w:t>
      </w:r>
      <w:r>
        <w:rPr>
          <w:rFonts w:ascii="Times New Roman" w:hAnsi="Times New Roman"/>
          <w:i/>
          <w:iCs/>
        </w:rPr>
        <w:t>Happier : learn the secrets to daily joy and lasting fulfillment</w:t>
      </w:r>
      <w:r>
        <w:rPr>
          <w:rFonts w:ascii="Times New Roman" w:hAnsi="Times New Roman"/>
        </w:rPr>
        <w:t>. Mcgraw-Hill.</w:t>
      </w:r>
    </w:p>
    <w:p>
      <w:pPr>
        <w:spacing w:line="480" w:lineRule="auto"/>
        <w:jc w:val="left"/>
        <w:rPr>
          <w:rFonts w:ascii="Times New Roman" w:hAnsi="Times New Roman" w:cs="Times New Roman"/>
          <w:b/>
          <w:bCs/>
          <w:sz w:val="24"/>
        </w:rPr>
      </w:pPr>
      <w:r>
        <w:rPr>
          <w:rFonts w:ascii="Times New Roman" w:hAnsi="Times New Roman" w:cs="Times New Roman"/>
          <w:b/>
          <w:bCs/>
          <w:sz w:val="24"/>
        </w:rPr>
        <w:t>Hedonism: ultimate happiness is attained</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By taking psychoactive drugs and performing religious behaviors, human beings can intentionally alter their states of consciousness </w:t>
      </w:r>
      <w:r>
        <w:rPr>
          <w:rFonts w:ascii="Times New Roman" w:hAnsi="Times New Roman" w:cs="Times New Roman"/>
          <w:sz w:val="24"/>
          <w:highlight w:val="yellow"/>
        </w:rPr>
        <w:t>(Cacioppo &amp; Freberg, 2019, p. 215).</w:t>
      </w:r>
      <w:r>
        <w:rPr>
          <w:rFonts w:ascii="Times New Roman" w:hAnsi="Times New Roman" w:cs="Times New Roman"/>
          <w:sz w:val="24"/>
        </w:rPr>
        <w:t xml:space="preserve"> With this artificial change of beliefs, hedonistic drug takers regard instant satisfaction as happiness and disregard their future. However, if happiness exists in the form of eudaimonia, the overall experience in life is related to one's experience toward happiness. Since hedonists blind future possible happiness, transcendence can only occur when they realize the mistake of regarding instant excitement as ultimate happiness. </w:t>
      </w:r>
    </w:p>
    <w:p>
      <w:pPr>
        <w:spacing w:line="480" w:lineRule="auto"/>
        <w:jc w:val="left"/>
        <w:rPr>
          <w:rFonts w:ascii="Times New Roman" w:hAnsi="Times New Roman" w:cs="Times New Roman"/>
          <w:sz w:val="24"/>
        </w:rPr>
      </w:pPr>
      <w:r>
        <w:rPr>
          <w:rFonts w:hint="eastAsia" w:ascii="Times New Roman" w:hAnsi="Times New Roman" w:cs="Times New Roman"/>
          <w:sz w:val="24"/>
          <w:u w:val="single"/>
        </w:rPr>
        <w:t>【</w:t>
      </w:r>
      <w:r>
        <w:rPr>
          <w:rFonts w:ascii="Times New Roman" w:hAnsi="Times New Roman" w:cs="Times New Roman"/>
          <w:sz w:val="24"/>
          <w:u w:val="single"/>
        </w:rPr>
        <w:t>Overall achievement--needs further clarification, even include the events after death.[ oxford handbook of happiness</w:t>
      </w:r>
      <w:r>
        <w:rPr>
          <w:rFonts w:hint="eastAsia" w:ascii="Times New Roman" w:hAnsi="Times New Roman" w:cs="Times New Roman"/>
          <w:sz w:val="24"/>
          <w:u w:val="single"/>
        </w:rPr>
        <w:t>】</w:t>
      </w:r>
    </w:p>
    <w:p>
      <w:pPr>
        <w:spacing w:line="480" w:lineRule="auto"/>
        <w:jc w:val="left"/>
        <w:rPr>
          <w:rFonts w:ascii="Times New Roman" w:hAnsi="Times New Roman" w:cs="Times New Roman"/>
          <w:b/>
          <w:bCs/>
          <w:sz w:val="24"/>
        </w:rPr>
      </w:pPr>
      <w:r>
        <w:rPr>
          <w:rFonts w:ascii="Times New Roman" w:hAnsi="Times New Roman" w:cs="Times New Roman"/>
          <w:b/>
          <w:bCs/>
          <w:sz w:val="24"/>
        </w:rPr>
        <w:t>Nihilism: happiness died</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During World War II, numerous people failed into learned helplessness and believed that they lost both present and future happiness. According to Karl Jasper's theory, they fail into a "limit situation", believing that only the external locus of control exists </w:t>
      </w:r>
      <w:r>
        <w:rPr>
          <w:rFonts w:ascii="Times New Roman" w:hAnsi="Times New Roman" w:cs="Times New Roman"/>
          <w:sz w:val="24"/>
          <w:highlight w:val="yellow"/>
        </w:rPr>
        <w:t xml:space="preserve">(Valdes-Stauber, 2016). </w:t>
      </w:r>
      <w:r>
        <w:rPr>
          <w:rFonts w:ascii="Times New Roman" w:hAnsi="Times New Roman" w:cs="Times New Roman"/>
          <w:sz w:val="24"/>
        </w:rPr>
        <w:t xml:space="preserve">However, a limit situation also can "becomes one's destination in the realization of one's existence", provoking people to ask for higher happiness </w:t>
      </w:r>
      <w:r>
        <w:rPr>
          <w:rFonts w:ascii="Times New Roman" w:hAnsi="Times New Roman" w:cs="Times New Roman"/>
          <w:sz w:val="24"/>
          <w:highlight w:val="yellow"/>
        </w:rPr>
        <w:t>(Jacobsen, 2008</w:t>
      </w:r>
      <w:r>
        <w:rPr>
          <w:rFonts w:ascii="Times New Roman" w:hAnsi="Times New Roman" w:cs="Times New Roman"/>
          <w:sz w:val="24"/>
        </w:rPr>
        <w:t xml:space="preserve">). </w:t>
      </w:r>
      <w:r>
        <w:rPr>
          <w:rFonts w:ascii="Times New Roman" w:hAnsi="Times New Roman" w:cs="Times New Roman"/>
          <w:sz w:val="24"/>
          <w:highlight w:val="yellow"/>
        </w:rPr>
        <w:t xml:space="preserve">Frankl (2006) </w:t>
      </w:r>
      <w:r>
        <w:rPr>
          <w:rFonts w:ascii="Times New Roman" w:hAnsi="Times New Roman" w:cs="Times New Roman"/>
          <w:sz w:val="24"/>
        </w:rPr>
        <w:t xml:space="preserve">accepted his unavoidable sufferings bravely, believing potential meaning is possible to find within. People with serious chronic diseases learn to adapt to their impairments and transcend themselves </w:t>
      </w:r>
      <w:r>
        <w:rPr>
          <w:rFonts w:ascii="Times New Roman" w:hAnsi="Times New Roman" w:cs="Times New Roman"/>
          <w:sz w:val="24"/>
          <w:highlight w:val="yellow"/>
        </w:rPr>
        <w:t xml:space="preserve">(Charmaz, 1995). </w:t>
      </w:r>
      <w:r>
        <w:rPr>
          <w:rFonts w:ascii="Times New Roman" w:hAnsi="Times New Roman" w:cs="Times New Roman"/>
          <w:sz w:val="24"/>
        </w:rPr>
        <w:t xml:space="preserve">Thus, if the higher happiness integrates the meaning of pain, nihilists evaluate their happiness based on their "existence" rather than their "essence" </w:t>
      </w:r>
      <w:r>
        <w:rPr>
          <w:rFonts w:ascii="Times New Roman" w:hAnsi="Times New Roman" w:cs="Times New Roman"/>
          <w:sz w:val="24"/>
          <w:highlight w:val="yellow"/>
        </w:rPr>
        <w:t xml:space="preserve">(Sartre, 1946), </w:t>
      </w:r>
      <w:r>
        <w:rPr>
          <w:rFonts w:ascii="Times New Roman" w:hAnsi="Times New Roman" w:cs="Times New Roman"/>
          <w:sz w:val="24"/>
        </w:rPr>
        <w:t xml:space="preserve">disregarding the potential of transitoriness. </w:t>
      </w:r>
    </w:p>
    <w:p>
      <w:pPr>
        <w:spacing w:line="480" w:lineRule="auto"/>
        <w:jc w:val="left"/>
        <w:rPr>
          <w:rFonts w:ascii="Times New Roman" w:hAnsi="Times New Roman" w:cs="Times New Roman"/>
          <w:b/>
          <w:bCs/>
          <w:sz w:val="24"/>
        </w:rPr>
      </w:pPr>
      <w:commentRangeStart w:id="0"/>
      <w:r>
        <w:rPr>
          <w:rFonts w:ascii="Times New Roman" w:hAnsi="Times New Roman" w:cs="Times New Roman"/>
          <w:b/>
          <w:bCs/>
          <w:sz w:val="24"/>
        </w:rPr>
        <w:t>Happiness: the distinction between evaluation and beliefs</w:t>
      </w:r>
      <w:commentRangeEnd w:id="0"/>
      <w:r>
        <w:commentReference w:id="0"/>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Happiness is the archetype that has the highest possibility of approaching the knowing since they believe that they have the potential of discovering one's maxim of happiness. With the belief to transcend, they take happiness more as a dynamic skill that detaches from established experiences and momentary states. However, while the perception turns to explicit rating within oneself, possible bias may occur during the construction of the frame. For instance, about what contributes to one's happiness, individuals take certain aspects as the main cause, but the ignored intricate associations among these aspects are also essential for gaining happiness. As Gestalt psychology illustrated, one's understanding "seems to depend upon relations among the stimuli rather than upon the individual stimuli as such </w:t>
      </w:r>
      <w:r>
        <w:rPr>
          <w:rFonts w:ascii="Times New Roman" w:hAnsi="Times New Roman" w:cs="Times New Roman"/>
          <w:sz w:val="24"/>
          <w:highlight w:val="yellow"/>
        </w:rPr>
        <w:t>(Kohler, 1967).</w:t>
      </w:r>
      <w:r>
        <w:rPr>
          <w:rFonts w:ascii="Times New Roman" w:hAnsi="Times New Roman" w:cs="Times New Roman"/>
          <w:sz w:val="24"/>
        </w:rPr>
        <w:t xml:space="preserve">" Therefore, the transition between perception and evaluation can undermine the known. </w:t>
      </w:r>
    </w:p>
    <w:p>
      <w:pPr>
        <w:spacing w:line="480" w:lineRule="auto"/>
        <w:jc w:val="left"/>
        <w:rPr>
          <w:rFonts w:ascii="Times New Roman" w:hAnsi="Times New Roman" w:cs="Times New Roman"/>
          <w:b/>
          <w:bCs/>
          <w:sz w:val="24"/>
        </w:rPr>
      </w:pPr>
      <w:r>
        <w:rPr>
          <w:rFonts w:ascii="Times New Roman" w:hAnsi="Times New Roman" w:cs="Times New Roman"/>
          <w:b/>
          <w:bCs/>
          <w:sz w:val="24"/>
        </w:rPr>
        <w:t>Rat Racer: serving for happiness</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Rat racers "subordinate the present to the future" and "suffer now for some anticipated gain" </w:t>
      </w:r>
      <w:r>
        <w:rPr>
          <w:rFonts w:ascii="Times New Roman" w:hAnsi="Times New Roman" w:cs="Times New Roman"/>
          <w:sz w:val="24"/>
          <w:highlight w:val="yellow"/>
        </w:rPr>
        <w:t xml:space="preserve">(Tal Ben-Shahar, 2007), </w:t>
      </w:r>
      <w:r>
        <w:rPr>
          <w:rFonts w:ascii="Times New Roman" w:hAnsi="Times New Roman" w:cs="Times New Roman"/>
          <w:sz w:val="24"/>
        </w:rPr>
        <w:t xml:space="preserve">regarding their sacrifice in present happiness is meaningful. However, this destiny-orientated pursuit ignores the impact of the shift in reference points. Under this "finite game" </w:t>
      </w:r>
      <w:r>
        <w:rPr>
          <w:rFonts w:ascii="Times New Roman" w:hAnsi="Times New Roman" w:cs="Times New Roman"/>
          <w:sz w:val="24"/>
          <w:u w:val="single"/>
        </w:rPr>
        <w:t>(which is played to win</w:t>
      </w:r>
      <w:r>
        <w:rPr>
          <w:rFonts w:ascii="Times New Roman" w:hAnsi="Times New Roman" w:cs="Times New Roman"/>
          <w:sz w:val="24"/>
          <w:highlight w:val="yellow"/>
          <w:u w:val="single"/>
        </w:rPr>
        <w:t>)(</w:t>
      </w:r>
      <w:r>
        <w:rPr>
          <w:rFonts w:ascii="Times New Roman" w:hAnsi="Times New Roman" w:cs="Times New Roman"/>
          <w:sz w:val="24"/>
          <w:highlight w:val="yellow"/>
        </w:rPr>
        <w:t>Carse, 2012),</w:t>
      </w:r>
      <w:r>
        <w:rPr>
          <w:rFonts w:ascii="Times New Roman" w:hAnsi="Times New Roman" w:cs="Times New Roman"/>
          <w:sz w:val="24"/>
        </w:rPr>
        <w:t xml:space="preserve"> rat racers keep aiming for a higher reference point and leave themselves in a state of loss. Due to loss aversion, the same amount of gain from the past and loss from now cannot subjectively offset each other </w:t>
      </w:r>
      <w:r>
        <w:rPr>
          <w:rFonts w:ascii="Times New Roman" w:hAnsi="Times New Roman" w:cs="Times New Roman"/>
          <w:sz w:val="24"/>
          <w:highlight w:val="yellow"/>
        </w:rPr>
        <w:t>(Kahneman, 2011).</w:t>
      </w:r>
      <w:r>
        <w:rPr>
          <w:rFonts w:ascii="Times New Roman" w:hAnsi="Times New Roman" w:cs="Times New Roman"/>
          <w:sz w:val="24"/>
        </w:rPr>
        <w:t xml:space="preserve"> Without possible transcending, which is to gain happiness from journeys, rat racers accumulate their loss and search for happiness continuously with improper direction. </w:t>
      </w:r>
    </w:p>
    <w:p>
      <w:pPr>
        <w:spacing w:line="480" w:lineRule="auto"/>
        <w:ind w:firstLine="420"/>
        <w:jc w:val="left"/>
        <w:rPr>
          <w:rFonts w:ascii="Times New Roman" w:hAnsi="Times New Roman" w:cs="Times New Roman"/>
          <w:sz w:val="24"/>
        </w:rPr>
      </w:pPr>
    </w:p>
    <w:p>
      <w:pPr>
        <w:spacing w:line="480" w:lineRule="auto"/>
        <w:ind w:firstLine="420"/>
        <w:jc w:val="left"/>
        <w:rPr>
          <w:rFonts w:hint="eastAsia" w:ascii="Times New Roman" w:hAnsi="Times New Roman" w:cs="Times New Roman"/>
          <w:color w:val="FF0000"/>
          <w:sz w:val="24"/>
        </w:rPr>
      </w:pPr>
      <w:r>
        <w:rPr>
          <w:rFonts w:hint="eastAsia" w:ascii="Times New Roman" w:hAnsi="Times New Roman" w:cs="Times New Roman"/>
          <w:color w:val="FF0000"/>
          <w:sz w:val="24"/>
        </w:rPr>
        <w:t>（process</w:t>
      </w:r>
      <w:r>
        <w:rPr>
          <w:rFonts w:ascii="Times New Roman" w:hAnsi="Times New Roman" w:cs="Times New Roman"/>
          <w:color w:val="FF0000"/>
          <w:sz w:val="24"/>
        </w:rPr>
        <w:t xml:space="preserve"> 1 </w:t>
      </w:r>
      <w:r>
        <w:rPr>
          <w:rFonts w:hint="eastAsia" w:ascii="Times New Roman" w:hAnsi="Times New Roman" w:cs="Times New Roman"/>
          <w:color w:val="FF0000"/>
          <w:sz w:val="24"/>
        </w:rPr>
        <w:t>后面可以加上一两行的总结，即大家很难有自我认知）</w:t>
      </w:r>
    </w:p>
    <w:p>
      <w:pPr>
        <w:spacing w:line="480" w:lineRule="auto"/>
        <w:ind w:firstLine="420"/>
        <w:jc w:val="center"/>
        <w:rPr>
          <w:rFonts w:ascii="Times New Roman" w:hAnsi="Times New Roman" w:cs="Times New Roman"/>
          <w:b/>
          <w:bCs/>
          <w:sz w:val="24"/>
        </w:rPr>
      </w:pPr>
      <w:r>
        <w:rPr>
          <w:rFonts w:ascii="Times New Roman" w:hAnsi="Times New Roman" w:cs="Times New Roman"/>
          <w:b/>
          <w:bCs/>
          <w:sz w:val="24"/>
        </w:rPr>
        <w:t>Second process: the interaction between internality and externality</w:t>
      </w:r>
    </w:p>
    <w:p>
      <w:pPr>
        <w:spacing w:line="480" w:lineRule="auto"/>
        <w:ind w:firstLine="420"/>
        <w:jc w:val="left"/>
        <w:rPr>
          <w:rFonts w:ascii="Times New Roman" w:hAnsi="Times New Roman" w:cs="Times New Roman"/>
          <w:sz w:val="24"/>
        </w:rPr>
      </w:pPr>
      <w:r>
        <w:rPr>
          <w:rFonts w:ascii="Times New Roman" w:hAnsi="Times New Roman" w:cs="Times New Roman"/>
          <w:sz w:val="24"/>
        </w:rPr>
        <w:t>Now the respondents need to convey their understanding to the test. To ensure the second process proceeds successfully, two conditions need to be satisfied:</w:t>
      </w:r>
    </w:p>
    <w:p>
      <w:pPr>
        <w:spacing w:line="480" w:lineRule="auto"/>
        <w:jc w:val="left"/>
        <w:rPr>
          <w:rFonts w:ascii="Times New Roman" w:hAnsi="Times New Roman" w:cs="Times New Roman"/>
          <w:sz w:val="24"/>
        </w:rPr>
      </w:pPr>
      <w:r>
        <w:rPr>
          <w:rFonts w:ascii="Times New Roman" w:hAnsi="Times New Roman" w:cs="Times New Roman"/>
          <w:sz w:val="24"/>
        </w:rPr>
        <w:t>2.1)Individuals are willing to convey their understanding of externality fully and accurately</w:t>
      </w:r>
    </w:p>
    <w:p>
      <w:pPr>
        <w:spacing w:line="480" w:lineRule="auto"/>
        <w:jc w:val="left"/>
        <w:rPr>
          <w:rFonts w:ascii="Times New Roman" w:hAnsi="Times New Roman" w:cs="Times New Roman"/>
          <w:sz w:val="24"/>
        </w:rPr>
      </w:pPr>
      <w:r>
        <w:rPr>
          <w:rFonts w:ascii="Times New Roman" w:hAnsi="Times New Roman" w:cs="Times New Roman"/>
          <w:sz w:val="24"/>
        </w:rPr>
        <w:t>2.2)externality constructs a frame that can capture individuals' understanding fully</w:t>
      </w:r>
    </w:p>
    <w:p>
      <w:pPr>
        <w:spacing w:line="480" w:lineRule="auto"/>
        <w:ind w:firstLine="420"/>
        <w:jc w:val="left"/>
        <w:rPr>
          <w:rFonts w:ascii="Times New Roman" w:hAnsi="Times New Roman" w:cs="Times New Roman"/>
          <w:sz w:val="24"/>
        </w:rPr>
      </w:pPr>
      <w:r>
        <w:rPr>
          <w:rFonts w:ascii="Times New Roman" w:hAnsi="Times New Roman" w:cs="Times New Roman"/>
          <w:sz w:val="24"/>
        </w:rPr>
        <w:t>Firstly, for 2.1 condition, tests' intentions can strongly affect individuals' willingness. If the test aims to achieve the externality's purpose, such as collecting data for scientific research, moderate anonymity facilitates the authenticity by lowering social desirability pressures</w:t>
      </w:r>
      <w:r>
        <w:rPr>
          <w:rFonts w:ascii="Times New Roman" w:hAnsi="Times New Roman" w:cs="Times New Roman"/>
          <w:sz w:val="24"/>
          <w:highlight w:val="yellow"/>
        </w:rPr>
        <w:t xml:space="preserve"> (Lelkes et al., 2012) </w:t>
      </w:r>
      <w:r>
        <w:rPr>
          <w:rFonts w:ascii="Times New Roman" w:hAnsi="Times New Roman" w:cs="Times New Roman"/>
          <w:sz w:val="24"/>
        </w:rPr>
        <w:t xml:space="preserve">However, if the respondents regard the measurement as a way of knowing himself, one main question will arise: can a man be honest to himself when he/she stays alone? </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The existence of cognitive dissonance can undermine respondents' willingness to convey their understanding. For rat racers, reporting a high level of happiness (action) allows respondents to stay consistent with the social expectation of wealth and fame (belief), even though they realize the lack of happiness. Moreover, under the value system that "unhappiness is a symptom of maladjustment" </w:t>
      </w:r>
      <w:r>
        <w:rPr>
          <w:rFonts w:ascii="Times New Roman" w:hAnsi="Times New Roman" w:cs="Times New Roman"/>
          <w:sz w:val="24"/>
          <w:highlight w:val="yellow"/>
        </w:rPr>
        <w:t>(Frankl, 2006),</w:t>
      </w:r>
      <w:r>
        <w:rPr>
          <w:rFonts w:ascii="Times New Roman" w:hAnsi="Times New Roman" w:cs="Times New Roman"/>
          <w:sz w:val="24"/>
        </w:rPr>
        <w:t xml:space="preserve"> respondents may hide their willingness further to conform to social desirability and reduce their cognitive dissonance.</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Secondly, to satisfy 2.2 condition, an effective frame first needs to ensure the testing questions can capture all respondents' personal understandings. Therefore, researchers use "meaning" in tests without clarification, or a broad definition such as "as the sense made of" </w:t>
      </w:r>
      <w:r>
        <w:rPr>
          <w:rFonts w:ascii="Times New Roman" w:hAnsi="Times New Roman" w:cs="Times New Roman"/>
          <w:sz w:val="24"/>
          <w:highlight w:val="yellow"/>
        </w:rPr>
        <w:t>(Steger et al., 2006).</w:t>
      </w:r>
      <w:r>
        <w:rPr>
          <w:rFonts w:ascii="Times New Roman" w:hAnsi="Times New Roman" w:cs="Times New Roman"/>
          <w:sz w:val="24"/>
        </w:rPr>
        <w:t xml:space="preserve"> But the lack of precision means respondents' personal understandings need to be clear. If the first process fails, then 2.2 condition will hard to be achieved.</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Alternatively, the test can turn out to be more precise by including more potential factors, such as "non-hedonic sources of happiness and suffering </w:t>
      </w:r>
      <w:r>
        <w:rPr>
          <w:rFonts w:ascii="Times New Roman" w:hAnsi="Times New Roman" w:cs="Times New Roman"/>
          <w:sz w:val="24"/>
          <w:highlight w:val="yellow"/>
        </w:rPr>
        <w:t>(Stone et al.,2013)</w:t>
      </w:r>
      <w:r>
        <w:rPr>
          <w:rFonts w:ascii="Times New Roman" w:hAnsi="Times New Roman" w:cs="Times New Roman"/>
          <w:sz w:val="24"/>
        </w:rPr>
        <w:t>." However, precision can bring more challenges. For instance, confronting a challenge successfully can bring competence, which is normally regarded as a promoter of happiness. However, if respondents feel a lack of autonomy while they handle the tasks, competence then cannot enhance their happiness</w:t>
      </w:r>
      <w:r>
        <w:rPr>
          <w:rFonts w:ascii="Times New Roman" w:hAnsi="Times New Roman" w:cs="Times New Roman"/>
          <w:sz w:val="24"/>
          <w:highlight w:val="yellow"/>
        </w:rPr>
        <w:t xml:space="preserve"> (Ryan &amp; Deci, 2000).</w:t>
      </w:r>
      <w:r>
        <w:rPr>
          <w:rFonts w:ascii="Times New Roman" w:hAnsi="Times New Roman" w:cs="Times New Roman"/>
          <w:sz w:val="24"/>
        </w:rPr>
        <w:t xml:space="preserve"> Therefore, if the measurement improves the evaluation by incorporating more correlated sources, such as competence, it needs to take even more correlated factors to ensure the test is unbiased. </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Not only does the trade-off between broadness and precision can brings a challenge, but also the cognition of society can limit the frame of the test. Influenced by culture, measurement in a collectivist society attaches more importance to contributions toward groups, likely to regard these efforts are more eudaimonic than personal growth. Influenced by the features of an era, society's understanding of happiness diverges with individuals'. For instance, in Song Dynasty, Su Tungpo spoke truth to power and thus was exiled to undeveloped land such as Lingnan. Even though he suffered, he still perceived a strong sense of happiness, expressing that in his poem: "With three hundred litchis every day and night; I am willing to be a Lingnan man for the rest of my life." </w:t>
      </w:r>
      <w:r>
        <w:rPr>
          <w:rFonts w:ascii="Times New Roman" w:hAnsi="Times New Roman" w:cs="Times New Roman"/>
          <w:sz w:val="24"/>
          <w:highlight w:val="yellow"/>
        </w:rPr>
        <w:t>(Lin, 2018)</w:t>
      </w:r>
      <w:r>
        <w:rPr>
          <w:rFonts w:ascii="Times New Roman" w:hAnsi="Times New Roman" w:cs="Times New Roman"/>
          <w:sz w:val="24"/>
        </w:rPr>
        <w:t xml:space="preserve"> The society aimed to suppress him and reduced his happiness, but Tungpo "amor fati"--loves his fate </w:t>
      </w:r>
      <w:r>
        <w:rPr>
          <w:rFonts w:ascii="Times New Roman" w:hAnsi="Times New Roman" w:cs="Times New Roman"/>
          <w:sz w:val="24"/>
          <w:highlight w:val="yellow"/>
        </w:rPr>
        <w:t xml:space="preserve">(Han-Pile, 2009). </w:t>
      </w:r>
      <w:r>
        <w:rPr>
          <w:rFonts w:ascii="Times New Roman" w:hAnsi="Times New Roman" w:cs="Times New Roman"/>
          <w:sz w:val="24"/>
        </w:rPr>
        <w:t xml:space="preserve">The diverged understandings between individual and externality mean, if the externality constructs a measurement, it would hardly be not biased. </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More importantly, </w:t>
      </w:r>
      <w:r>
        <w:rPr>
          <w:rFonts w:ascii="Times New Roman" w:hAnsi="Times New Roman" w:cs="Times New Roman"/>
          <w:color w:val="FF0000"/>
          <w:sz w:val="24"/>
        </w:rPr>
        <w:t xml:space="preserve">individuals can hardly falsify </w:t>
      </w:r>
      <w:r>
        <w:rPr>
          <w:rFonts w:hint="eastAsia" w:ascii="Times New Roman" w:hAnsi="Times New Roman" w:cs="Times New Roman"/>
          <w:color w:val="FF0000"/>
          <w:sz w:val="24"/>
        </w:rPr>
        <w:t>（这句话可以正着说吗？）</w:t>
      </w:r>
      <w:r>
        <w:rPr>
          <w:rFonts w:ascii="Times New Roman" w:hAnsi="Times New Roman" w:cs="Times New Roman"/>
          <w:sz w:val="24"/>
        </w:rPr>
        <w:t xml:space="preserve">that society and individuals have diverged understanding toward happiness. For instance, It is convincing that social connection can promote the development of self-esteem </w:t>
      </w:r>
      <w:r>
        <w:rPr>
          <w:rFonts w:ascii="Times New Roman" w:hAnsi="Times New Roman" w:cs="Times New Roman"/>
          <w:sz w:val="24"/>
          <w:highlight w:val="yellow"/>
        </w:rPr>
        <w:t>(Maslow, 1943)</w:t>
      </w:r>
      <w:r>
        <w:rPr>
          <w:rFonts w:ascii="Times New Roman" w:hAnsi="Times New Roman" w:cs="Times New Roman"/>
          <w:sz w:val="24"/>
        </w:rPr>
        <w:t xml:space="preserve">, but is it possible that society overly reinforces the role of externality on one's happiness? Under the encouragement of social networks, one may falsely regard solitude as loneliness. Therefore, individuals' intrinsic understanding of happiness can be veiled. Society believes the test enhances its convergent validity, but is this still individuals' subjective well-being? Or is it more about society-encouraged well-being? </w:t>
      </w:r>
    </w:p>
    <w:p>
      <w:pPr>
        <w:spacing w:line="480" w:lineRule="auto"/>
        <w:jc w:val="center"/>
        <w:rPr>
          <w:rFonts w:ascii="Times New Roman" w:hAnsi="Times New Roman" w:cs="Times New Roman"/>
          <w:b/>
          <w:bCs/>
          <w:sz w:val="24"/>
        </w:rPr>
      </w:pPr>
      <w:r>
        <w:rPr>
          <w:rFonts w:ascii="Times New Roman" w:hAnsi="Times New Roman" w:cs="Times New Roman"/>
          <w:b/>
          <w:bCs/>
          <w:sz w:val="24"/>
        </w:rPr>
        <w:t>Conclusion</w:t>
      </w:r>
    </w:p>
    <w:p>
      <w:pPr>
        <w:spacing w:line="480" w:lineRule="auto"/>
        <w:ind w:firstLine="420"/>
        <w:jc w:val="left"/>
        <w:rPr>
          <w:rFonts w:ascii="Times New Roman" w:hAnsi="Times New Roman" w:cs="Times New Roman"/>
          <w:color w:val="FF0000"/>
          <w:sz w:val="24"/>
        </w:rPr>
      </w:pPr>
      <w:r>
        <w:rPr>
          <w:rFonts w:ascii="Times New Roman" w:hAnsi="Times New Roman" w:cs="Times New Roman"/>
          <w:sz w:val="24"/>
        </w:rPr>
        <w:t>This essay argues</w:t>
      </w:r>
      <w:r>
        <w:rPr>
          <w:rFonts w:hint="eastAsia" w:ascii="Times New Roman" w:hAnsi="Times New Roman" w:cs="Times New Roman"/>
          <w:sz w:val="24"/>
        </w:rPr>
        <w:t>（</w:t>
      </w:r>
      <w:r>
        <w:rPr>
          <w:rFonts w:ascii="Times New Roman" w:hAnsi="Times New Roman" w:cs="Times New Roman"/>
          <w:color w:val="FF0000"/>
          <w:sz w:val="24"/>
          <w:lang w:val="en-GB"/>
        </w:rPr>
        <w:t>has argued</w:t>
      </w:r>
      <w:r>
        <w:rPr>
          <w:rFonts w:ascii="Times New Roman" w:hAnsi="Times New Roman" w:cs="Times New Roman"/>
          <w:sz w:val="24"/>
          <w:lang w:val="en-GB"/>
        </w:rPr>
        <w:t>?</w:t>
      </w:r>
      <w:r>
        <w:rPr>
          <w:rFonts w:hint="eastAsia" w:ascii="Times New Roman" w:hAnsi="Times New Roman" w:cs="Times New Roman"/>
          <w:sz w:val="24"/>
        </w:rPr>
        <w:t>）</w:t>
      </w:r>
      <w:r>
        <w:rPr>
          <w:rFonts w:ascii="Times New Roman" w:hAnsi="Times New Roman" w:cs="Times New Roman"/>
          <w:sz w:val="24"/>
        </w:rPr>
        <w:t xml:space="preserve"> happiness cannot be measured by a subjective well-being test (SWB) by examining two processes. </w:t>
      </w:r>
      <w:r>
        <w:rPr>
          <w:rFonts w:ascii="Times New Roman" w:hAnsi="Times New Roman" w:cs="Times New Roman"/>
          <w:color w:val="FF0000"/>
          <w:sz w:val="24"/>
        </w:rPr>
        <w:t>(</w:t>
      </w:r>
      <w:r>
        <w:rPr>
          <w:rFonts w:hint="eastAsia" w:ascii="Times New Roman" w:hAnsi="Times New Roman" w:cs="Times New Roman"/>
          <w:color w:val="FF0000"/>
          <w:sz w:val="24"/>
        </w:rPr>
        <w:t>换个说法，因为题目是</w:t>
      </w:r>
      <w:r>
        <w:rPr>
          <w:rFonts w:ascii="Times New Roman" w:hAnsi="Times New Roman" w:cs="Times New Roman"/>
          <w:color w:val="FF0000"/>
          <w:sz w:val="24"/>
          <w:lang w:val="en-GB"/>
        </w:rPr>
        <w:t xml:space="preserve">can happiness be measured, </w:t>
      </w:r>
      <w:r>
        <w:rPr>
          <w:rFonts w:hint="eastAsia" w:ascii="Times New Roman" w:hAnsi="Times New Roman" w:cs="Times New Roman"/>
          <w:color w:val="FF0000"/>
          <w:sz w:val="24"/>
          <w:lang w:val="en-GB"/>
        </w:rPr>
        <w:t>而不是</w:t>
      </w:r>
      <w:r>
        <w:rPr>
          <w:rFonts w:ascii="Times New Roman" w:hAnsi="Times New Roman" w:cs="Times New Roman"/>
          <w:color w:val="FF0000"/>
          <w:sz w:val="24"/>
          <w:lang w:val="en-GB"/>
        </w:rPr>
        <w:t>can happiness be measured by SWB</w:t>
      </w:r>
      <w:r>
        <w:rPr>
          <w:rFonts w:hint="eastAsia" w:ascii="Times New Roman" w:hAnsi="Times New Roman" w:cs="Times New Roman"/>
          <w:color w:val="FF0000"/>
          <w:sz w:val="24"/>
        </w:rPr>
        <w:t>)</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First, when a man evaluates his/her inner happiness, he/she first needs to approach the state of knowing. However, even if the man believes that he/she achieves knowing, he/she may be hindered by cognitive limitations as explained by archetype analysis. </w:t>
      </w:r>
    </w:p>
    <w:p>
      <w:pPr>
        <w:spacing w:line="480" w:lineRule="auto"/>
        <w:ind w:firstLine="420"/>
        <w:jc w:val="left"/>
        <w:rPr>
          <w:rFonts w:ascii="Times New Roman" w:hAnsi="Times New Roman" w:cs="Times New Roman"/>
          <w:sz w:val="24"/>
        </w:rPr>
      </w:pPr>
      <w:r>
        <w:rPr>
          <w:rFonts w:ascii="Times New Roman" w:hAnsi="Times New Roman" w:cs="Times New Roman"/>
          <w:sz w:val="24"/>
        </w:rPr>
        <w:t xml:space="preserve">Second, when the respondents convey their understanding to the test, their willingness to convey and the test's frame affect the extent that happiness is reflected. Respectively, cognitive dissonance can undermine one's willingness to convey, and the trade-off between broadness and preciseness brings challenges to construct questions. </w:t>
      </w:r>
    </w:p>
    <w:p>
      <w:pPr>
        <w:spacing w:line="480" w:lineRule="auto"/>
        <w:ind w:firstLine="420"/>
        <w:jc w:val="left"/>
        <w:rPr>
          <w:rFonts w:ascii="Times New Roman" w:hAnsi="Times New Roman" w:cs="Times New Roman"/>
          <w:sz w:val="24"/>
        </w:rPr>
      </w:pPr>
      <w:r>
        <w:rPr>
          <w:rFonts w:ascii="Times New Roman" w:hAnsi="Times New Roman" w:cs="Times New Roman"/>
          <w:sz w:val="24"/>
        </w:rPr>
        <w:t>Last, I argue that the frame of the test is highly influenced by society's cognition, but instead, it should be based on individuals' cognition of happiness. This divergence between individuals' and externality's cognitions can hardly be proved under the influence of mainstream culture.</w:t>
      </w:r>
    </w:p>
    <w:p>
      <w:pPr>
        <w:spacing w:line="480" w:lineRule="auto"/>
        <w:jc w:val="left"/>
        <w:rPr>
          <w:rFonts w:ascii="Times New Roman" w:hAnsi="Times New Roman" w:cs="Times New Roman"/>
          <w:sz w:val="24"/>
        </w:rPr>
      </w:pPr>
    </w:p>
    <w:bookmarkEnd w:id="0"/>
    <w:p>
      <w:pPr>
        <w:pStyle w:val="5"/>
        <w:widowControl/>
        <w:spacing w:beforeAutospacing="0" w:afterAutospacing="0" w:line="480" w:lineRule="auto"/>
        <w:jc w:val="both"/>
        <w:rPr>
          <w:rFonts w:ascii="Times New Roman" w:hAnsi="Times New Roman"/>
        </w:rPr>
      </w:pPr>
    </w:p>
    <w:p>
      <w:pPr>
        <w:pStyle w:val="5"/>
        <w:widowControl/>
        <w:spacing w:beforeAutospacing="0" w:afterAutospacing="0" w:line="480" w:lineRule="auto"/>
        <w:jc w:val="center"/>
        <w:rPr>
          <w:b/>
          <w:bCs/>
        </w:rPr>
      </w:pPr>
      <w:r>
        <w:rPr>
          <w:rFonts w:ascii="Times New Roman" w:hAnsi="Times New Roman"/>
          <w:b/>
          <w:bCs/>
        </w:rPr>
        <w:t>References</w:t>
      </w:r>
    </w:p>
    <w:p>
      <w:pPr>
        <w:pStyle w:val="5"/>
        <w:widowControl/>
        <w:spacing w:beforeAutospacing="0" w:afterAutospacing="0" w:line="480" w:lineRule="auto"/>
        <w:ind w:hanging="720"/>
        <w:rPr>
          <w:highlight w:val="yellow"/>
        </w:rPr>
      </w:pPr>
      <w:r>
        <w:rPr>
          <w:rFonts w:ascii="Times New Roman" w:hAnsi="Times New Roman"/>
          <w:highlight w:val="yellow"/>
        </w:rPr>
        <w:t xml:space="preserve">Cacioppo, J. T., &amp; Freberg, L. (2019). </w:t>
      </w:r>
      <w:r>
        <w:rPr>
          <w:rFonts w:ascii="Times New Roman" w:hAnsi="Times New Roman"/>
          <w:i/>
          <w:iCs/>
          <w:highlight w:val="yellow"/>
        </w:rPr>
        <w:t>Discovering psychology 3e : the science of mind</w:t>
      </w:r>
      <w:r>
        <w:rPr>
          <w:rFonts w:ascii="Times New Roman" w:hAnsi="Times New Roman"/>
          <w:highlight w:val="yellow"/>
        </w:rPr>
        <w:t>. Cengage.</w:t>
      </w:r>
    </w:p>
    <w:p>
      <w:pPr>
        <w:pStyle w:val="5"/>
        <w:widowControl/>
        <w:spacing w:beforeAutospacing="0" w:afterAutospacing="0" w:line="480" w:lineRule="auto"/>
        <w:ind w:hanging="720"/>
        <w:rPr>
          <w:highlight w:val="yellow"/>
        </w:rPr>
      </w:pPr>
      <w:r>
        <w:rPr>
          <w:rFonts w:ascii="Times New Roman" w:hAnsi="Times New Roman"/>
          <w:highlight w:val="yellow"/>
        </w:rPr>
        <w:t xml:space="preserve">Carse, J. P. (2012). </w:t>
      </w:r>
      <w:r>
        <w:rPr>
          <w:rFonts w:ascii="Times New Roman" w:hAnsi="Times New Roman"/>
          <w:i/>
          <w:iCs/>
          <w:highlight w:val="yellow"/>
        </w:rPr>
        <w:t>Finite and infinite games : a vision of life as play and possibility</w:t>
      </w:r>
      <w:r>
        <w:rPr>
          <w:rFonts w:ascii="Times New Roman" w:hAnsi="Times New Roman"/>
          <w:highlight w:val="yellow"/>
        </w:rPr>
        <w:t>. Free Press.</w:t>
      </w:r>
    </w:p>
    <w:p>
      <w:pPr>
        <w:pStyle w:val="5"/>
        <w:widowControl/>
        <w:spacing w:beforeAutospacing="0" w:afterAutospacing="0" w:line="480" w:lineRule="auto"/>
        <w:ind w:hanging="720"/>
        <w:rPr>
          <w:highlight w:val="yellow"/>
        </w:rPr>
      </w:pPr>
      <w:r>
        <w:rPr>
          <w:rFonts w:ascii="Times New Roman" w:hAnsi="Times New Roman"/>
          <w:highlight w:val="yellow"/>
        </w:rPr>
        <w:t xml:space="preserve">Charmaz, K. (1995). The Body, Identity, and Self: Adapting to Impairment. </w:t>
      </w:r>
      <w:r>
        <w:rPr>
          <w:rFonts w:ascii="Times New Roman" w:hAnsi="Times New Roman"/>
          <w:i/>
          <w:iCs/>
          <w:highlight w:val="yellow"/>
        </w:rPr>
        <w:t>The Sociological Quarterly</w:t>
      </w:r>
      <w:r>
        <w:rPr>
          <w:rFonts w:ascii="Times New Roman" w:hAnsi="Times New Roman"/>
          <w:highlight w:val="yellow"/>
        </w:rPr>
        <w:t xml:space="preserve">, </w:t>
      </w:r>
      <w:r>
        <w:rPr>
          <w:rFonts w:ascii="Times New Roman" w:hAnsi="Times New Roman"/>
          <w:i/>
          <w:iCs/>
          <w:highlight w:val="yellow"/>
        </w:rPr>
        <w:t>36</w:t>
      </w:r>
      <w:r>
        <w:rPr>
          <w:rFonts w:ascii="Times New Roman" w:hAnsi="Times New Roman"/>
          <w:highlight w:val="yellow"/>
        </w:rPr>
        <w:t>(4), 657–680. https://www.jstor.org/stable/4121346</w:t>
      </w:r>
    </w:p>
    <w:p>
      <w:pPr>
        <w:pStyle w:val="5"/>
        <w:widowControl/>
        <w:spacing w:beforeAutospacing="0" w:afterAutospacing="0" w:line="480" w:lineRule="auto"/>
        <w:ind w:hanging="720"/>
        <w:rPr>
          <w:highlight w:val="yellow"/>
        </w:rPr>
      </w:pPr>
      <w:r>
        <w:rPr>
          <w:rFonts w:ascii="Times New Roman" w:hAnsi="Times New Roman"/>
          <w:highlight w:val="yellow"/>
        </w:rPr>
        <w:t xml:space="preserve">Corteen, R. S., &amp; Wood, B. (1972). Autonomic responses to shock-associated words in an unattended channel. </w:t>
      </w:r>
      <w:r>
        <w:rPr>
          <w:rFonts w:ascii="Times New Roman" w:hAnsi="Times New Roman"/>
          <w:i/>
          <w:iCs/>
          <w:highlight w:val="yellow"/>
        </w:rPr>
        <w:t>Journal of Experimental Psychology</w:t>
      </w:r>
      <w:r>
        <w:rPr>
          <w:rFonts w:ascii="Times New Roman" w:hAnsi="Times New Roman"/>
          <w:highlight w:val="yellow"/>
        </w:rPr>
        <w:t xml:space="preserve">, </w:t>
      </w:r>
      <w:r>
        <w:rPr>
          <w:rFonts w:ascii="Times New Roman" w:hAnsi="Times New Roman"/>
          <w:i/>
          <w:iCs/>
          <w:highlight w:val="yellow"/>
        </w:rPr>
        <w:t>94</w:t>
      </w:r>
      <w:r>
        <w:rPr>
          <w:rFonts w:ascii="Times New Roman" w:hAnsi="Times New Roman"/>
          <w:highlight w:val="yellow"/>
        </w:rPr>
        <w:t>(3), 308–313. https://doi.org/10.1037/h0032759</w:t>
      </w:r>
    </w:p>
    <w:p>
      <w:pPr>
        <w:pStyle w:val="5"/>
        <w:widowControl/>
        <w:spacing w:beforeAutospacing="0" w:afterAutospacing="0" w:line="480" w:lineRule="auto"/>
        <w:ind w:hanging="720"/>
        <w:rPr>
          <w:highlight w:val="yellow"/>
        </w:rPr>
      </w:pPr>
      <w:r>
        <w:rPr>
          <w:rFonts w:ascii="Times New Roman" w:hAnsi="Times New Roman"/>
          <w:highlight w:val="yellow"/>
        </w:rPr>
        <w:t xml:space="preserve">Frankl, V. E. (2006). </w:t>
      </w:r>
      <w:r>
        <w:rPr>
          <w:rFonts w:ascii="Times New Roman" w:hAnsi="Times New Roman"/>
          <w:i/>
          <w:iCs/>
          <w:highlight w:val="yellow"/>
        </w:rPr>
        <w:t>Man’s Search for Meaning</w:t>
      </w:r>
      <w:r>
        <w:rPr>
          <w:rFonts w:ascii="Times New Roman" w:hAnsi="Times New Roman"/>
          <w:highlight w:val="yellow"/>
        </w:rPr>
        <w:t>. Beacon Press.</w:t>
      </w:r>
    </w:p>
    <w:p>
      <w:pPr>
        <w:pStyle w:val="5"/>
        <w:widowControl/>
        <w:spacing w:beforeAutospacing="0" w:afterAutospacing="0" w:line="480" w:lineRule="auto"/>
        <w:ind w:hanging="720"/>
        <w:rPr>
          <w:highlight w:val="yellow"/>
        </w:rPr>
      </w:pPr>
      <w:r>
        <w:rPr>
          <w:rFonts w:ascii="Times New Roman" w:hAnsi="Times New Roman"/>
          <w:highlight w:val="yellow"/>
        </w:rPr>
        <w:t xml:space="preserve">Gertler, B. (2020). </w:t>
      </w:r>
      <w:r>
        <w:rPr>
          <w:rFonts w:ascii="Times New Roman" w:hAnsi="Times New Roman"/>
          <w:i/>
          <w:iCs/>
          <w:highlight w:val="yellow"/>
        </w:rPr>
        <w:t>Self-Knowledge</w:t>
      </w:r>
      <w:r>
        <w:rPr>
          <w:rFonts w:ascii="Times New Roman" w:hAnsi="Times New Roman"/>
          <w:highlight w:val="yellow"/>
        </w:rPr>
        <w:t xml:space="preserve"> (E. N. Zalta, Ed.). Stanford Encyclopedia of Philosophy; Metaphysics Research Lab, Stanford University. https://plato.stanford.edu/entries/self-knowledge/</w:t>
      </w:r>
    </w:p>
    <w:p>
      <w:pPr>
        <w:pStyle w:val="5"/>
        <w:widowControl/>
        <w:spacing w:beforeAutospacing="0" w:afterAutospacing="0" w:line="480" w:lineRule="auto"/>
        <w:ind w:hanging="720"/>
        <w:rPr>
          <w:highlight w:val="yellow"/>
        </w:rPr>
      </w:pPr>
      <w:r>
        <w:rPr>
          <w:rFonts w:ascii="Times New Roman" w:hAnsi="Times New Roman"/>
          <w:highlight w:val="yellow"/>
        </w:rPr>
        <w:t xml:space="preserve">Gregory, R. L. (2015). </w:t>
      </w:r>
      <w:r>
        <w:rPr>
          <w:rFonts w:ascii="Times New Roman" w:hAnsi="Times New Roman"/>
          <w:i/>
          <w:iCs/>
          <w:highlight w:val="yellow"/>
        </w:rPr>
        <w:t>Eye and Brain : The Psychology of Seeing - Fifth Edition</w:t>
      </w:r>
      <w:r>
        <w:rPr>
          <w:rFonts w:ascii="Times New Roman" w:hAnsi="Times New Roman"/>
          <w:highlight w:val="yellow"/>
        </w:rPr>
        <w:t>. Princeton University Press.</w:t>
      </w:r>
    </w:p>
    <w:p>
      <w:pPr>
        <w:pStyle w:val="5"/>
        <w:widowControl/>
        <w:spacing w:beforeAutospacing="0" w:afterAutospacing="0" w:line="480" w:lineRule="auto"/>
        <w:ind w:hanging="720"/>
        <w:rPr>
          <w:highlight w:val="yellow"/>
        </w:rPr>
      </w:pPr>
      <w:r>
        <w:rPr>
          <w:rFonts w:ascii="Times New Roman" w:hAnsi="Times New Roman"/>
          <w:highlight w:val="yellow"/>
        </w:rPr>
        <w:t xml:space="preserve">Han-Pile, B. (2009). Nietzsche and Amor Fati. </w:t>
      </w:r>
      <w:r>
        <w:rPr>
          <w:rFonts w:ascii="Times New Roman" w:hAnsi="Times New Roman"/>
          <w:i/>
          <w:iCs/>
          <w:highlight w:val="yellow"/>
        </w:rPr>
        <w:t>European Journal of Philosophy</w:t>
      </w:r>
      <w:r>
        <w:rPr>
          <w:rFonts w:ascii="Times New Roman" w:hAnsi="Times New Roman"/>
          <w:highlight w:val="yellow"/>
        </w:rPr>
        <w:t xml:space="preserve">, </w:t>
      </w:r>
      <w:r>
        <w:rPr>
          <w:rFonts w:ascii="Times New Roman" w:hAnsi="Times New Roman"/>
          <w:i/>
          <w:iCs/>
          <w:highlight w:val="yellow"/>
        </w:rPr>
        <w:t>19</w:t>
      </w:r>
      <w:r>
        <w:rPr>
          <w:rFonts w:ascii="Times New Roman" w:hAnsi="Times New Roman"/>
          <w:highlight w:val="yellow"/>
        </w:rPr>
        <w:t>(2), 224–261. https://doi.org/10.1111/j.1468-0378.2009.00380.x</w:t>
      </w:r>
    </w:p>
    <w:p>
      <w:pPr>
        <w:pStyle w:val="5"/>
        <w:widowControl/>
        <w:spacing w:beforeAutospacing="0" w:afterAutospacing="0" w:line="480" w:lineRule="auto"/>
        <w:ind w:hanging="720"/>
        <w:rPr>
          <w:rFonts w:ascii="Times New Roman" w:hAnsi="Times New Roman"/>
        </w:rPr>
      </w:pPr>
      <w:r>
        <w:rPr>
          <w:rFonts w:ascii="Times New Roman" w:hAnsi="Times New Roman"/>
          <w:highlight w:val="yellow"/>
        </w:rPr>
        <w:t xml:space="preserve">Haybron, D. (2020). </w:t>
      </w:r>
      <w:r>
        <w:rPr>
          <w:rFonts w:ascii="Times New Roman" w:hAnsi="Times New Roman"/>
          <w:i/>
          <w:iCs/>
          <w:highlight w:val="yellow"/>
        </w:rPr>
        <w:t>Happiness</w:t>
      </w:r>
      <w:r>
        <w:rPr>
          <w:rFonts w:ascii="Times New Roman" w:hAnsi="Times New Roman"/>
          <w:highlight w:val="yellow"/>
        </w:rPr>
        <w:t xml:space="preserve"> (E. N. Zalta, Ed.). Stanford Encyclopedia of Philosophy; Metaphysics Research Lab, Stanford University. </w:t>
      </w:r>
      <w:r>
        <w:fldChar w:fldCharType="begin"/>
      </w:r>
      <w:r>
        <w:instrText xml:space="preserve"> HYPERLINK "https://plato.stanford.edu/entries/happiness/#HedVerEmoSta" </w:instrText>
      </w:r>
      <w:r>
        <w:fldChar w:fldCharType="separate"/>
      </w:r>
      <w:r>
        <w:rPr>
          <w:rStyle w:val="10"/>
          <w:rFonts w:ascii="Times New Roman" w:hAnsi="Times New Roman"/>
        </w:rPr>
        <w:t>https://plato.stanford.edu/entries/happiness/#HedVerEmoSta</w:t>
      </w:r>
      <w:r>
        <w:rPr>
          <w:rStyle w:val="10"/>
          <w:rFonts w:ascii="Times New Roman" w:hAnsi="Times New Roman"/>
        </w:rPr>
        <w:fldChar w:fldCharType="end"/>
      </w:r>
    </w:p>
    <w:p>
      <w:pPr>
        <w:pStyle w:val="5"/>
        <w:widowControl/>
        <w:spacing w:beforeAutospacing="0" w:afterAutospacing="0" w:line="480" w:lineRule="auto"/>
        <w:ind w:hanging="720"/>
        <w:rPr>
          <w:rFonts w:ascii="Times New Roman" w:hAnsi="Times New Roman"/>
          <w:highlight w:val="yellow"/>
        </w:rPr>
      </w:pPr>
      <w:r>
        <w:rPr>
          <w:rFonts w:ascii="Times New Roman" w:hAnsi="Times New Roman"/>
          <w:highlight w:val="yellow"/>
        </w:rPr>
        <w:t xml:space="preserve">Jacobsen, B. (2007). </w:t>
      </w:r>
      <w:r>
        <w:rPr>
          <w:rFonts w:ascii="Times New Roman" w:hAnsi="Times New Roman"/>
          <w:i/>
          <w:iCs/>
          <w:highlight w:val="yellow"/>
        </w:rPr>
        <w:t>Invitation to existential psychology : a psychology for the unique human being and its applications in therapy</w:t>
      </w:r>
      <w:r>
        <w:rPr>
          <w:rFonts w:ascii="Times New Roman" w:hAnsi="Times New Roman"/>
          <w:highlight w:val="yellow"/>
        </w:rPr>
        <w:t>. John Wiley.</w:t>
      </w:r>
    </w:p>
    <w:p>
      <w:pPr>
        <w:pStyle w:val="5"/>
        <w:widowControl/>
        <w:spacing w:beforeAutospacing="0" w:afterAutospacing="0" w:line="480" w:lineRule="auto"/>
        <w:ind w:hanging="720"/>
        <w:rPr>
          <w:highlight w:val="yellow"/>
        </w:rPr>
      </w:pPr>
      <w:r>
        <w:rPr>
          <w:rFonts w:ascii="Times New Roman" w:hAnsi="Times New Roman"/>
          <w:highlight w:val="yellow"/>
        </w:rPr>
        <w:t xml:space="preserve">Kahneman, D. (2011). </w:t>
      </w:r>
      <w:r>
        <w:rPr>
          <w:rFonts w:ascii="Times New Roman" w:hAnsi="Times New Roman"/>
          <w:i/>
          <w:iCs/>
          <w:highlight w:val="yellow"/>
        </w:rPr>
        <w:t>Thinking, Fast and Slow</w:t>
      </w:r>
      <w:r>
        <w:rPr>
          <w:rFonts w:ascii="Times New Roman" w:hAnsi="Times New Roman"/>
          <w:highlight w:val="yellow"/>
        </w:rPr>
        <w:t>. Farrar, Straus and Giroux.</w:t>
      </w:r>
    </w:p>
    <w:p>
      <w:pPr>
        <w:pStyle w:val="5"/>
        <w:widowControl/>
        <w:spacing w:beforeAutospacing="0" w:afterAutospacing="0" w:line="480" w:lineRule="auto"/>
        <w:ind w:hanging="720"/>
        <w:rPr>
          <w:highlight w:val="yellow"/>
        </w:rPr>
      </w:pPr>
      <w:r>
        <w:rPr>
          <w:rFonts w:ascii="Times New Roman" w:hAnsi="Times New Roman"/>
          <w:highlight w:val="yellow"/>
        </w:rPr>
        <w:t xml:space="preserve">Kant, I. (1889). </w:t>
      </w:r>
      <w:r>
        <w:rPr>
          <w:rFonts w:ascii="Times New Roman" w:hAnsi="Times New Roman"/>
          <w:i/>
          <w:iCs/>
          <w:highlight w:val="yellow"/>
        </w:rPr>
        <w:t>Foundations of the Metaphysics of Morals</w:t>
      </w:r>
      <w:r>
        <w:rPr>
          <w:rFonts w:ascii="Times New Roman" w:hAnsi="Times New Roman"/>
          <w:highlight w:val="yellow"/>
        </w:rPr>
        <w:t>. http://www.sophia-project.org/uploads/1/3/9/5/13955288/kant_foundations.pdf</w:t>
      </w:r>
    </w:p>
    <w:p>
      <w:pPr>
        <w:pStyle w:val="5"/>
        <w:widowControl/>
        <w:spacing w:beforeAutospacing="0" w:afterAutospacing="0" w:line="480" w:lineRule="auto"/>
        <w:ind w:hanging="720"/>
        <w:rPr>
          <w:highlight w:val="yellow"/>
        </w:rPr>
      </w:pPr>
      <w:r>
        <w:rPr>
          <w:rFonts w:ascii="Times New Roman" w:hAnsi="Times New Roman"/>
          <w:highlight w:val="yellow"/>
        </w:rPr>
        <w:t xml:space="preserve">Kohler, W. (1967). Gestalt psychology. </w:t>
      </w:r>
      <w:r>
        <w:rPr>
          <w:rFonts w:ascii="Times New Roman" w:hAnsi="Times New Roman"/>
          <w:i/>
          <w:iCs/>
          <w:highlight w:val="yellow"/>
        </w:rPr>
        <w:t>Psychologische Forschung</w:t>
      </w:r>
      <w:r>
        <w:rPr>
          <w:rFonts w:ascii="Times New Roman" w:hAnsi="Times New Roman"/>
          <w:highlight w:val="yellow"/>
        </w:rPr>
        <w:t xml:space="preserve">, </w:t>
      </w:r>
      <w:r>
        <w:rPr>
          <w:rFonts w:ascii="Times New Roman" w:hAnsi="Times New Roman"/>
          <w:i/>
          <w:iCs/>
          <w:highlight w:val="yellow"/>
        </w:rPr>
        <w:t>31</w:t>
      </w:r>
      <w:r>
        <w:rPr>
          <w:rFonts w:ascii="Times New Roman" w:hAnsi="Times New Roman"/>
          <w:highlight w:val="yellow"/>
        </w:rPr>
        <w:t>(1), XVIII–XXX. https://doi.org/10.1007/bf00422382</w:t>
      </w:r>
    </w:p>
    <w:p>
      <w:pPr>
        <w:pStyle w:val="5"/>
        <w:widowControl/>
        <w:spacing w:beforeAutospacing="0" w:afterAutospacing="0" w:line="480" w:lineRule="auto"/>
        <w:ind w:hanging="720"/>
        <w:rPr>
          <w:highlight w:val="yellow"/>
        </w:rPr>
      </w:pPr>
      <w:r>
        <w:rPr>
          <w:rFonts w:ascii="Times New Roman" w:hAnsi="Times New Roman"/>
          <w:highlight w:val="yellow"/>
        </w:rPr>
        <w:t xml:space="preserve">Lelkes, Y., Krosnick, J. A., Marx, D. M., Judd, C. M., &amp; Park, B. (2012). Complete anonymity compromises the accuracy of self-reports. </w:t>
      </w:r>
      <w:r>
        <w:rPr>
          <w:rFonts w:ascii="Times New Roman" w:hAnsi="Times New Roman"/>
          <w:i/>
          <w:iCs/>
          <w:highlight w:val="yellow"/>
        </w:rPr>
        <w:t>Journal of Experimental Social Psychology</w:t>
      </w:r>
      <w:r>
        <w:rPr>
          <w:rFonts w:ascii="Times New Roman" w:hAnsi="Times New Roman"/>
          <w:highlight w:val="yellow"/>
        </w:rPr>
        <w:t xml:space="preserve">, </w:t>
      </w:r>
      <w:r>
        <w:rPr>
          <w:rFonts w:ascii="Times New Roman" w:hAnsi="Times New Roman"/>
          <w:i/>
          <w:iCs/>
          <w:highlight w:val="yellow"/>
        </w:rPr>
        <w:t>48</w:t>
      </w:r>
      <w:r>
        <w:rPr>
          <w:rFonts w:ascii="Times New Roman" w:hAnsi="Times New Roman"/>
          <w:highlight w:val="yellow"/>
        </w:rPr>
        <w:t>(6), 1291–1299. https://doi.org/10.1016/j.jesp.2012.07.002</w:t>
      </w:r>
    </w:p>
    <w:p>
      <w:pPr>
        <w:pStyle w:val="5"/>
        <w:widowControl/>
        <w:spacing w:beforeAutospacing="0" w:afterAutospacing="0" w:line="480" w:lineRule="auto"/>
        <w:ind w:hanging="720"/>
        <w:rPr>
          <w:highlight w:val="yellow"/>
        </w:rPr>
      </w:pPr>
      <w:r>
        <w:rPr>
          <w:rFonts w:ascii="Times New Roman" w:hAnsi="Times New Roman"/>
          <w:highlight w:val="yellow"/>
        </w:rPr>
        <w:t xml:space="preserve">Maslow, A. H. (1943). A Theory of Human Motivation. </w:t>
      </w:r>
      <w:r>
        <w:rPr>
          <w:rFonts w:ascii="Times New Roman" w:hAnsi="Times New Roman"/>
          <w:i/>
          <w:iCs/>
          <w:highlight w:val="yellow"/>
        </w:rPr>
        <w:t>Psychological Review</w:t>
      </w:r>
      <w:r>
        <w:rPr>
          <w:rFonts w:ascii="Times New Roman" w:hAnsi="Times New Roman"/>
          <w:highlight w:val="yellow"/>
        </w:rPr>
        <w:t xml:space="preserve">, </w:t>
      </w:r>
      <w:r>
        <w:rPr>
          <w:rFonts w:ascii="Times New Roman" w:hAnsi="Times New Roman"/>
          <w:i/>
          <w:iCs/>
          <w:highlight w:val="yellow"/>
        </w:rPr>
        <w:t>50</w:t>
      </w:r>
      <w:r>
        <w:rPr>
          <w:rFonts w:ascii="Times New Roman" w:hAnsi="Times New Roman"/>
          <w:highlight w:val="yellow"/>
        </w:rPr>
        <w:t>(4), 370–396.</w:t>
      </w:r>
    </w:p>
    <w:p>
      <w:pPr>
        <w:pStyle w:val="5"/>
        <w:widowControl/>
        <w:spacing w:beforeAutospacing="0" w:afterAutospacing="0" w:line="480" w:lineRule="auto"/>
        <w:ind w:hanging="720"/>
        <w:rPr>
          <w:highlight w:val="yellow"/>
        </w:rPr>
      </w:pPr>
      <w:r>
        <w:rPr>
          <w:rFonts w:ascii="Times New Roman" w:hAnsi="Times New Roman"/>
          <w:highlight w:val="yellow"/>
        </w:rPr>
        <w:t xml:space="preserve">Rockwood, N. (2018). LOCKE ON EMPIRICAL KNOWLEDGE. </w:t>
      </w:r>
      <w:r>
        <w:rPr>
          <w:rFonts w:ascii="Times New Roman" w:hAnsi="Times New Roman"/>
          <w:i/>
          <w:iCs/>
          <w:highlight w:val="yellow"/>
        </w:rPr>
        <w:t>History of Philosophy Quarterly</w:t>
      </w:r>
      <w:r>
        <w:rPr>
          <w:rFonts w:ascii="Times New Roman" w:hAnsi="Times New Roman"/>
          <w:highlight w:val="yellow"/>
        </w:rPr>
        <w:t xml:space="preserve">, </w:t>
      </w:r>
      <w:r>
        <w:rPr>
          <w:rFonts w:ascii="Times New Roman" w:hAnsi="Times New Roman"/>
          <w:i/>
          <w:iCs/>
          <w:highlight w:val="yellow"/>
        </w:rPr>
        <w:t>35</w:t>
      </w:r>
      <w:r>
        <w:rPr>
          <w:rFonts w:ascii="Times New Roman" w:hAnsi="Times New Roman"/>
          <w:highlight w:val="yellow"/>
        </w:rPr>
        <w:t>(4), 317–336. https://doi.org/10.2307/48570921</w:t>
      </w:r>
    </w:p>
    <w:p>
      <w:pPr>
        <w:pStyle w:val="5"/>
        <w:widowControl/>
        <w:spacing w:beforeAutospacing="0" w:afterAutospacing="0" w:line="480" w:lineRule="auto"/>
        <w:ind w:hanging="720"/>
        <w:rPr>
          <w:highlight w:val="yellow"/>
        </w:rPr>
      </w:pPr>
      <w:r>
        <w:rPr>
          <w:rFonts w:ascii="Times New Roman" w:hAnsi="Times New Roman"/>
          <w:highlight w:val="yellow"/>
        </w:rPr>
        <w:t xml:space="preserve">Ryan, R. M., &amp; Deci, E. L. (2000). Self-Determination Theory and the Facilitation of Intrinsic Motivation, Social Development, and Well-Being. </w:t>
      </w:r>
      <w:r>
        <w:rPr>
          <w:rFonts w:ascii="Times New Roman" w:hAnsi="Times New Roman"/>
          <w:i/>
          <w:iCs/>
          <w:highlight w:val="yellow"/>
        </w:rPr>
        <w:t>American Psychologist</w:t>
      </w:r>
      <w:r>
        <w:rPr>
          <w:rFonts w:ascii="Times New Roman" w:hAnsi="Times New Roman"/>
          <w:highlight w:val="yellow"/>
        </w:rPr>
        <w:t xml:space="preserve">, </w:t>
      </w:r>
      <w:r>
        <w:rPr>
          <w:rFonts w:ascii="Times New Roman" w:hAnsi="Times New Roman"/>
          <w:i/>
          <w:iCs/>
          <w:highlight w:val="yellow"/>
        </w:rPr>
        <w:t>55</w:t>
      </w:r>
      <w:r>
        <w:rPr>
          <w:rFonts w:ascii="Times New Roman" w:hAnsi="Times New Roman"/>
          <w:highlight w:val="yellow"/>
        </w:rPr>
        <w:t>(1), 68–78.</w:t>
      </w:r>
    </w:p>
    <w:p>
      <w:pPr>
        <w:pStyle w:val="5"/>
        <w:widowControl/>
        <w:spacing w:beforeAutospacing="0" w:afterAutospacing="0" w:line="480" w:lineRule="auto"/>
        <w:ind w:hanging="720"/>
        <w:rPr>
          <w:highlight w:val="yellow"/>
        </w:rPr>
      </w:pPr>
      <w:r>
        <w:rPr>
          <w:rFonts w:ascii="Times New Roman" w:hAnsi="Times New Roman"/>
          <w:highlight w:val="yellow"/>
        </w:rPr>
        <w:t xml:space="preserve">Sartre, J.-P. (1946). </w:t>
      </w:r>
      <w:r>
        <w:rPr>
          <w:rFonts w:ascii="Times New Roman" w:hAnsi="Times New Roman"/>
          <w:i/>
          <w:iCs/>
          <w:highlight w:val="yellow"/>
        </w:rPr>
        <w:t xml:space="preserve">Existentialism is a humanism </w:t>
      </w:r>
      <w:r>
        <w:rPr>
          <w:rFonts w:ascii="Times New Roman" w:hAnsi="Times New Roman"/>
          <w:highlight w:val="yellow"/>
        </w:rPr>
        <w:t>. Yale University Press.</w:t>
      </w:r>
    </w:p>
    <w:p>
      <w:pPr>
        <w:pStyle w:val="5"/>
        <w:widowControl/>
        <w:spacing w:beforeAutospacing="0" w:afterAutospacing="0" w:line="480" w:lineRule="auto"/>
        <w:ind w:hanging="720"/>
        <w:rPr>
          <w:highlight w:val="yellow"/>
        </w:rPr>
      </w:pPr>
      <w:r>
        <w:rPr>
          <w:rFonts w:ascii="Times New Roman" w:hAnsi="Times New Roman"/>
          <w:highlight w:val="yellow"/>
        </w:rPr>
        <w:t xml:space="preserve">Schumacher, E. F. (1978). </w:t>
      </w:r>
      <w:r>
        <w:rPr>
          <w:rFonts w:ascii="Times New Roman" w:hAnsi="Times New Roman"/>
          <w:i/>
          <w:iCs/>
          <w:highlight w:val="yellow"/>
        </w:rPr>
        <w:t>A guide for the perplexed</w:t>
      </w:r>
      <w:r>
        <w:rPr>
          <w:rFonts w:ascii="Times New Roman" w:hAnsi="Times New Roman"/>
          <w:highlight w:val="yellow"/>
        </w:rPr>
        <w:t>. Harper &amp; Row.</w:t>
      </w:r>
    </w:p>
    <w:p>
      <w:pPr>
        <w:pStyle w:val="5"/>
        <w:widowControl/>
        <w:spacing w:beforeAutospacing="0" w:afterAutospacing="0" w:line="480" w:lineRule="auto"/>
        <w:ind w:hanging="720"/>
        <w:rPr>
          <w:highlight w:val="yellow"/>
        </w:rPr>
      </w:pPr>
      <w:r>
        <w:rPr>
          <w:rFonts w:ascii="Times New Roman" w:hAnsi="Times New Roman"/>
          <w:highlight w:val="yellow"/>
        </w:rPr>
        <w:t xml:space="preserve">Steger, M. F., Frazier, P., Oishi, S., &amp; Kaler, M. (2006). The meaning in life questionnaire: Assessing the presence of and search for meaning in life. </w:t>
      </w:r>
      <w:r>
        <w:rPr>
          <w:rFonts w:ascii="Times New Roman" w:hAnsi="Times New Roman"/>
          <w:i/>
          <w:iCs/>
          <w:highlight w:val="yellow"/>
        </w:rPr>
        <w:t>Journal of Counseling Psychology</w:t>
      </w:r>
      <w:r>
        <w:rPr>
          <w:rFonts w:ascii="Times New Roman" w:hAnsi="Times New Roman"/>
          <w:highlight w:val="yellow"/>
        </w:rPr>
        <w:t xml:space="preserve">, </w:t>
      </w:r>
      <w:r>
        <w:rPr>
          <w:rFonts w:ascii="Times New Roman" w:hAnsi="Times New Roman"/>
          <w:i/>
          <w:iCs/>
          <w:highlight w:val="yellow"/>
        </w:rPr>
        <w:t>53</w:t>
      </w:r>
      <w:r>
        <w:rPr>
          <w:rFonts w:ascii="Times New Roman" w:hAnsi="Times New Roman"/>
          <w:highlight w:val="yellow"/>
        </w:rPr>
        <w:t>(1), 80–93. https://doi.org/10.1037/0022-0167.53.1.80</w:t>
      </w:r>
    </w:p>
    <w:p>
      <w:pPr>
        <w:pStyle w:val="5"/>
        <w:widowControl/>
        <w:spacing w:beforeAutospacing="0" w:afterAutospacing="0" w:line="480" w:lineRule="auto"/>
        <w:ind w:hanging="720"/>
        <w:rPr>
          <w:highlight w:val="yellow"/>
        </w:rPr>
      </w:pPr>
      <w:r>
        <w:rPr>
          <w:rFonts w:ascii="Times New Roman" w:hAnsi="Times New Roman"/>
          <w:highlight w:val="yellow"/>
        </w:rPr>
        <w:t xml:space="preserve">Stone, A. A., Mackie, C. J., Policy-Relevant, I. A., &amp; National Research Council (U.S.). Committee On National Statistics. (2013). </w:t>
      </w:r>
      <w:r>
        <w:rPr>
          <w:rFonts w:ascii="Times New Roman" w:hAnsi="Times New Roman"/>
          <w:i/>
          <w:iCs/>
          <w:highlight w:val="yellow"/>
        </w:rPr>
        <w:t>Subjective well-being : measuring happiness, suffering, and other dimensions of experience</w:t>
      </w:r>
      <w:r>
        <w:rPr>
          <w:rFonts w:ascii="Times New Roman" w:hAnsi="Times New Roman"/>
          <w:highlight w:val="yellow"/>
        </w:rPr>
        <w:t>. The National Academies Press.</w:t>
      </w:r>
    </w:p>
    <w:p>
      <w:pPr>
        <w:pStyle w:val="5"/>
        <w:widowControl/>
        <w:spacing w:beforeAutospacing="0" w:afterAutospacing="0" w:line="480" w:lineRule="auto"/>
        <w:ind w:hanging="720"/>
        <w:rPr>
          <w:highlight w:val="yellow"/>
        </w:rPr>
      </w:pPr>
      <w:r>
        <w:rPr>
          <w:rFonts w:ascii="Times New Roman" w:hAnsi="Times New Roman"/>
          <w:highlight w:val="yellow"/>
        </w:rPr>
        <w:t xml:space="preserve">Tal Ben-Shahar. (2007). </w:t>
      </w:r>
      <w:r>
        <w:rPr>
          <w:rFonts w:ascii="Times New Roman" w:hAnsi="Times New Roman"/>
          <w:i/>
          <w:iCs/>
          <w:highlight w:val="yellow"/>
        </w:rPr>
        <w:t>Happier : learn the secrets to daily joy and lasting fulfillment</w:t>
      </w:r>
      <w:r>
        <w:rPr>
          <w:rFonts w:ascii="Times New Roman" w:hAnsi="Times New Roman"/>
          <w:highlight w:val="yellow"/>
        </w:rPr>
        <w:t>. Mcgraw-Hill.</w:t>
      </w:r>
    </w:p>
    <w:p>
      <w:pPr>
        <w:pStyle w:val="5"/>
        <w:widowControl/>
        <w:spacing w:beforeAutospacing="0" w:afterAutospacing="0" w:line="480" w:lineRule="auto"/>
        <w:ind w:hanging="720"/>
        <w:rPr>
          <w:highlight w:val="yellow"/>
        </w:rPr>
      </w:pPr>
      <w:r>
        <w:rPr>
          <w:rFonts w:ascii="Times New Roman" w:hAnsi="Times New Roman"/>
          <w:highlight w:val="yellow"/>
        </w:rPr>
        <w:t xml:space="preserve">Valdes-Stauber, J. (2016). [Man at the Frontier of his Being: Scope of the Concept of “Limit Situation” in Psychiatry and Psychotherapy Following Jaspers’ Existential Ontology]. </w:t>
      </w:r>
      <w:r>
        <w:rPr>
          <w:rFonts w:ascii="Times New Roman" w:hAnsi="Times New Roman"/>
          <w:i/>
          <w:iCs/>
          <w:highlight w:val="yellow"/>
        </w:rPr>
        <w:t>Fortschritte Der Neurologie-Psychiatrie</w:t>
      </w:r>
      <w:r>
        <w:rPr>
          <w:rFonts w:ascii="Times New Roman" w:hAnsi="Times New Roman"/>
          <w:highlight w:val="yellow"/>
        </w:rPr>
        <w:t xml:space="preserve">, </w:t>
      </w:r>
      <w:r>
        <w:rPr>
          <w:rFonts w:ascii="Times New Roman" w:hAnsi="Times New Roman"/>
          <w:i/>
          <w:iCs/>
          <w:highlight w:val="yellow"/>
        </w:rPr>
        <w:t>84</w:t>
      </w:r>
      <w:r>
        <w:rPr>
          <w:rFonts w:ascii="Times New Roman" w:hAnsi="Times New Roman"/>
          <w:highlight w:val="yellow"/>
        </w:rPr>
        <w:t>(1), 19–27. https://doi.org/10.1055/s-0042-101167</w:t>
      </w:r>
    </w:p>
    <w:p>
      <w:pPr>
        <w:pStyle w:val="5"/>
        <w:widowControl/>
        <w:spacing w:beforeAutospacing="0" w:afterAutospacing="0" w:line="480" w:lineRule="auto"/>
        <w:ind w:hanging="720"/>
        <w:rPr>
          <w:highlight w:val="yellow"/>
        </w:rPr>
      </w:pPr>
      <w:r>
        <w:rPr>
          <w:rFonts w:ascii="Times New Roman" w:hAnsi="Times New Roman"/>
          <w:highlight w:val="yellow"/>
        </w:rPr>
        <w:t xml:space="preserve">Yutang Lin. (2018). </w:t>
      </w:r>
      <w:r>
        <w:rPr>
          <w:rFonts w:ascii="Times New Roman" w:hAnsi="Times New Roman"/>
          <w:i/>
          <w:iCs/>
          <w:highlight w:val="yellow"/>
        </w:rPr>
        <w:t>The Gay Genius：The Life and Times of Su Tungpo</w:t>
      </w:r>
      <w:r>
        <w:rPr>
          <w:rFonts w:ascii="Times New Roman" w:hAnsi="Times New Roman"/>
          <w:highlight w:val="yellow"/>
        </w:rPr>
        <w:t>. Hunan Literature and Art Publishing House.</w:t>
      </w:r>
    </w:p>
    <w:p/>
    <w:p/>
    <w:p/>
    <w:p/>
    <w:p/>
    <w:p/>
    <w:p/>
    <w:p/>
    <w:p/>
    <w:p/>
    <w:p/>
    <w:p/>
    <w:p/>
    <w:p/>
    <w:p/>
    <w:p/>
    <w:p/>
    <w:p/>
    <w:p/>
    <w:p/>
    <w:p>
      <w:pPr>
        <w:pStyle w:val="5"/>
        <w:keepNext w:val="0"/>
        <w:keepLines w:val="0"/>
        <w:widowControl/>
        <w:suppressLineNumbers w:val="0"/>
        <w:spacing w:before="0" w:beforeAutospacing="0" w:after="0" w:afterAutospacing="0"/>
        <w:rPr>
          <w:color w:val="0E101A"/>
        </w:rPr>
      </w:pPr>
      <w:r>
        <w:rPr>
          <w:color w:val="0E101A"/>
        </w:rPr>
        <w:t>Objective list theories believe in objective prudential goods: that is, being a couch potato can bring joy, but only experiencing virtuous activities can bring happiness(Haybron, 2020). Nevertheless, individuals still have subjective understandings of objective goods. For instance, perfectionism believes perfecting human nature constitutes one's well-being (Crisp, 2017), and Aristotelians believe achieving eudaimonia needs the fulfillment of human capacities (Haybron, 2020).</w:t>
      </w:r>
      <w:r>
        <w:rPr>
          <w:strike/>
          <w:dstrike w:val="0"/>
          <w:color w:val="0E101A"/>
        </w:rPr>
        <w:t> (i.e. or for example), which I refer to as an essential state of happiness. </w:t>
      </w:r>
    </w:p>
    <w:p>
      <w:pPr>
        <w:pStyle w:val="5"/>
        <w:keepNext w:val="0"/>
        <w:keepLines w:val="0"/>
        <w:widowControl/>
        <w:suppressLineNumbers w:val="0"/>
        <w:spacing w:before="0" w:beforeAutospacing="0" w:after="0" w:afterAutospacing="0"/>
        <w:rPr>
          <w:color w:val="0E101A"/>
        </w:rPr>
      </w:pPr>
      <w:r>
        <w:rPr>
          <w:color w:val="0E101A"/>
        </w:rPr>
        <w:t>However, whether one approaches happiness from the objective or subjective line of investigation, in the attempt to measure it, one faces inevitable challenges which prevent this construct from being accurately measured. Two necessary processes are needed to be satisfied for an effective measurement, which are: </w:t>
      </w:r>
    </w:p>
    <w:p>
      <w:pPr>
        <w:pStyle w:val="5"/>
        <w:keepNext w:val="0"/>
        <w:keepLines w:val="0"/>
        <w:widowControl/>
        <w:suppressLineNumbers w:val="0"/>
        <w:spacing w:before="0" w:beforeAutospacing="0" w:after="0" w:afterAutospacing="0"/>
        <w:rPr>
          <w:color w:val="0E101A"/>
        </w:rPr>
      </w:pPr>
      <w:r>
        <w:rPr>
          <w:color w:val="0E101A"/>
        </w:rPr>
        <w:t>I. Respondents have a clear understanding of their personal happiness (I - inner)</w:t>
      </w:r>
    </w:p>
    <w:p>
      <w:pPr>
        <w:pStyle w:val="5"/>
        <w:keepNext w:val="0"/>
        <w:keepLines w:val="0"/>
        <w:widowControl/>
        <w:suppressLineNumbers w:val="0"/>
        <w:spacing w:before="0" w:beforeAutospacing="0" w:after="0" w:afterAutospacing="0"/>
        <w:rPr>
          <w:color w:val="0E101A"/>
        </w:rPr>
      </w:pPr>
      <w:r>
        <w:rPr>
          <w:color w:val="0E101A"/>
        </w:rPr>
        <w:t>II. They convey their sense of happiness accurately and completely to the test (inner-externality)</w:t>
      </w:r>
    </w:p>
    <w:p>
      <w:pPr>
        <w:pStyle w:val="5"/>
        <w:keepNext w:val="0"/>
        <w:keepLines w:val="0"/>
        <w:widowControl/>
        <w:suppressLineNumbers w:val="0"/>
        <w:spacing w:before="0" w:beforeAutospacing="0" w:after="0" w:afterAutospacing="0"/>
        <w:rPr>
          <w:color w:val="0E101A"/>
        </w:rPr>
      </w:pPr>
      <w:r>
        <w:rPr>
          <w:color w:val="0E101A"/>
        </w:rPr>
        <w:t>In the following essay, I will illustrate </w:t>
      </w:r>
    </w:p>
    <w:p>
      <w:pPr>
        <w:pStyle w:val="5"/>
        <w:keepNext w:val="0"/>
        <w:keepLines w:val="0"/>
        <w:widowControl/>
        <w:suppressLineNumbers w:val="0"/>
        <w:spacing w:before="0" w:beforeAutospacing="0" w:after="0" w:afterAutospacing="0"/>
        <w:rPr>
          <w:color w:val="0E101A"/>
        </w:rPr>
      </w:pPr>
      <w:r>
        <w:rPr>
          <w:strike/>
          <w:dstrike w:val="0"/>
          <w:color w:val="0E101A"/>
        </w:rPr>
        <w:t>They convey their sense of happiness accurately and completely to the test (inner-externality)</w:t>
      </w:r>
    </w:p>
    <w:p>
      <w:pPr>
        <w:pStyle w:val="5"/>
        <w:keepNext w:val="0"/>
        <w:keepLines w:val="0"/>
        <w:widowControl/>
        <w:suppressLineNumbers w:val="0"/>
        <w:spacing w:before="0" w:beforeAutospacing="0" w:after="0" w:afterAutospacing="0"/>
        <w:rPr>
          <w:color w:val="0E101A"/>
        </w:rPr>
      </w:pPr>
      <w:r>
        <w:rPr>
          <w:strike/>
          <w:dstrike w:val="0"/>
          <w:color w:val="0E101A"/>
        </w:rPr>
        <w:t>However, insurmountable barriers hinder the satisfaction of these two processes. Therefore, this essay argues that happiness cannot be measured by subjective well-being tests (SWB)</w:t>
      </w:r>
      <w:r>
        <w:rPr>
          <w:color w:val="0E101A"/>
        </w:rPr>
        <w:t> （把这段从 "原因——结论"，改成 "结论——论证"）(Stone et al., 2013).(在introduction部分不要列举一个具体的scale，这样会给人造成误解，以为你的论文仅仅是批判这一个scale。可以在后文相应的地方来做这件事)</w:t>
      </w:r>
    </w:p>
    <w:p>
      <w:pPr>
        <w:pStyle w:val="5"/>
        <w:keepNext w:val="0"/>
        <w:keepLines w:val="0"/>
        <w:widowControl/>
        <w:suppressLineNumbers w:val="0"/>
        <w:spacing w:before="0" w:beforeAutospacing="0" w:after="0" w:afterAutospacing="0"/>
        <w:rPr>
          <w:color w:val="0E101A"/>
        </w:rPr>
      </w:pPr>
    </w:p>
    <w:p>
      <w:pPr>
        <w:pStyle w:val="5"/>
        <w:keepNext w:val="0"/>
        <w:keepLines w:val="0"/>
        <w:widowControl/>
        <w:suppressLineNumbers w:val="0"/>
        <w:spacing w:before="0" w:beforeAutospacing="0" w:after="0" w:afterAutospacing="0"/>
        <w:rPr>
          <w:color w:val="0E101A"/>
        </w:rPr>
      </w:pPr>
      <w:r>
        <w:rPr>
          <w:rStyle w:val="8"/>
          <w:color w:val="0E101A"/>
        </w:rPr>
        <w:t> Process I: Realization of the self</w:t>
      </w:r>
    </w:p>
    <w:p>
      <w:pPr>
        <w:pStyle w:val="5"/>
        <w:keepNext w:val="0"/>
        <w:keepLines w:val="0"/>
        <w:widowControl/>
        <w:suppressLineNumbers w:val="0"/>
        <w:spacing w:before="0" w:beforeAutospacing="0" w:after="0" w:afterAutospacing="0"/>
        <w:rPr>
          <w:color w:val="0E101A"/>
        </w:rPr>
      </w:pPr>
      <w:r>
        <w:rPr>
          <w:color w:val="0E101A"/>
          <w:u w:val="single"/>
        </w:rPr>
        <w:t> </w:t>
      </w:r>
      <w:r>
        <w:rPr>
          <w:color w:val="0E101A"/>
        </w:rPr>
        <w:t xml:space="preserve"> </w:t>
      </w:r>
      <w:r>
        <w:rPr>
          <w:color w:val="0E101A"/>
          <w:u w:val="single"/>
        </w:rPr>
        <w:t>Lao-Tzu believes that "He who knows himself is enlightened."</w:t>
      </w:r>
      <w:r>
        <w:rPr>
          <w:color w:val="0E101A"/>
        </w:rPr>
        <w:t> Knowing oneself is fully discovering one's feelings, thoughts, and beliefs (Gertler, 2020). Since happiness is subjectively perceived as either form above, one must first approach knowing to measure happiness effectively.﻿</w:t>
      </w:r>
    </w:p>
    <w:p>
      <w:pPr>
        <w:pStyle w:val="5"/>
        <w:keepNext w:val="0"/>
        <w:keepLines w:val="0"/>
        <w:widowControl/>
        <w:suppressLineNumbers w:val="0"/>
        <w:spacing w:before="0" w:beforeAutospacing="0" w:after="0" w:afterAutospacing="0"/>
        <w:rPr>
          <w:color w:val="0E101A"/>
        </w:rPr>
      </w:pPr>
      <w:r>
        <w:rPr>
          <w:color w:val="0E101A"/>
        </w:rPr>
        <w:t>Because happiness blends inseparably with physical sensation, one's knowledge of externality will first affect knowing. To learn the external world, Locke writes, "Tis therefore the actual receiving the ideas from without that gives us notice of the existence of other things (Rockwood, 2018)." That means the knowledge about externality doesn't build from established beliefs toward externality but is from our raw sensation. To discern these two sources, individuals' perception needs to be a "dynamic searching for the best interpretation of available data" (Gregory, 2015), and I interpret this search as self-consciousness.</w:t>
      </w:r>
    </w:p>
    <w:p>
      <w:pPr>
        <w:pStyle w:val="5"/>
        <w:keepNext w:val="0"/>
        <w:keepLines w:val="0"/>
        <w:widowControl/>
        <w:suppressLineNumbers w:val="0"/>
        <w:spacing w:before="0" w:beforeAutospacing="0" w:after="0" w:afterAutospacing="0"/>
        <w:rPr>
          <w:color w:val="0E101A"/>
        </w:rPr>
      </w:pPr>
      <w:r>
        <w:rPr>
          <w:color w:val="0E101A"/>
        </w:rPr>
        <w:t>Being self-conscious takes two steps. By invoking </w:t>
      </w:r>
      <w:r>
        <w:rPr>
          <w:color w:val="0E101A"/>
          <w:u w:val="single"/>
        </w:rPr>
        <w:t>system II </w:t>
      </w:r>
      <w:r>
        <w:rPr>
          <w:color w:val="0E101A"/>
        </w:rPr>
        <w:t>（需要解释这个概念，不能assume所有读者都知道这个概念）, individuals first direct their attention to effortful mental activities and once autopilot behaviors, providing a threshold for gaining subjective experiences (Kahneman, 2011). Nearly simultaneously, metacognition involves monitoring one's cognitive states, ensuring individuals view their thoughts critically. System II and metacognition push an individual to the boundary of known, and the process of taking the unknown into the known is self-conscious.</w:t>
      </w:r>
    </w:p>
    <w:p>
      <w:pPr>
        <w:pStyle w:val="5"/>
        <w:keepNext w:val="0"/>
        <w:keepLines w:val="0"/>
        <w:widowControl/>
        <w:suppressLineNumbers w:val="0"/>
        <w:spacing w:before="0" w:beforeAutospacing="0" w:after="0" w:afterAutospacing="0"/>
        <w:rPr>
          <w:color w:val="0E101A"/>
        </w:rPr>
      </w:pPr>
      <w:r>
        <w:rPr>
          <w:color w:val="0E101A"/>
        </w:rPr>
        <w:t>However, barriers hinder human beings from discovering the self. Biologically speaking, human beings have a natural tendency to conserve energy and thus evade the activation of System II, especially on tasks that can be done with System I (Kahneman, 2011). Moreover, individuals can fail to realize that their attention to externality is virtually divided. As Corteen and Wood (1972) discovered, when words didn't consciously perceive by participants, they still established meaning in their minds. With all barriers to realizing the self, Kants says a man cannot "determine with certainty what would make him truly happy; because to do so he would need to be omniscient. (Kant, 1889)"</w:t>
      </w:r>
    </w:p>
    <w:p>
      <w:pPr>
        <w:pStyle w:val="5"/>
        <w:keepNext w:val="0"/>
        <w:keepLines w:val="0"/>
        <w:widowControl/>
        <w:suppressLineNumbers w:val="0"/>
        <w:spacing w:before="0" w:beforeAutospacing="0" w:after="0" w:afterAutospacing="0"/>
        <w:rPr>
          <w:color w:val="0E101A"/>
        </w:rPr>
      </w:pPr>
      <w:r>
        <w:rPr>
          <w:color w:val="0E101A"/>
        </w:rPr>
        <w:t>The idea of being omniscient is to transcend and discover one's essential state of happiness. However, even if a being believes he/she attains a sense of happiness, it may be a fallacy and not the known. To illustrate this claim, I adopt Tal Ben-Shahar's (2007) model and analyze possible cognitive limitations hindering each archetype's transcendence. Every individual who forms a belief to present and future happiness can fill into a quadrant.</w:t>
      </w:r>
    </w:p>
    <w:p>
      <w:pPr>
        <w:pStyle w:val="5"/>
        <w:keepNext w:val="0"/>
        <w:keepLines w:val="0"/>
        <w:widowControl/>
        <w:suppressLineNumbers w:val="0"/>
        <w:spacing w:before="0" w:beforeAutospacing="0" w:after="0" w:afterAutospacing="0"/>
        <w:rPr>
          <w:color w:val="0E101A"/>
        </w:rPr>
      </w:pPr>
      <w:r>
        <w:rPr>
          <w:rStyle w:val="8"/>
          <w:color w:val="0E101A"/>
        </w:rPr>
        <w:t>Figure 1</w:t>
      </w:r>
    </w:p>
    <w:p>
      <w:pPr>
        <w:pStyle w:val="5"/>
        <w:keepNext w:val="0"/>
        <w:keepLines w:val="0"/>
        <w:widowControl/>
        <w:suppressLineNumbers w:val="0"/>
        <w:spacing w:before="0" w:beforeAutospacing="0" w:after="0" w:afterAutospacing="0"/>
        <w:rPr>
          <w:color w:val="0E101A"/>
        </w:rPr>
      </w:pPr>
      <w:r>
        <w:rPr>
          <w:rStyle w:val="9"/>
          <w:color w:val="0E101A"/>
        </w:rPr>
        <w:t>The four quadrant</w:t>
      </w:r>
    </w:p>
    <w:p>
      <w:pPr>
        <w:pStyle w:val="5"/>
        <w:keepNext w:val="0"/>
        <w:keepLines w:val="0"/>
        <w:widowControl/>
        <w:suppressLineNumbers w:val="0"/>
        <w:spacing w:before="0" w:beforeAutospacing="0" w:after="0" w:afterAutospacing="0"/>
        <w:rPr>
          <w:color w:val="0E101A"/>
        </w:rPr>
      </w:pPr>
    </w:p>
    <w:p>
      <w:pPr>
        <w:pStyle w:val="5"/>
        <w:keepNext w:val="0"/>
        <w:keepLines w:val="0"/>
        <w:widowControl/>
        <w:suppressLineNumbers w:val="0"/>
        <w:spacing w:before="0" w:beforeAutospacing="0" w:after="0" w:afterAutospacing="0"/>
        <w:rPr>
          <w:color w:val="0E101A"/>
        </w:rPr>
      </w:pPr>
      <w:r>
        <w:rPr>
          <w:rStyle w:val="9"/>
          <w:color w:val="0E101A"/>
        </w:rPr>
        <w:t>Note. </w:t>
      </w:r>
      <w:r>
        <w:rPr>
          <w:color w:val="0E101A"/>
        </w:rPr>
        <w:t>The image is from Tal Ben-Shahar. (2007). </w:t>
      </w:r>
      <w:r>
        <w:rPr>
          <w:rStyle w:val="9"/>
          <w:color w:val="0E101A"/>
        </w:rPr>
        <w:t>Happier : learn the secrets to daily joy and lasting fulfillment</w:t>
      </w:r>
      <w:r>
        <w:rPr>
          <w:color w:val="0E101A"/>
        </w:rPr>
        <w:t>. Mcgraw-Hill.</w:t>
      </w:r>
    </w:p>
    <w:p>
      <w:pPr>
        <w:pStyle w:val="5"/>
        <w:keepNext w:val="0"/>
        <w:keepLines w:val="0"/>
        <w:widowControl/>
        <w:suppressLineNumbers w:val="0"/>
        <w:spacing w:before="0" w:beforeAutospacing="0" w:after="0" w:afterAutospacing="0"/>
        <w:rPr>
          <w:color w:val="0E101A"/>
        </w:rPr>
      </w:pPr>
      <w:r>
        <w:rPr>
          <w:rStyle w:val="8"/>
          <w:color w:val="0E101A"/>
        </w:rPr>
        <w:t>Hedonism: Ultimate happiness is attained</w:t>
      </w:r>
    </w:p>
    <w:p>
      <w:pPr>
        <w:pStyle w:val="5"/>
        <w:keepNext w:val="0"/>
        <w:keepLines w:val="0"/>
        <w:widowControl/>
        <w:suppressLineNumbers w:val="0"/>
        <w:spacing w:before="0" w:beforeAutospacing="0" w:after="0" w:afterAutospacing="0"/>
        <w:rPr>
          <w:color w:val="0E101A"/>
        </w:rPr>
      </w:pPr>
      <w:r>
        <w:rPr>
          <w:color w:val="0E101A"/>
        </w:rPr>
        <w:t>By taking psychoactive drugs and performing religious behaviors, human beings can intentionally alter their states of consciousness (Cacioppo &amp; Freberg, 2019, p. 215). With this artificial change of beliefs, hedonistic drug takers regard instant satisfaction as happiness and disregard their future. However, if happiness exists in the form of eudaimonia, the overall experience in life is related to one's experience toward happiness. Since hedonists blind future possible happiness, transcendence can only occur when they realize the mistake of regarding instant excitement as ultimate happiness. </w:t>
      </w:r>
    </w:p>
    <w:p>
      <w:pPr>
        <w:pStyle w:val="5"/>
        <w:keepNext w:val="0"/>
        <w:keepLines w:val="0"/>
        <w:widowControl/>
        <w:suppressLineNumbers w:val="0"/>
        <w:spacing w:before="0" w:beforeAutospacing="0" w:after="0" w:afterAutospacing="0"/>
        <w:rPr>
          <w:color w:val="0E101A"/>
        </w:rPr>
      </w:pPr>
      <w:r>
        <w:rPr>
          <w:color w:val="0E101A"/>
          <w:u w:val="single"/>
        </w:rPr>
        <w:t>【Overall achievement--needs further clarification, even include the events after death.[ oxford handbook of happiness】</w:t>
      </w:r>
    </w:p>
    <w:p>
      <w:pPr>
        <w:pStyle w:val="5"/>
        <w:keepNext w:val="0"/>
        <w:keepLines w:val="0"/>
        <w:widowControl/>
        <w:suppressLineNumbers w:val="0"/>
        <w:spacing w:before="0" w:beforeAutospacing="0" w:after="0" w:afterAutospacing="0"/>
        <w:rPr>
          <w:color w:val="0E101A"/>
        </w:rPr>
      </w:pPr>
      <w:r>
        <w:rPr>
          <w:rStyle w:val="8"/>
          <w:color w:val="0E101A"/>
        </w:rPr>
        <w:t>Nihilism: Happiness died</w:t>
      </w:r>
    </w:p>
    <w:p>
      <w:pPr>
        <w:pStyle w:val="5"/>
        <w:keepNext w:val="0"/>
        <w:keepLines w:val="0"/>
        <w:widowControl/>
        <w:suppressLineNumbers w:val="0"/>
        <w:spacing w:before="0" w:beforeAutospacing="0" w:after="0" w:afterAutospacing="0"/>
        <w:rPr>
          <w:color w:val="0E101A"/>
        </w:rPr>
      </w:pPr>
      <w:r>
        <w:rPr>
          <w:color w:val="0E101A"/>
        </w:rPr>
        <w:t>During World War II, numerous people failed into learned helplessness and believed they lost both present and future happiness. According to Karl Jasper's theory, they fail into a "limit situation," believing that only the external locus of control exists (Valdes-Stauber, 2016). However, a "limit situation" can "becomes one's destination in the realization of one's existence," provoking people to ask for higher happiness (Jacobsen, 2008). Frankl (2006) accepted his unavoidable sufferings bravely, believing meaning is inherent in experiences. People with severe chronic diseases learn to adapt to their impairments and transcend themselves (Charmaz, 1995). Thus, if the higher happiness integrates the meaning of pain, nihilists evaluate their happiness based on their "existence" rather than their "essence" (Sartre, 1946), disregarding the potential of transitoriness. </w:t>
      </w:r>
    </w:p>
    <w:p>
      <w:pPr>
        <w:pStyle w:val="5"/>
        <w:keepNext w:val="0"/>
        <w:keepLines w:val="0"/>
        <w:widowControl/>
        <w:suppressLineNumbers w:val="0"/>
        <w:spacing w:before="0" w:beforeAutospacing="0" w:after="0" w:afterAutospacing="0"/>
        <w:rPr>
          <w:color w:val="0E101A"/>
        </w:rPr>
      </w:pPr>
      <w:r>
        <w:rPr>
          <w:rStyle w:val="8"/>
          <w:color w:val="0E101A"/>
        </w:rPr>
        <w:t>Happiness: the distinction between evaluation and beliefs</w:t>
      </w:r>
    </w:p>
    <w:p>
      <w:pPr>
        <w:pStyle w:val="5"/>
        <w:keepNext w:val="0"/>
        <w:keepLines w:val="0"/>
        <w:widowControl/>
        <w:suppressLineNumbers w:val="0"/>
        <w:spacing w:before="0" w:beforeAutospacing="0" w:after="0" w:afterAutospacing="0"/>
        <w:rPr>
          <w:color w:val="0E101A"/>
        </w:rPr>
      </w:pPr>
      <w:r>
        <w:rPr>
          <w:color w:val="0E101A"/>
        </w:rPr>
        <w:t>Happiness is the archetype with the highest possibility of approaching the knowing since they believe they can discover one's maxim of happiness for now and the future. With the belief to transcend, they take happiness more as a dynamic skill that detaches from established experience. However, if the perception turns to an explicit rating within oneself, possible bias may occur while constructing the frame. For instance, about what contributes to one's happiness, individuals take certain aspects as the primary cause, but the ignored intricate associations among these aspects are also essential for gaining happiness. Gestalt psychology illustrated that one's understanding "seems to depend upon relations among the stimuli rather than upon the individual stimuli as such (Kohler, 1967)." Therefore, the transition between perception and evaluation can undermine the known. </w:t>
      </w:r>
    </w:p>
    <w:p>
      <w:pPr>
        <w:pStyle w:val="5"/>
        <w:keepNext w:val="0"/>
        <w:keepLines w:val="0"/>
        <w:widowControl/>
        <w:suppressLineNumbers w:val="0"/>
        <w:spacing w:before="0" w:beforeAutospacing="0" w:after="0" w:afterAutospacing="0"/>
        <w:rPr>
          <w:color w:val="0E101A"/>
        </w:rPr>
      </w:pPr>
      <w:r>
        <w:rPr>
          <w:rStyle w:val="8"/>
          <w:color w:val="0E101A"/>
        </w:rPr>
        <w:t>Rat Racer: Serving for happiness</w:t>
      </w:r>
    </w:p>
    <w:p>
      <w:pPr>
        <w:pStyle w:val="5"/>
        <w:keepNext w:val="0"/>
        <w:keepLines w:val="0"/>
        <w:widowControl/>
        <w:suppressLineNumbers w:val="0"/>
        <w:spacing w:before="0" w:beforeAutospacing="0" w:after="0" w:afterAutospacing="0"/>
        <w:rPr>
          <w:color w:val="0E101A"/>
        </w:rPr>
      </w:pPr>
      <w:r>
        <w:rPr>
          <w:color w:val="0E101A"/>
        </w:rPr>
        <w:t>Rat racers "subordinate the present to the future" and "suffer now for some anticipated gain" (Tal Ben-Shahar, 2007), regarding their sacrifice in present happiness is meaningful. However, this destiny-orientated pursuit ignores the impact of the shift in reference points. Under this "finite game" </w:t>
      </w:r>
      <w:r>
        <w:rPr>
          <w:color w:val="0E101A"/>
          <w:u w:val="single"/>
        </w:rPr>
        <w:t>(which is played to win)(</w:t>
      </w:r>
      <w:r>
        <w:rPr>
          <w:color w:val="0E101A"/>
        </w:rPr>
        <w:t>Carse, 2012), rat racers keep aiming for a higher reference point and leave themselves in a state of loss. Due to loss aversion, the same amount of gain from the past and loss from now cannot subjectively offset each other (Kahneman, 2011). Without possible transcending, which is to gain happiness from journeys, rat racers accumulate their loss and search for happiness continuously with improper direction. </w:t>
      </w:r>
    </w:p>
    <w:p>
      <w:pPr>
        <w:pStyle w:val="5"/>
        <w:keepNext w:val="0"/>
        <w:keepLines w:val="0"/>
        <w:widowControl/>
        <w:suppressLineNumbers w:val="0"/>
        <w:spacing w:before="0" w:beforeAutospacing="0" w:after="0" w:afterAutospacing="0"/>
        <w:rPr>
          <w:color w:val="0E101A"/>
        </w:rPr>
      </w:pPr>
    </w:p>
    <w:p>
      <w:pPr>
        <w:pStyle w:val="5"/>
        <w:keepNext w:val="0"/>
        <w:keepLines w:val="0"/>
        <w:widowControl/>
        <w:suppressLineNumbers w:val="0"/>
        <w:spacing w:before="0" w:beforeAutospacing="0" w:after="0" w:afterAutospacing="0"/>
        <w:rPr>
          <w:color w:val="0E101A"/>
        </w:rPr>
      </w:pPr>
      <w:r>
        <w:rPr>
          <w:color w:val="0E101A"/>
        </w:rPr>
        <w:t>（process 1 后面可以加上一两行的总结，即大家很难有自我认知）</w:t>
      </w:r>
    </w:p>
    <w:p>
      <w:pPr>
        <w:pStyle w:val="5"/>
        <w:keepNext w:val="0"/>
        <w:keepLines w:val="0"/>
        <w:widowControl/>
        <w:suppressLineNumbers w:val="0"/>
        <w:spacing w:before="0" w:beforeAutospacing="0" w:after="0" w:afterAutospacing="0"/>
        <w:rPr>
          <w:color w:val="0E101A"/>
        </w:rPr>
      </w:pPr>
      <w:r>
        <w:rPr>
          <w:rStyle w:val="8"/>
          <w:color w:val="0E101A"/>
        </w:rPr>
        <w:t>Process II: The interaction between internality and externality</w:t>
      </w:r>
    </w:p>
    <w:p>
      <w:pPr>
        <w:pStyle w:val="5"/>
        <w:keepNext w:val="0"/>
        <w:keepLines w:val="0"/>
        <w:widowControl/>
        <w:suppressLineNumbers w:val="0"/>
        <w:spacing w:before="0" w:beforeAutospacing="0" w:after="0" w:afterAutospacing="0"/>
        <w:rPr>
          <w:color w:val="0E101A"/>
        </w:rPr>
      </w:pPr>
      <w:r>
        <w:rPr>
          <w:color w:val="0E101A"/>
        </w:rPr>
        <w:t>Now the respondents need to convey their understanding to the test. Two conditions are needed to satisfy process II:</w:t>
      </w:r>
    </w:p>
    <w:p>
      <w:pPr>
        <w:pStyle w:val="5"/>
        <w:keepNext w:val="0"/>
        <w:keepLines w:val="0"/>
        <w:widowControl/>
        <w:suppressLineNumbers w:val="0"/>
        <w:spacing w:before="0" w:beforeAutospacing="0" w:after="0" w:afterAutospacing="0"/>
        <w:rPr>
          <w:color w:val="0E101A"/>
        </w:rPr>
      </w:pPr>
      <w:r>
        <w:rPr>
          <w:color w:val="0E101A"/>
        </w:rPr>
        <w:t>Condition I: Individuals are willing to convey their understanding of externality fully and accurately</w:t>
      </w:r>
    </w:p>
    <w:p>
      <w:pPr>
        <w:pStyle w:val="5"/>
        <w:keepNext w:val="0"/>
        <w:keepLines w:val="0"/>
        <w:widowControl/>
        <w:suppressLineNumbers w:val="0"/>
        <w:spacing w:before="0" w:beforeAutospacing="0" w:after="0" w:afterAutospacing="0"/>
        <w:rPr>
          <w:color w:val="0E101A"/>
        </w:rPr>
      </w:pPr>
      <w:r>
        <w:rPr>
          <w:color w:val="0E101A"/>
        </w:rPr>
        <w:t>Condition II: Externality constructs a frame that can capture individuals' understanding comprehensively</w:t>
      </w:r>
    </w:p>
    <w:p>
      <w:pPr>
        <w:pStyle w:val="5"/>
        <w:keepNext w:val="0"/>
        <w:keepLines w:val="0"/>
        <w:widowControl/>
        <w:suppressLineNumbers w:val="0"/>
        <w:spacing w:before="0" w:beforeAutospacing="0" w:after="0" w:afterAutospacing="0"/>
        <w:rPr>
          <w:color w:val="0E101A"/>
        </w:rPr>
      </w:pPr>
      <w:r>
        <w:rPr>
          <w:color w:val="0E101A"/>
        </w:rPr>
        <w:t>Firstly, for Condition I, tests' intention strongly affects individuals' willingness. If the test aims to achieve the externality's purpose, such as collecting data for scientific research, moderate anonymity facilitates authenticity by lowering social desirability pressures (Lelkes et al., 2012). However, if the respondents regard the measurement as a way of knowing themselves, one essential question arises: Can a man be honest to himself when he/she stays alone? </w:t>
      </w:r>
    </w:p>
    <w:p>
      <w:pPr>
        <w:pStyle w:val="5"/>
        <w:keepNext w:val="0"/>
        <w:keepLines w:val="0"/>
        <w:widowControl/>
        <w:suppressLineNumbers w:val="0"/>
        <w:spacing w:before="0" w:beforeAutospacing="0" w:after="0" w:afterAutospacing="0"/>
        <w:rPr>
          <w:color w:val="0E101A"/>
        </w:rPr>
      </w:pPr>
      <w:r>
        <w:rPr>
          <w:color w:val="0E101A"/>
        </w:rPr>
        <w:t>The existence of cognitive dissonance can undermine respondents' willingness to convey their understanding. For rat racers, reporting "happy" (action) allows respondents to stay consistent with the social expectation of wealth and fame (belief), even though they realize the lack of happiness. Moreover, under the value system that "unhappiness is a symptom of maladjustment" (Frankl, 2006), respondents may hide their willingness further to conform to social desirability and reduce their cognitive dissonance.</w:t>
      </w:r>
    </w:p>
    <w:p>
      <w:pPr>
        <w:pStyle w:val="5"/>
        <w:keepNext w:val="0"/>
        <w:keepLines w:val="0"/>
        <w:widowControl/>
        <w:suppressLineNumbers w:val="0"/>
        <w:spacing w:before="0" w:beforeAutospacing="0" w:after="0" w:afterAutospacing="0"/>
        <w:rPr>
          <w:color w:val="0E101A"/>
        </w:rPr>
      </w:pPr>
      <w:r>
        <w:rPr>
          <w:color w:val="0E101A"/>
        </w:rPr>
        <w:t>Secondly, an effective frame should first capture </w:t>
      </w:r>
      <w:r>
        <w:rPr>
          <w:rStyle w:val="8"/>
          <w:color w:val="0E101A"/>
        </w:rPr>
        <w:t>all </w:t>
      </w:r>
      <w:r>
        <w:rPr>
          <w:color w:val="0E101A"/>
        </w:rPr>
        <w:t>respondents' understandings to satisfy Condition II. Therefore, researchers use "meaning" in tests without clarification or a broad definition such as "as the sense made of" (Steger et al., 2006). However, the lack of precision means respondents' understanding must be clear. If Process I fails, then Condition II will be hard to achieve.</w:t>
      </w:r>
    </w:p>
    <w:p>
      <w:pPr>
        <w:pStyle w:val="5"/>
        <w:keepNext w:val="0"/>
        <w:keepLines w:val="0"/>
        <w:widowControl/>
        <w:suppressLineNumbers w:val="0"/>
        <w:spacing w:before="0" w:beforeAutospacing="0" w:after="0" w:afterAutospacing="0"/>
        <w:rPr>
          <w:color w:val="0E101A"/>
        </w:rPr>
      </w:pPr>
      <w:r>
        <w:rPr>
          <w:color w:val="0E101A"/>
        </w:rPr>
        <w:t>Alternatively, the test can be more precise by including potential factors, such as "non-hedonic sources of happiness and suffering (Stone et al.,2013)." However, precision can bring more challenges. For instance, overcoming challenges can bring competence, which is normally regarded as a promoter of happiness. However, competence cannot enhance their happiness if respondents feel a lack of autonomy while handling the tasks (Ryan &amp; Deci, 2000). Therefore, if the measurement improves the evaluation by incorporating more correlated sources, such as competence, it should take even more correlated factors to ensure the test is unbiased. </w:t>
      </w:r>
    </w:p>
    <w:p>
      <w:pPr>
        <w:pStyle w:val="5"/>
        <w:keepNext w:val="0"/>
        <w:keepLines w:val="0"/>
        <w:widowControl/>
        <w:suppressLineNumbers w:val="0"/>
        <w:spacing w:before="0" w:beforeAutospacing="0" w:after="0" w:afterAutospacing="0"/>
        <w:rPr>
          <w:color w:val="0E101A"/>
        </w:rPr>
      </w:pPr>
      <w:r>
        <w:rPr>
          <w:color w:val="0E101A"/>
        </w:rPr>
        <w:t>Not only does the trade-off between broadness and precision bring a challenge, but the cognition of society also limits the frame of the test. Influenced by culture, measurement in a collectivist society attaches more importance to contributions toward groups, likely to regard these efforts are more eudaimonic than personal growth. Influenced by the features of an era, society's understanding of happiness diverges with individuals'. For instance, in Song Dynasty, Su Tungpo spoke truth to power and thus was exiled to undeveloped land such as Lingnan. Even though he suffered, he still perceived a strong sense of happiness, expressing that in his poem: "With three hundred litchis every day and night; I am willing to be a Lingnan man for the rest of my life." (Lin, 2018) Society aims to suppress him and reduce his happiness, but Tungpo "amor fati"--loves his fate (Han-Pile, 2009). The diverged understandings between individual and externality mean that if the externality constructs a measurement, it would hardly be not biased. </w:t>
      </w:r>
    </w:p>
    <w:p>
      <w:pPr>
        <w:pStyle w:val="5"/>
        <w:keepNext w:val="0"/>
        <w:keepLines w:val="0"/>
        <w:widowControl/>
        <w:suppressLineNumbers w:val="0"/>
        <w:spacing w:before="0" w:beforeAutospacing="0" w:after="0" w:afterAutospacing="0"/>
        <w:rPr>
          <w:color w:val="0E101A"/>
        </w:rPr>
      </w:pPr>
      <w:r>
        <w:rPr>
          <w:color w:val="0E101A"/>
        </w:rPr>
        <w:t>More importantly, it is almost impossible for individuals to prove that society and individuals have diverged understanding toward happiness. For instance, it is convincing that social connection can promote the development of self-esteem (Maslow, 1943), but is it possible that society overly reinforces the role of externality on one's happiness? Under the encouragement of social networks, one may falsely regard solitude as loneliness. Therefore, individuals' intrinsic understanding of happiness can be veiled. Society believes the test enhances its convergent validity, but is this still individuals' subjective well-being? Or is it more about society-encouraged well-being? </w:t>
      </w:r>
    </w:p>
    <w:p>
      <w:pPr>
        <w:pStyle w:val="5"/>
        <w:keepNext w:val="0"/>
        <w:keepLines w:val="0"/>
        <w:widowControl/>
        <w:suppressLineNumbers w:val="0"/>
        <w:spacing w:before="0" w:beforeAutospacing="0" w:after="0" w:afterAutospacing="0"/>
        <w:rPr>
          <w:color w:val="0E101A"/>
        </w:rPr>
      </w:pPr>
      <w:r>
        <w:rPr>
          <w:rStyle w:val="8"/>
          <w:color w:val="0E101A"/>
        </w:rPr>
        <w:t>Conclusion</w:t>
      </w:r>
    </w:p>
    <w:p>
      <w:pPr>
        <w:pStyle w:val="5"/>
        <w:keepNext w:val="0"/>
        <w:keepLines w:val="0"/>
        <w:widowControl/>
        <w:suppressLineNumbers w:val="0"/>
        <w:spacing w:before="0" w:beforeAutospacing="0" w:after="0" w:afterAutospacing="0"/>
        <w:rPr>
          <w:color w:val="0E101A"/>
        </w:rPr>
      </w:pPr>
      <w:r>
        <w:rPr>
          <w:color w:val="0E101A"/>
        </w:rPr>
        <w:t>This essay argues happiness cannot be measured by examining two processes. </w:t>
      </w:r>
    </w:p>
    <w:p>
      <w:pPr>
        <w:pStyle w:val="5"/>
        <w:keepNext w:val="0"/>
        <w:keepLines w:val="0"/>
        <w:widowControl/>
        <w:suppressLineNumbers w:val="0"/>
        <w:spacing w:before="0" w:beforeAutospacing="0" w:after="0" w:afterAutospacing="0"/>
        <w:rPr>
          <w:color w:val="0E101A"/>
        </w:rPr>
      </w:pPr>
      <w:r>
        <w:rPr>
          <w:color w:val="0E101A"/>
        </w:rPr>
        <w:t>First, when a man evaluates his/her inner happiness, he/she needs to approach the state of knowing. Even if the man believes that he/she achieves knowing, he/she may be hindered by cognitive limitations, as explained by archetype analysis. </w:t>
      </w:r>
    </w:p>
    <w:p>
      <w:pPr>
        <w:pStyle w:val="5"/>
        <w:keepNext w:val="0"/>
        <w:keepLines w:val="0"/>
        <w:widowControl/>
        <w:suppressLineNumbers w:val="0"/>
        <w:spacing w:before="0" w:beforeAutospacing="0" w:after="0" w:afterAutospacing="0"/>
        <w:rPr>
          <w:color w:val="0E101A"/>
        </w:rPr>
      </w:pPr>
      <w:r>
        <w:rPr>
          <w:color w:val="0E101A"/>
        </w:rPr>
        <w:t>Second, when the respondents convey their understanding of the test, their willingness to convey and the test's frame affect the extent that happiness is reported. Respectively, cognitive dissonance can undermine one's willingness to convey, and the trade-off between broadness and preciseness brings challenges to construct questions. </w:t>
      </w:r>
    </w:p>
    <w:p>
      <w:pPr>
        <w:pStyle w:val="5"/>
        <w:keepNext w:val="0"/>
        <w:keepLines w:val="0"/>
        <w:widowControl/>
        <w:suppressLineNumbers w:val="0"/>
        <w:spacing w:before="0" w:beforeAutospacing="0" w:after="0" w:afterAutospacing="0"/>
        <w:rPr>
          <w:color w:val="0E101A"/>
        </w:rPr>
      </w:pPr>
      <w:r>
        <w:rPr>
          <w:color w:val="0E101A"/>
        </w:rPr>
        <w:t>Last, society's cognition highly influences the test frame, but instead, the frame should be based on individuals' understanding of happiness. Whether individuals' and externality's cognitions diverged can hardly be proved under the influence of mainstream culture.</w:t>
      </w:r>
    </w:p>
    <w:p/>
    <w:sectPr>
      <w:headerReference r:id="rId5" w:type="default"/>
      <w:pgSz w:w="11906" w:h="16838"/>
      <w:pgMar w:top="1440" w:right="1440" w:bottom="144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尘" w:date="2023-06-29T12:10:00Z" w:initials="">
    <w:p w14:paraId="4B620EC3">
      <w:pPr>
        <w:pStyle w:val="2"/>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620EC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70AC4A"/>
    <w:multiLevelType w:val="singleLevel"/>
    <w:tmpl w:val="C970AC4A"/>
    <w:lvl w:ilvl="0" w:tentative="0">
      <w:start w:val="1"/>
      <w:numFmt w:val="upperRoman"/>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尘">
    <w15:presenceInfo w15:providerId="None" w15:userId="小尘"/>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004F3AA7"/>
    <w:rsid w:val="002B69DB"/>
    <w:rsid w:val="004141FF"/>
    <w:rsid w:val="004F3AA7"/>
    <w:rsid w:val="00A704C8"/>
    <w:rsid w:val="00EE35C9"/>
    <w:rsid w:val="11943BFC"/>
    <w:rsid w:val="12015736"/>
    <w:rsid w:val="293428EB"/>
    <w:rsid w:val="2AA72658"/>
    <w:rsid w:val="383D41FD"/>
    <w:rsid w:val="38B76B07"/>
    <w:rsid w:val="39F4647E"/>
    <w:rsid w:val="3B7A7F57"/>
    <w:rsid w:val="40E45084"/>
    <w:rsid w:val="42B20202"/>
    <w:rsid w:val="4A34774F"/>
    <w:rsid w:val="4D0E665D"/>
    <w:rsid w:val="544E765F"/>
    <w:rsid w:val="57DE6F4C"/>
    <w:rsid w:val="5C127BCE"/>
    <w:rsid w:val="5D154206"/>
    <w:rsid w:val="5F5D23EB"/>
    <w:rsid w:val="647D5F2A"/>
    <w:rsid w:val="6D362CE3"/>
    <w:rsid w:val="6D6A50B2"/>
    <w:rsid w:val="6F4115CE"/>
    <w:rsid w:val="70DE2274"/>
    <w:rsid w:val="7A526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styleId="11">
    <w:name w:val="annotation reference"/>
    <w:basedOn w:val="7"/>
    <w:qFormat/>
    <w:uiPriority w:val="0"/>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4528</Words>
  <Characters>25335</Characters>
  <Lines>118</Lines>
  <Paragraphs>33</Paragraphs>
  <TotalTime>42</TotalTime>
  <ScaleCrop>false</ScaleCrop>
  <LinksUpToDate>false</LinksUpToDate>
  <CharactersWithSpaces>29433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2023-06-29T07:17:00Z</dcterms:created>
  <dc:creator>爱吃吃的的Sarah</dc:creator>
  <cp:lastModifiedBy>小尘</cp:lastModifiedBy>
  <dcterms:modified xsi:type="dcterms:W3CDTF">2023-06-30T04:12:20Z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677A13216A7B4861967A2425B4532574_13</vt:lpwstr>
  </property>
</Properties>
</file>