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Introduction</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Objective list theories believe in the existence of objective prudential goods: even though one can be a couch potato, he/she chooses more virtuous activities to approach happiness</w:t>
      </w:r>
      <w:r>
        <w:rPr>
          <w:rFonts w:hint="default" w:ascii="Times New Roman" w:hAnsi="Times New Roman" w:cs="Times New Roman"/>
          <w:sz w:val="24"/>
          <w:szCs w:val="24"/>
          <w:highlight w:val="yellow"/>
        </w:rPr>
        <w:t>(Haybron, 2020).</w:t>
      </w:r>
      <w:r>
        <w:rPr>
          <w:rFonts w:hint="default" w:ascii="Times New Roman" w:hAnsi="Times New Roman" w:cs="Times New Roman"/>
          <w:sz w:val="24"/>
          <w:szCs w:val="24"/>
        </w:rPr>
        <w:t xml:space="preserve"> Nevertheless, individuals still have subjective understandings of objective goods, which I refer to as an essential state of happiness.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Based on this understanding of happiness, I adopt the logic of "Four Fields of Knowledge" </w:t>
      </w:r>
      <w:r>
        <w:rPr>
          <w:rFonts w:hint="default" w:ascii="Times New Roman" w:hAnsi="Times New Roman" w:cs="Times New Roman"/>
          <w:sz w:val="24"/>
          <w:szCs w:val="24"/>
          <w:highlight w:val="yellow"/>
        </w:rPr>
        <w:t xml:space="preserve">(Schumacher, 1978) </w:t>
      </w:r>
      <w:r>
        <w:rPr>
          <w:rFonts w:hint="default" w:ascii="Times New Roman" w:hAnsi="Times New Roman" w:cs="Times New Roman"/>
          <w:sz w:val="24"/>
          <w:szCs w:val="24"/>
        </w:rPr>
        <w:t>to illustrate the two processes of effective measurement :</w:t>
      </w:r>
    </w:p>
    <w:p>
      <w:pPr>
        <w:keepNext w:val="0"/>
        <w:keepLines w:val="0"/>
        <w:pageBreakBefore w:val="0"/>
        <w:widowControl w:val="0"/>
        <w:numPr>
          <w:ilvl w:val="0"/>
          <w:numId w:val="1"/>
        </w:numPr>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Respondents have a clear understanding of their personal happiness (I - inner)</w:t>
      </w:r>
    </w:p>
    <w:p>
      <w:pPr>
        <w:keepNext w:val="0"/>
        <w:keepLines w:val="0"/>
        <w:pageBreakBefore w:val="0"/>
        <w:widowControl w:val="0"/>
        <w:numPr>
          <w:ilvl w:val="0"/>
          <w:numId w:val="1"/>
        </w:numPr>
        <w:kinsoku/>
        <w:wordWrap/>
        <w:overflowPunct/>
        <w:topLinePunct w:val="0"/>
        <w:autoSpaceDE/>
        <w:autoSpaceDN/>
        <w:bidi w:val="0"/>
        <w:adjustRightInd/>
        <w:snapToGrid/>
        <w:spacing w:line="480" w:lineRule="auto"/>
        <w:ind w:left="0" w:leftChars="0"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They convey their sense of happiness accurately and completely to the test (inner-externality)</w:t>
      </w:r>
    </w:p>
    <w:bookmarkEnd w:id="0"/>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However, insurmountable barriers hinder the satisfaction of these two processes. Therefore, this essay argues that happiness cannot be measured by subjective well-being tests (SWB) </w:t>
      </w:r>
      <w:r>
        <w:rPr>
          <w:rFonts w:hint="default" w:ascii="Times New Roman" w:hAnsi="Times New Roman" w:cs="Times New Roman"/>
          <w:sz w:val="24"/>
          <w:szCs w:val="24"/>
          <w:highlight w:val="yellow"/>
        </w:rPr>
        <w:t>(Stone et al., 2013).</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First process: realization of the self</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In Tao Te Ching, Lao-Tzu believes that " He who knows himself is enlightened." Knowing oneself is to discover one's feelings, thoughts, and beliefs fully</w:t>
      </w:r>
      <w:r>
        <w:rPr>
          <w:rFonts w:hint="default" w:ascii="Times New Roman" w:hAnsi="Times New Roman" w:cs="Times New Roman"/>
          <w:sz w:val="24"/>
          <w:szCs w:val="24"/>
          <w:highlight w:val="yellow"/>
        </w:rPr>
        <w:t xml:space="preserve"> (Gertler, 2020).</w:t>
      </w:r>
      <w:r>
        <w:rPr>
          <w:rFonts w:hint="default" w:ascii="Times New Roman" w:hAnsi="Times New Roman" w:cs="Times New Roman"/>
          <w:sz w:val="24"/>
          <w:szCs w:val="24"/>
        </w:rPr>
        <w:t xml:space="preserve"> And since happiness is an inner experience, knowing will be the zero condition to discover one's essential state of happiness.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Because happiness blends inseparably with physical sensation, one's knowledge of externality will first affect one's knowing. To learn the external world, Locke writes, "Tis therefore the actual receiving the ideas from without that gives us notice of the existence of other things </w:t>
      </w:r>
      <w:r>
        <w:rPr>
          <w:rFonts w:hint="default" w:ascii="Times New Roman" w:hAnsi="Times New Roman" w:cs="Times New Roman"/>
          <w:sz w:val="24"/>
          <w:szCs w:val="24"/>
          <w:highlight w:val="yellow"/>
        </w:rPr>
        <w:t>(Rockwood, 2018)</w:t>
      </w:r>
      <w:r>
        <w:rPr>
          <w:rFonts w:hint="default" w:ascii="Times New Roman" w:hAnsi="Times New Roman" w:cs="Times New Roman"/>
          <w:sz w:val="24"/>
          <w:szCs w:val="24"/>
        </w:rPr>
        <w:t xml:space="preserve">." That means the knowledge about externality doesn't build from established beliefs toward externality but is from our raw sensation. To discern these two sources, individuals' perception needs to be a "dynamic searching for the best interpretation of available data" </w:t>
      </w:r>
      <w:r>
        <w:rPr>
          <w:rFonts w:hint="default" w:ascii="Times New Roman" w:hAnsi="Times New Roman" w:cs="Times New Roman"/>
          <w:sz w:val="24"/>
          <w:szCs w:val="24"/>
          <w:highlight w:val="yellow"/>
        </w:rPr>
        <w:t>(Gregory, 2015)</w:t>
      </w:r>
      <w:r>
        <w:rPr>
          <w:rFonts w:hint="default" w:ascii="Times New Roman" w:hAnsi="Times New Roman" w:cs="Times New Roman"/>
          <w:sz w:val="24"/>
          <w:szCs w:val="24"/>
        </w:rPr>
        <w:t>, and I interpret this search as self-consciousness.</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Being self-conscious takes two steps. By invoking system </w:t>
      </w:r>
      <w:r>
        <w:rPr>
          <w:rFonts w:hint="eastAsia" w:ascii="Times New Roman" w:hAnsi="Times New Roman" w:cs="Times New Roman"/>
          <w:sz w:val="24"/>
          <w:szCs w:val="24"/>
          <w:lang w:val="en-US" w:eastAsia="zh-CN"/>
        </w:rPr>
        <w:t>II</w:t>
      </w:r>
      <w:r>
        <w:rPr>
          <w:rFonts w:hint="default" w:ascii="Times New Roman" w:hAnsi="Times New Roman" w:cs="Times New Roman"/>
          <w:sz w:val="24"/>
          <w:szCs w:val="24"/>
        </w:rPr>
        <w:t>, individuals first direct their attention to effortful mental activities and once autopilot behaviors, providing a threshold for gaining subjective experiences</w:t>
      </w:r>
      <w:r>
        <w:rPr>
          <w:rFonts w:hint="default" w:ascii="Times New Roman" w:hAnsi="Times New Roman" w:cs="Times New Roman"/>
          <w:sz w:val="24"/>
          <w:szCs w:val="24"/>
          <w:highlight w:val="yellow"/>
        </w:rPr>
        <w:t xml:space="preserve"> (Kahneman, 2011).</w:t>
      </w:r>
      <w:r>
        <w:rPr>
          <w:rFonts w:hint="default" w:ascii="Times New Roman" w:hAnsi="Times New Roman" w:cs="Times New Roman"/>
          <w:sz w:val="24"/>
          <w:szCs w:val="24"/>
        </w:rPr>
        <w:t xml:space="preserve"> Nearly simultaneously, metacognition involves monitoring one's cognitive states, ensuring individuals view their own thoughts critically. The activation of system II and metacognition pushes an individual to the boundary of the known, and the process of taking the unknown into the known is self-conscious.</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However, barriers hinder human beings to discover the self. Biologically speaking, human beings have a natural tendency to conserve energy and thus evade the activation of System II, especially on tasks that can be done with System I</w:t>
      </w:r>
      <w:r>
        <w:rPr>
          <w:rFonts w:hint="default" w:ascii="Times New Roman" w:hAnsi="Times New Roman" w:cs="Times New Roman"/>
          <w:sz w:val="24"/>
          <w:szCs w:val="24"/>
          <w:highlight w:val="yellow"/>
        </w:rPr>
        <w:t xml:space="preserve"> (Kahneman, 2011).</w:t>
      </w:r>
      <w:r>
        <w:rPr>
          <w:rFonts w:hint="default" w:ascii="Times New Roman" w:hAnsi="Times New Roman" w:cs="Times New Roman"/>
          <w:sz w:val="24"/>
          <w:szCs w:val="24"/>
        </w:rPr>
        <w:t xml:space="preserve"> Moreover, without mindfulness, the attention on externality is likely to be divided, which individuals may fail to realize. As Corteen and </w:t>
      </w:r>
      <w:r>
        <w:rPr>
          <w:rFonts w:hint="default" w:ascii="Times New Roman" w:hAnsi="Times New Roman" w:cs="Times New Roman"/>
          <w:sz w:val="24"/>
          <w:szCs w:val="24"/>
          <w:highlight w:val="yellow"/>
        </w:rPr>
        <w:t>Wood (1972)</w:t>
      </w:r>
      <w:r>
        <w:rPr>
          <w:rFonts w:hint="default" w:ascii="Times New Roman" w:hAnsi="Times New Roman" w:cs="Times New Roman"/>
          <w:sz w:val="24"/>
          <w:szCs w:val="24"/>
        </w:rPr>
        <w:t xml:space="preserve"> have discovered, when words didn't consciously perceive by participants, they still established meaning in their minds. With all barriers to realizing the self, Kants says a man cannot "determine with certainty what would make him truly happy; because to do so he would need to be omniscient. </w:t>
      </w:r>
      <w:r>
        <w:rPr>
          <w:rFonts w:hint="default" w:ascii="Times New Roman" w:hAnsi="Times New Roman" w:cs="Times New Roman"/>
          <w:sz w:val="24"/>
          <w:szCs w:val="24"/>
          <w:highlight w:val="yellow"/>
        </w:rPr>
        <w:t>(Kant, 1889)</w:t>
      </w:r>
      <w:r>
        <w:rPr>
          <w:rFonts w:hint="default" w:ascii="Times New Roman" w:hAnsi="Times New Roman" w:cs="Times New Roman"/>
          <w:sz w:val="24"/>
          <w:szCs w:val="24"/>
        </w:rPr>
        <w:t>"</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idea of being omniscient is to transcend and discover one's essential state of happiness. But even if a being believes that he attain a sense of happiness, it may be a fallacy and not the known. To illustrate this claim, I adopt </w:t>
      </w:r>
      <w:r>
        <w:rPr>
          <w:rFonts w:hint="default" w:ascii="Times New Roman" w:hAnsi="Times New Roman" w:cs="Times New Roman"/>
          <w:sz w:val="24"/>
          <w:szCs w:val="24"/>
          <w:highlight w:val="yellow"/>
        </w:rPr>
        <w:t xml:space="preserve">Tal Ben-Shahar's (2007) </w:t>
      </w:r>
      <w:r>
        <w:rPr>
          <w:rFonts w:hint="default" w:ascii="Times New Roman" w:hAnsi="Times New Roman" w:cs="Times New Roman"/>
          <w:sz w:val="24"/>
          <w:szCs w:val="24"/>
        </w:rPr>
        <w:t>model and analyze possible cognitive limitations that hinder each archetype to transcend. For every individual who has a belief in present and future happiness, one can fill into a quadrant.</w:t>
      </w:r>
    </w:p>
    <w:p>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Figure 1</w:t>
      </w:r>
    </w:p>
    <w:p>
      <w:pPr>
        <w:keepNext w:val="0"/>
        <w:keepLines w:val="0"/>
        <w:pageBreakBefore w:val="0"/>
        <w:widowControl w:val="0"/>
        <w:kinsoku/>
        <w:wordWrap/>
        <w:overflowPunct/>
        <w:topLinePunct w:val="0"/>
        <w:autoSpaceDE/>
        <w:autoSpaceDN/>
        <w:bidi w:val="0"/>
        <w:adjustRightInd/>
        <w:snapToGrid/>
        <w:spacing w:line="480" w:lineRule="auto"/>
        <w:jc w:val="both"/>
        <w:textAlignment w:val="auto"/>
        <w:rPr>
          <w:rFonts w:hint="default" w:ascii="Times New Roman" w:hAnsi="Times New Roman" w:cs="Times New Roman"/>
          <w:b w:val="0"/>
          <w:bCs w:val="0"/>
          <w:i/>
          <w:iCs/>
          <w:sz w:val="24"/>
          <w:szCs w:val="24"/>
          <w:lang w:val="en-US" w:eastAsia="zh-CN"/>
        </w:rPr>
      </w:pPr>
      <w:r>
        <w:rPr>
          <w:rFonts w:hint="eastAsia" w:ascii="Times New Roman" w:hAnsi="Times New Roman" w:cs="Times New Roman"/>
          <w:b w:val="0"/>
          <w:bCs w:val="0"/>
          <w:i/>
          <w:iCs/>
          <w:sz w:val="24"/>
          <w:szCs w:val="24"/>
          <w:lang w:val="en-US" w:eastAsia="zh-CN"/>
        </w:rPr>
        <w:t>The four quadrant</w:t>
      </w:r>
    </w:p>
    <w:p>
      <w:pPr>
        <w:bidi w:val="0"/>
        <w:jc w:val="left"/>
      </w:pPr>
      <w:r>
        <w:drawing>
          <wp:inline distT="0" distB="0" distL="114300" distR="114300">
            <wp:extent cx="5206365" cy="2763520"/>
            <wp:effectExtent l="0" t="0" r="13335" b="177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06365" cy="2763520"/>
                    </a:xfrm>
                    <a:prstGeom prst="rect">
                      <a:avLst/>
                    </a:prstGeom>
                    <a:noFill/>
                    <a:ln>
                      <a:noFill/>
                    </a:ln>
                  </pic:spPr>
                </pic:pic>
              </a:graphicData>
            </a:graphic>
          </wp:inline>
        </w:drawing>
      </w:r>
    </w:p>
    <w:p>
      <w:pPr>
        <w:pStyle w:val="5"/>
        <w:keepNext w:val="0"/>
        <w:keepLines w:val="0"/>
        <w:widowControl/>
        <w:suppressLineNumbers w:val="0"/>
        <w:pBdr>
          <w:left w:val="none" w:color="auto" w:sz="0" w:space="0"/>
        </w:pBdr>
        <w:spacing w:before="0" w:beforeAutospacing="0" w:after="0" w:afterAutospacing="0" w:line="480" w:lineRule="auto"/>
        <w:ind w:left="0" w:firstLine="0" w:firstLineChars="0"/>
        <w:rPr>
          <w:rFonts w:hint="default" w:ascii="Times New Roman" w:hAnsi="Times New Roman" w:cs="Times New Roman" w:eastAsiaTheme="minorEastAsia"/>
          <w:i w:val="0"/>
          <w:iCs w:val="0"/>
          <w:sz w:val="24"/>
          <w:szCs w:val="24"/>
          <w:lang w:val="en-US" w:eastAsia="zh-CN"/>
        </w:rPr>
      </w:pPr>
      <w:r>
        <w:rPr>
          <w:rFonts w:hint="default" w:ascii="Times New Roman" w:hAnsi="Times New Roman" w:cs="Times New Roman"/>
          <w:i/>
          <w:iCs/>
          <w:sz w:val="24"/>
          <w:szCs w:val="24"/>
          <w:lang w:val="en-US" w:eastAsia="zh-CN"/>
        </w:rPr>
        <w:t>Note.</w:t>
      </w:r>
      <w:r>
        <w:rPr>
          <w:rFonts w:hint="eastAsia" w:ascii="Times New Roman" w:hAnsi="Times New Roman" w:cs="Times New Roman"/>
          <w:i/>
          <w:iCs/>
          <w:sz w:val="24"/>
          <w:szCs w:val="24"/>
          <w:lang w:val="en-US" w:eastAsia="zh-CN"/>
        </w:rPr>
        <w:t xml:space="preserve"> </w:t>
      </w:r>
      <w:r>
        <w:rPr>
          <w:rFonts w:hint="eastAsia" w:ascii="Times New Roman" w:hAnsi="Times New Roman" w:cs="Times New Roman"/>
          <w:i w:val="0"/>
          <w:iCs w:val="0"/>
          <w:sz w:val="24"/>
          <w:szCs w:val="24"/>
          <w:lang w:val="en-US" w:eastAsia="zh-CN"/>
        </w:rPr>
        <w:t xml:space="preserve">The image is created based on </w:t>
      </w:r>
      <w:r>
        <w:rPr>
          <w:rFonts w:hint="default" w:ascii="Times New Roman" w:hAnsi="Times New Roman" w:cs="Times New Roman"/>
          <w:sz w:val="24"/>
          <w:szCs w:val="24"/>
          <w:highlight w:val="none"/>
        </w:rPr>
        <w:t xml:space="preserve">Tal Ben-Shahar. (2007). </w:t>
      </w:r>
      <w:r>
        <w:rPr>
          <w:rFonts w:hint="default" w:ascii="Times New Roman" w:hAnsi="Times New Roman" w:cs="Times New Roman"/>
          <w:i/>
          <w:iCs/>
          <w:sz w:val="24"/>
          <w:szCs w:val="24"/>
          <w:highlight w:val="none"/>
        </w:rPr>
        <w:t>Happier : learn the secrets to daily joy and lasting fulfillment</w:t>
      </w:r>
      <w:r>
        <w:rPr>
          <w:rFonts w:hint="default" w:ascii="Times New Roman" w:hAnsi="Times New Roman" w:cs="Times New Roman"/>
          <w:sz w:val="24"/>
          <w:szCs w:val="24"/>
          <w:highlight w:val="none"/>
        </w:rPr>
        <w:t>. Mcgraw-Hill.</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Hedonism: ultimate happiness is attained</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By taking psychoactive drugs and performing religious behaviors, human beings can intentionally alter their states of consciousness </w:t>
      </w:r>
      <w:r>
        <w:rPr>
          <w:rFonts w:hint="default" w:ascii="Times New Roman" w:hAnsi="Times New Roman" w:cs="Times New Roman"/>
          <w:sz w:val="24"/>
          <w:szCs w:val="24"/>
          <w:highlight w:val="yellow"/>
        </w:rPr>
        <w:t>(Cacioppo &amp; Freberg, 2019, p. 215).</w:t>
      </w:r>
      <w:r>
        <w:rPr>
          <w:rFonts w:hint="default" w:ascii="Times New Roman" w:hAnsi="Times New Roman" w:cs="Times New Roman"/>
          <w:sz w:val="24"/>
          <w:szCs w:val="24"/>
        </w:rPr>
        <w:t xml:space="preserve"> With this artificial change of beliefs, hedonistic drug takers regard instant satisfaction as happiness and disregard their future. However, if happiness exists in the form of eudaimonia, the overall experience in life is related to one's experience toward happiness. Since hedonists blind future possible happiness, transcendence can only occur when they realize the mistake of regarding instant excitement as ultimate happiness. </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Times New Roman" w:hAnsi="Times New Roman" w:cs="Times New Roman" w:eastAsiaTheme="minorEastAsia"/>
          <w:sz w:val="24"/>
          <w:szCs w:val="24"/>
          <w:highlight w:val="none"/>
          <w:lang w:eastAsia="zh-CN"/>
        </w:rPr>
      </w:pPr>
      <w:r>
        <w:rPr>
          <w:rFonts w:hint="eastAsia" w:ascii="Times New Roman" w:hAnsi="Times New Roman" w:cs="Times New Roman"/>
          <w:sz w:val="24"/>
          <w:szCs w:val="24"/>
          <w:u w:val="single"/>
          <w:lang w:eastAsia="zh-CN"/>
        </w:rPr>
        <w:t>【</w:t>
      </w:r>
      <w:r>
        <w:rPr>
          <w:rFonts w:hint="default" w:ascii="Times New Roman" w:hAnsi="Times New Roman" w:cs="Times New Roman"/>
          <w:sz w:val="24"/>
          <w:szCs w:val="24"/>
          <w:u w:val="single"/>
        </w:rPr>
        <w:t xml:space="preserve">Overall achievement--needs further clarification, even include the events after </w:t>
      </w:r>
      <w:r>
        <w:rPr>
          <w:rFonts w:hint="default" w:ascii="Times New Roman" w:hAnsi="Times New Roman" w:cs="Times New Roman"/>
          <w:sz w:val="24"/>
          <w:szCs w:val="24"/>
          <w:highlight w:val="none"/>
          <w:u w:val="single"/>
        </w:rPr>
        <w:t>death.[ oxford handbook of happiness</w:t>
      </w:r>
      <w:r>
        <w:rPr>
          <w:rFonts w:hint="eastAsia" w:ascii="Times New Roman" w:hAnsi="Times New Roman" w:cs="Times New Roman"/>
          <w:sz w:val="24"/>
          <w:szCs w:val="24"/>
          <w:highlight w:val="none"/>
          <w:u w:val="single"/>
          <w:lang w:eastAsia="zh-CN"/>
        </w:rPr>
        <w:t>】</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Nihilism: happiness died</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During World War II, numerous people failed into learned helplessness and believed that they lost both present and future happiness. According to Karl Jasper's theory, they fail into a "limit situation", believing that only the external locus of control exists </w:t>
      </w:r>
      <w:r>
        <w:rPr>
          <w:rFonts w:hint="default" w:ascii="Times New Roman" w:hAnsi="Times New Roman" w:cs="Times New Roman"/>
          <w:sz w:val="24"/>
          <w:szCs w:val="24"/>
          <w:highlight w:val="yellow"/>
        </w:rPr>
        <w:t xml:space="preserve">(Valdes-Stauber, 2016). </w:t>
      </w:r>
      <w:r>
        <w:rPr>
          <w:rFonts w:hint="default" w:ascii="Times New Roman" w:hAnsi="Times New Roman" w:cs="Times New Roman"/>
          <w:sz w:val="24"/>
          <w:szCs w:val="24"/>
        </w:rPr>
        <w:t xml:space="preserve">However, a limit situation also can "becomes one's destination in the realization of one's existence", provoking people to ask for higher happiness </w:t>
      </w:r>
      <w:r>
        <w:rPr>
          <w:rFonts w:hint="default" w:ascii="Times New Roman" w:hAnsi="Times New Roman" w:cs="Times New Roman"/>
          <w:sz w:val="24"/>
          <w:szCs w:val="24"/>
          <w:highlight w:val="yellow"/>
        </w:rPr>
        <w:t>(Jacobsen, 2008</w:t>
      </w:r>
      <w:r>
        <w:rPr>
          <w:rFonts w:hint="default" w:ascii="Times New Roman" w:hAnsi="Times New Roman" w:cs="Times New Roman"/>
          <w:sz w:val="24"/>
          <w:szCs w:val="24"/>
        </w:rPr>
        <w:t xml:space="preserve">). </w:t>
      </w:r>
      <w:r>
        <w:rPr>
          <w:rFonts w:hint="default" w:ascii="Times New Roman" w:hAnsi="Times New Roman" w:cs="Times New Roman"/>
          <w:sz w:val="24"/>
          <w:szCs w:val="24"/>
          <w:highlight w:val="yellow"/>
        </w:rPr>
        <w:t xml:space="preserve">Frankl (2006) </w:t>
      </w:r>
      <w:r>
        <w:rPr>
          <w:rFonts w:hint="default" w:ascii="Times New Roman" w:hAnsi="Times New Roman" w:cs="Times New Roman"/>
          <w:sz w:val="24"/>
          <w:szCs w:val="24"/>
        </w:rPr>
        <w:t xml:space="preserve">accepted his unavoidable sufferings bravely, believing potential meaning is possible to find within. People with serious chronic diseases learn to adapt to their impairments and transcend themselves </w:t>
      </w:r>
      <w:r>
        <w:rPr>
          <w:rFonts w:hint="default" w:ascii="Times New Roman" w:hAnsi="Times New Roman" w:cs="Times New Roman"/>
          <w:sz w:val="24"/>
          <w:szCs w:val="24"/>
          <w:highlight w:val="yellow"/>
        </w:rPr>
        <w:t xml:space="preserve">(Charmaz, 1995). </w:t>
      </w:r>
      <w:r>
        <w:rPr>
          <w:rFonts w:hint="default" w:ascii="Times New Roman" w:hAnsi="Times New Roman" w:cs="Times New Roman"/>
          <w:sz w:val="24"/>
          <w:szCs w:val="24"/>
        </w:rPr>
        <w:t xml:space="preserve">Thus, if the higher happiness integrates the meaning of pain, nihilists evaluate their happiness based on their "existence" rather than their "essence" </w:t>
      </w:r>
      <w:r>
        <w:rPr>
          <w:rFonts w:hint="default" w:ascii="Times New Roman" w:hAnsi="Times New Roman" w:cs="Times New Roman"/>
          <w:sz w:val="24"/>
          <w:szCs w:val="24"/>
          <w:highlight w:val="yellow"/>
        </w:rPr>
        <w:t xml:space="preserve">(Sartre, 1946), </w:t>
      </w:r>
      <w:r>
        <w:rPr>
          <w:rFonts w:hint="default" w:ascii="Times New Roman" w:hAnsi="Times New Roman" w:cs="Times New Roman"/>
          <w:sz w:val="24"/>
          <w:szCs w:val="24"/>
        </w:rPr>
        <w:t xml:space="preserve">disregarding the potential of transitoriness. </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b/>
          <w:bCs/>
          <w:sz w:val="24"/>
          <w:szCs w:val="24"/>
        </w:rPr>
      </w:pPr>
      <w:commentRangeStart w:id="0"/>
      <w:r>
        <w:rPr>
          <w:rFonts w:hint="default" w:ascii="Times New Roman" w:hAnsi="Times New Roman" w:cs="Times New Roman"/>
          <w:b/>
          <w:bCs/>
          <w:sz w:val="24"/>
          <w:szCs w:val="24"/>
        </w:rPr>
        <w:t>Happiness: the distinction between evaluation and beliefs</w:t>
      </w:r>
      <w:commentRangeEnd w:id="0"/>
      <w:r>
        <w:commentReference w:id="0"/>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Happiness is the archetype that has the highest possibility of approaching the knowing since they believe that they have the potential of discovering one's maxim of happiness. With the belief to transcend, they take happiness more as a dynamic skill that detaches from established experiences and momentary states. However, while the perception turns to explicit rating within oneself, possible bias may occur during the construction of the frame. For instance, about what contributes to one's happiness, individuals take certain aspects as the main cause, but the ignored intricate associations among these aspects are also essential for gaining happiness. As Gestalt psychology illustrated, one's understanding "seems to depend upon relations among the stimuli rather than upon the individual stimuli as such </w:t>
      </w:r>
      <w:r>
        <w:rPr>
          <w:rFonts w:hint="default" w:ascii="Times New Roman" w:hAnsi="Times New Roman" w:cs="Times New Roman"/>
          <w:sz w:val="24"/>
          <w:szCs w:val="24"/>
          <w:highlight w:val="yellow"/>
        </w:rPr>
        <w:t>(Kohler, 1967).</w:t>
      </w:r>
      <w:r>
        <w:rPr>
          <w:rFonts w:hint="default" w:ascii="Times New Roman" w:hAnsi="Times New Roman" w:cs="Times New Roman"/>
          <w:sz w:val="24"/>
          <w:szCs w:val="24"/>
        </w:rPr>
        <w:t xml:space="preserve">" Therefore, the transition between perception and evaluation can undermine the known. </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Rat Racer: serving for happiness</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Rat racers "subordinate the present to the future" and "suffer now for some anticipated gain" </w:t>
      </w:r>
      <w:r>
        <w:rPr>
          <w:rFonts w:hint="default" w:ascii="Times New Roman" w:hAnsi="Times New Roman" w:cs="Times New Roman"/>
          <w:sz w:val="24"/>
          <w:szCs w:val="24"/>
          <w:highlight w:val="yellow"/>
        </w:rPr>
        <w:t xml:space="preserve">(Tal Ben-Shahar, 2007), </w:t>
      </w:r>
      <w:r>
        <w:rPr>
          <w:rFonts w:hint="default" w:ascii="Times New Roman" w:hAnsi="Times New Roman" w:cs="Times New Roman"/>
          <w:sz w:val="24"/>
          <w:szCs w:val="24"/>
        </w:rPr>
        <w:t xml:space="preserve">regarding their sacrifice in present happiness is meaningful. However, this destiny-orientated pursuit ignores the impact of the shift in reference points. Under this "finite game" </w:t>
      </w:r>
      <w:r>
        <w:rPr>
          <w:rFonts w:hint="default" w:ascii="Times New Roman" w:hAnsi="Times New Roman" w:cs="Times New Roman"/>
          <w:sz w:val="24"/>
          <w:szCs w:val="24"/>
          <w:u w:val="single"/>
        </w:rPr>
        <w:t>(which is played to win</w:t>
      </w:r>
      <w:r>
        <w:rPr>
          <w:rFonts w:hint="default" w:ascii="Times New Roman" w:hAnsi="Times New Roman" w:cs="Times New Roman"/>
          <w:sz w:val="24"/>
          <w:szCs w:val="24"/>
          <w:highlight w:val="yellow"/>
          <w:u w:val="single"/>
        </w:rPr>
        <w:t>)(</w:t>
      </w:r>
      <w:r>
        <w:rPr>
          <w:rFonts w:hint="default" w:ascii="Times New Roman" w:hAnsi="Times New Roman" w:cs="Times New Roman"/>
          <w:sz w:val="24"/>
          <w:szCs w:val="24"/>
          <w:highlight w:val="yellow"/>
        </w:rPr>
        <w:t>Carse, 2012),</w:t>
      </w:r>
      <w:r>
        <w:rPr>
          <w:rFonts w:hint="default" w:ascii="Times New Roman" w:hAnsi="Times New Roman" w:cs="Times New Roman"/>
          <w:sz w:val="24"/>
          <w:szCs w:val="24"/>
        </w:rPr>
        <w:t xml:space="preserve"> rat racers keep aiming for a higher reference point and leave themselves in a state of loss. Due to loss aversion, the same amount of gain from the past and loss from now cannot subjectively offset each other </w:t>
      </w:r>
      <w:r>
        <w:rPr>
          <w:rFonts w:hint="default" w:ascii="Times New Roman" w:hAnsi="Times New Roman" w:cs="Times New Roman"/>
          <w:sz w:val="24"/>
          <w:szCs w:val="24"/>
          <w:highlight w:val="yellow"/>
        </w:rPr>
        <w:t>(Kahneman, 2011).</w:t>
      </w:r>
      <w:r>
        <w:rPr>
          <w:rFonts w:hint="default" w:ascii="Times New Roman" w:hAnsi="Times New Roman" w:cs="Times New Roman"/>
          <w:sz w:val="24"/>
          <w:szCs w:val="24"/>
        </w:rPr>
        <w:t xml:space="preserve"> Without possible transcending, which is to gain happiness from journeys, rat racers accumulate their loss and search for happiness continuously with improper direction. </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Figure 2</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b w:val="0"/>
          <w:bCs w:val="0"/>
          <w:i/>
          <w:iCs/>
          <w:sz w:val="24"/>
          <w:szCs w:val="24"/>
          <w:lang w:val="en-US" w:eastAsia="zh-CN"/>
        </w:rPr>
      </w:pPr>
      <w:r>
        <w:rPr>
          <w:rFonts w:hint="eastAsia" w:ascii="Times New Roman" w:hAnsi="Times New Roman" w:cs="Times New Roman"/>
          <w:b w:val="0"/>
          <w:bCs w:val="0"/>
          <w:i/>
          <w:iCs/>
          <w:sz w:val="24"/>
          <w:szCs w:val="24"/>
          <w:lang w:val="en-US" w:eastAsia="zh-CN"/>
        </w:rPr>
        <w:t>Utility function</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pPr>
      <w:r>
        <w:drawing>
          <wp:inline distT="0" distB="0" distL="114300" distR="114300">
            <wp:extent cx="4298315" cy="3441065"/>
            <wp:effectExtent l="0" t="0" r="6985"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8"/>
                    <a:stretch>
                      <a:fillRect/>
                    </a:stretch>
                  </pic:blipFill>
                  <pic:spPr>
                    <a:xfrm>
                      <a:off x="0" y="0"/>
                      <a:ext cx="4298315" cy="344106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eastAsiaTheme="minorEastAsia"/>
          <w:i/>
          <w:iCs/>
          <w:sz w:val="24"/>
          <w:szCs w:val="24"/>
          <w:lang w:val="en-US" w:eastAsia="zh-CN"/>
        </w:rPr>
      </w:pPr>
      <w:r>
        <w:rPr>
          <w:rFonts w:hint="default" w:ascii="Times New Roman" w:hAnsi="Times New Roman" w:cs="Times New Roman"/>
          <w:i/>
          <w:iCs/>
          <w:sz w:val="24"/>
          <w:szCs w:val="24"/>
          <w:lang w:val="en-US" w:eastAsia="zh-CN"/>
        </w:rPr>
        <w:t xml:space="preserve">Note.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Second process: the interaction between internality and externality</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Now the respondents need to convey their understanding to the test. To ensure the second process proceeds successfully, two conditions need to be satisfied:</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2.1)Individuals are willing to convey their understanding of externality fully and accurately</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2.2)externality constructs a frame that can capture individuals' understanding fully</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Firstly, for 2.1 condition, tests' intentions can strongly affect individuals' willingness. If the test aims to achieve the externality's purpose, such as collecting data for scientific research, moderate anonymity facilitates the authenticity by lowering social desirability pressures</w:t>
      </w:r>
      <w:r>
        <w:rPr>
          <w:rFonts w:hint="default" w:ascii="Times New Roman" w:hAnsi="Times New Roman" w:cs="Times New Roman"/>
          <w:sz w:val="24"/>
          <w:szCs w:val="24"/>
          <w:highlight w:val="yellow"/>
        </w:rPr>
        <w:t xml:space="preserve"> (Lelkes et al., 2012) </w:t>
      </w:r>
      <w:r>
        <w:rPr>
          <w:rFonts w:hint="default" w:ascii="Times New Roman" w:hAnsi="Times New Roman" w:cs="Times New Roman"/>
          <w:sz w:val="24"/>
          <w:szCs w:val="24"/>
        </w:rPr>
        <w:t xml:space="preserve">However, if the respondents regard the measurement as a way of knowing himself, one main question will arise: can a man be honest to himself when he/she stays alone?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existence of cognitive dissonance can undermine respondents' willingness to convey their understanding. For rat racers, reporting a high level of happiness (action) allows respondents to stay consistent with the social expectation of wealth and fame (belief), even though they realize the lack of happiness. Moreover, under the value system that "unhappiness is a symptom of maladjustment" </w:t>
      </w:r>
      <w:r>
        <w:rPr>
          <w:rFonts w:hint="default" w:ascii="Times New Roman" w:hAnsi="Times New Roman" w:cs="Times New Roman"/>
          <w:sz w:val="24"/>
          <w:szCs w:val="24"/>
          <w:highlight w:val="yellow"/>
        </w:rPr>
        <w:t>(Frankl, 2006),</w:t>
      </w:r>
      <w:r>
        <w:rPr>
          <w:rFonts w:hint="default" w:ascii="Times New Roman" w:hAnsi="Times New Roman" w:cs="Times New Roman"/>
          <w:sz w:val="24"/>
          <w:szCs w:val="24"/>
        </w:rPr>
        <w:t xml:space="preserve"> respondents may hide their willingness further to conform to social desirability and reduce their cognitive dissonance.</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Secondly, to satisfy 2.2 condition, an effective frame first needs to ensure the testing questions can capture all respondents' personal understandings. Therefore, researchers use "meaning" in tests without clarification, or a broad definition such as "as the sense made of" </w:t>
      </w:r>
      <w:r>
        <w:rPr>
          <w:rFonts w:hint="default" w:ascii="Times New Roman" w:hAnsi="Times New Roman" w:cs="Times New Roman"/>
          <w:sz w:val="24"/>
          <w:szCs w:val="24"/>
          <w:highlight w:val="yellow"/>
        </w:rPr>
        <w:t>(Steger et al., 2006).</w:t>
      </w:r>
      <w:r>
        <w:rPr>
          <w:rFonts w:hint="default" w:ascii="Times New Roman" w:hAnsi="Times New Roman" w:cs="Times New Roman"/>
          <w:sz w:val="24"/>
          <w:szCs w:val="24"/>
        </w:rPr>
        <w:t xml:space="preserve"> But the lack of precision means respondents' personal understandings need to be clear. If the first process fails, then 2.2 condition will hard to be achieved.</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Alternatively, the test can turn out to be more precise by including more potential factors, such as "non-hedonic sources of happiness and suffering </w:t>
      </w:r>
      <w:r>
        <w:rPr>
          <w:rFonts w:hint="default" w:ascii="Times New Roman" w:hAnsi="Times New Roman" w:cs="Times New Roman"/>
          <w:sz w:val="24"/>
          <w:szCs w:val="24"/>
          <w:highlight w:val="yellow"/>
        </w:rPr>
        <w:t>(Stone et al.,2013)</w:t>
      </w:r>
      <w:r>
        <w:rPr>
          <w:rFonts w:hint="default" w:ascii="Times New Roman" w:hAnsi="Times New Roman" w:cs="Times New Roman"/>
          <w:sz w:val="24"/>
          <w:szCs w:val="24"/>
        </w:rPr>
        <w:t>." However, precision can bring more challenges. For instance, confronting a challenge successfully can bring competence, which is normally regarded as a promoter of happiness. However, if respondents feel a lack of autonomy while they handle the tasks, competence then cannot enhance their happiness</w:t>
      </w:r>
      <w:r>
        <w:rPr>
          <w:rFonts w:hint="default" w:ascii="Times New Roman" w:hAnsi="Times New Roman" w:cs="Times New Roman"/>
          <w:sz w:val="24"/>
          <w:szCs w:val="24"/>
          <w:highlight w:val="yellow"/>
        </w:rPr>
        <w:t xml:space="preserve"> (Ryan &amp; Deci, 2000).</w:t>
      </w:r>
      <w:r>
        <w:rPr>
          <w:rFonts w:hint="default" w:ascii="Times New Roman" w:hAnsi="Times New Roman" w:cs="Times New Roman"/>
          <w:sz w:val="24"/>
          <w:szCs w:val="24"/>
        </w:rPr>
        <w:t xml:space="preserve"> Therefore, if the measurement improves the evaluation by incorporating more correlated sources, such as competence, it needs to take even more correlated factors to ensure the test is unbiased.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Not only does the trade-off between broadness and precision can brings a challenge, but also the cognition of society can limit the frame of the test. Influenced by culture, measurement in a collectivist society attaches more importance to contributions toward groups, likely to regard these efforts are more eudaimonic than personal growth. Influenced by the features of an era, society's understanding of happiness diverges with individuals'. For instance, in Song Dynasty, Su Tungpo spoke truth to power and thus was exiled to undeveloped land such as Lingnan. Even though he suffered, he still perceived a strong sense of happiness, expressing that in his poem: "With three hundred litchis every day and night; I am willing to be a Lingnan man for the rest of my life." </w:t>
      </w:r>
      <w:r>
        <w:rPr>
          <w:rFonts w:hint="default" w:ascii="Times New Roman" w:hAnsi="Times New Roman" w:cs="Times New Roman"/>
          <w:sz w:val="24"/>
          <w:szCs w:val="24"/>
          <w:highlight w:val="yellow"/>
        </w:rPr>
        <w:t>(Lin, 2018)</w:t>
      </w:r>
      <w:r>
        <w:rPr>
          <w:rFonts w:hint="default" w:ascii="Times New Roman" w:hAnsi="Times New Roman" w:cs="Times New Roman"/>
          <w:sz w:val="24"/>
          <w:szCs w:val="24"/>
        </w:rPr>
        <w:t xml:space="preserve"> The society aimed to suppress him and reduced his happiness, but Tungpo "amor fati"--loves his fate </w:t>
      </w:r>
      <w:r>
        <w:rPr>
          <w:rFonts w:hint="default" w:ascii="Times New Roman" w:hAnsi="Times New Roman" w:cs="Times New Roman"/>
          <w:sz w:val="24"/>
          <w:szCs w:val="24"/>
          <w:highlight w:val="yellow"/>
        </w:rPr>
        <w:t xml:space="preserve">(Han-Pile, 2009). </w:t>
      </w:r>
      <w:r>
        <w:rPr>
          <w:rFonts w:hint="default" w:ascii="Times New Roman" w:hAnsi="Times New Roman" w:cs="Times New Roman"/>
          <w:sz w:val="24"/>
          <w:szCs w:val="24"/>
        </w:rPr>
        <w:t xml:space="preserve">The diverged understandings between individual and externality mean, if the externality constructs a measurement, it would hardly be not biased.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More importantly, individuals can hardly falsify that society and individuals have diverged understanding toward happiness. For instance, It is convincing that social connection can promote the development of self-esteem </w:t>
      </w:r>
      <w:r>
        <w:rPr>
          <w:rFonts w:hint="default" w:ascii="Times New Roman" w:hAnsi="Times New Roman" w:cs="Times New Roman"/>
          <w:sz w:val="24"/>
          <w:szCs w:val="24"/>
          <w:highlight w:val="yellow"/>
        </w:rPr>
        <w:t>(Maslow, 1943)</w:t>
      </w:r>
      <w:r>
        <w:rPr>
          <w:rFonts w:hint="default" w:ascii="Times New Roman" w:hAnsi="Times New Roman" w:cs="Times New Roman"/>
          <w:sz w:val="24"/>
          <w:szCs w:val="24"/>
        </w:rPr>
        <w:t xml:space="preserve">, but is it possible that society overly reinforces the role of externality on one's happiness? Under the encouragement of social networks, one may falsely regard solitude as loneliness. Therefore, individuals' intrinsic understanding of happiness can be veiled. Society believes the test enhances its convergent validity, but is this still individuals' subjective well-being? Or is it more about society-encouraged well-being? </w:t>
      </w: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essay argues happiness cannot be measured by a subjective well-being test (SWB) by examining two processes.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First, when a man evaluates his/her inner happiness, he/she first needs to approach the state of knowing. However, even if the man believes that he/she achieves knowing, he/she may be hindered by cognitive limitations as explained by archetype analysis.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Second, when the respondents convey their understanding to the test, their willingness to convey and the test's frame affect the extent that happiness is reflected. Respectively, cognitive dissonance can undermine one's willingness to convey, and the trade-off between broadness and preciseness brings challenges to construct questions. </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Last, I argue that the frame of the test is highly influenced by society's cognition, but instead, it should be based on individuals' cognition of happiness. This divergence between individuals' and externality's cognitions can hardly be proved under the influence of mainstream culture.</w:t>
      </w:r>
    </w:p>
    <w:p>
      <w:pPr>
        <w:keepNext w:val="0"/>
        <w:keepLines w:val="0"/>
        <w:pageBreakBefore w:val="0"/>
        <w:widowControl w:val="0"/>
        <w:kinsoku/>
        <w:wordWrap/>
        <w:overflowPunct/>
        <w:topLinePunct w:val="0"/>
        <w:autoSpaceDE/>
        <w:autoSpaceDN/>
        <w:bidi w:val="0"/>
        <w:adjustRightInd/>
        <w:snapToGrid/>
        <w:spacing w:line="480" w:lineRule="auto"/>
        <w:jc w:val="left"/>
        <w:textAlignment w:val="auto"/>
        <w:rPr>
          <w:rFonts w:hint="default" w:ascii="Times New Roman" w:hAnsi="Times New Roman" w:cs="Times New Roman"/>
          <w:sz w:val="24"/>
          <w:szCs w:val="24"/>
        </w:rPr>
      </w:pPr>
    </w:p>
    <w:p>
      <w:pPr>
        <w:pStyle w:val="5"/>
        <w:keepNext w:val="0"/>
        <w:keepLines w:val="0"/>
        <w:widowControl/>
        <w:suppressLineNumbers w:val="0"/>
        <w:spacing w:before="0" w:beforeAutospacing="0" w:after="0" w:afterAutospacing="0" w:line="480" w:lineRule="auto"/>
        <w:jc w:val="both"/>
        <w:rPr>
          <w:rFonts w:hint="default" w:ascii="Times New Roman" w:hAnsi="Times New Roman" w:cs="Times New Roman"/>
          <w:sz w:val="24"/>
          <w:szCs w:val="24"/>
        </w:rPr>
      </w:pPr>
    </w:p>
    <w:p>
      <w:pPr>
        <w:pStyle w:val="5"/>
        <w:keepNext w:val="0"/>
        <w:keepLines w:val="0"/>
        <w:widowControl/>
        <w:suppressLineNumbers w:val="0"/>
        <w:spacing w:before="0" w:beforeAutospacing="0" w:after="0" w:afterAutospacing="0" w:line="480" w:lineRule="auto"/>
        <w:jc w:val="center"/>
        <w:rPr>
          <w:b/>
          <w:bCs/>
          <w:sz w:val="24"/>
          <w:szCs w:val="24"/>
        </w:rPr>
      </w:pPr>
      <w:r>
        <w:rPr>
          <w:rFonts w:hint="default" w:ascii="Times New Roman" w:hAnsi="Times New Roman" w:cs="Times New Roman"/>
          <w:b/>
          <w:bCs/>
          <w:sz w:val="24"/>
          <w:szCs w:val="24"/>
        </w:rPr>
        <w:t>References</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Cacioppo, J. T., &amp; Freberg, L. (2019). </w:t>
      </w:r>
      <w:r>
        <w:rPr>
          <w:rFonts w:hint="default" w:ascii="Times New Roman" w:hAnsi="Times New Roman" w:cs="Times New Roman"/>
          <w:i/>
          <w:iCs/>
          <w:sz w:val="24"/>
          <w:szCs w:val="24"/>
          <w:highlight w:val="yellow"/>
        </w:rPr>
        <w:t>Discovering psychology 3e : the science of mind</w:t>
      </w:r>
      <w:r>
        <w:rPr>
          <w:rFonts w:hint="default" w:ascii="Times New Roman" w:hAnsi="Times New Roman" w:cs="Times New Roman"/>
          <w:sz w:val="24"/>
          <w:szCs w:val="24"/>
          <w:highlight w:val="yellow"/>
        </w:rPr>
        <w:t xml:space="preserve"> (p. 215). Cengage.</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Carse, J. P. (2012). </w:t>
      </w:r>
      <w:r>
        <w:rPr>
          <w:rFonts w:hint="default" w:ascii="Times New Roman" w:hAnsi="Times New Roman" w:cs="Times New Roman"/>
          <w:i/>
          <w:iCs/>
          <w:sz w:val="24"/>
          <w:szCs w:val="24"/>
          <w:highlight w:val="yellow"/>
        </w:rPr>
        <w:t>Finite and infinite games : a vision of life as play and possibility</w:t>
      </w:r>
      <w:r>
        <w:rPr>
          <w:rFonts w:hint="default" w:ascii="Times New Roman" w:hAnsi="Times New Roman" w:cs="Times New Roman"/>
          <w:sz w:val="24"/>
          <w:szCs w:val="24"/>
          <w:highlight w:val="yellow"/>
        </w:rPr>
        <w:t>. Free Press.</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Charmaz, K. (1995). The Body, Identity, and Self: Adapting to Impairment. </w:t>
      </w:r>
      <w:r>
        <w:rPr>
          <w:rFonts w:hint="default" w:ascii="Times New Roman" w:hAnsi="Times New Roman" w:cs="Times New Roman"/>
          <w:i/>
          <w:iCs/>
          <w:sz w:val="24"/>
          <w:szCs w:val="24"/>
          <w:highlight w:val="yellow"/>
        </w:rPr>
        <w:t>The Sociological Quarterly</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36</w:t>
      </w:r>
      <w:r>
        <w:rPr>
          <w:rFonts w:hint="default" w:ascii="Times New Roman" w:hAnsi="Times New Roman" w:cs="Times New Roman"/>
          <w:sz w:val="24"/>
          <w:szCs w:val="24"/>
          <w:highlight w:val="yellow"/>
        </w:rPr>
        <w:t>(4), 657–680. https://www.jstor.org/stable/4121346</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Corteen, R. S., &amp; Wood, B. (1972). Autonomic responses to shock-associated words in an unattended channel. </w:t>
      </w:r>
      <w:r>
        <w:rPr>
          <w:rFonts w:hint="default" w:ascii="Times New Roman" w:hAnsi="Times New Roman" w:cs="Times New Roman"/>
          <w:i/>
          <w:iCs/>
          <w:sz w:val="24"/>
          <w:szCs w:val="24"/>
          <w:highlight w:val="yellow"/>
        </w:rPr>
        <w:t>Journal of Experimental Psychology</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94</w:t>
      </w:r>
      <w:r>
        <w:rPr>
          <w:rFonts w:hint="default" w:ascii="Times New Roman" w:hAnsi="Times New Roman" w:cs="Times New Roman"/>
          <w:sz w:val="24"/>
          <w:szCs w:val="24"/>
          <w:highlight w:val="yellow"/>
        </w:rPr>
        <w:t>(3), 308–313. https://doi.org/10.1037/h0032759</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Frankl, V. E. (2006). </w:t>
      </w:r>
      <w:r>
        <w:rPr>
          <w:rFonts w:hint="default" w:ascii="Times New Roman" w:hAnsi="Times New Roman" w:cs="Times New Roman"/>
          <w:i/>
          <w:iCs/>
          <w:sz w:val="24"/>
          <w:szCs w:val="24"/>
          <w:highlight w:val="yellow"/>
        </w:rPr>
        <w:t>Man’s Search for Meaning</w:t>
      </w:r>
      <w:r>
        <w:rPr>
          <w:rFonts w:hint="default" w:ascii="Times New Roman" w:hAnsi="Times New Roman" w:cs="Times New Roman"/>
          <w:sz w:val="24"/>
          <w:szCs w:val="24"/>
          <w:highlight w:val="yellow"/>
        </w:rPr>
        <w:t>. Beacon Press.</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Gertler, B. (2020). </w:t>
      </w:r>
      <w:r>
        <w:rPr>
          <w:rFonts w:hint="default" w:ascii="Times New Roman" w:hAnsi="Times New Roman" w:cs="Times New Roman"/>
          <w:i/>
          <w:iCs/>
          <w:sz w:val="24"/>
          <w:szCs w:val="24"/>
          <w:highlight w:val="yellow"/>
        </w:rPr>
        <w:t>Self-Knowledge</w:t>
      </w:r>
      <w:r>
        <w:rPr>
          <w:rFonts w:hint="default" w:ascii="Times New Roman" w:hAnsi="Times New Roman" w:cs="Times New Roman"/>
          <w:sz w:val="24"/>
          <w:szCs w:val="24"/>
          <w:highlight w:val="yellow"/>
        </w:rPr>
        <w:t xml:space="preserve"> (E. N. Zalta, Ed.). Stanford Encyclopedia of Philosophy; Metaphysics Research Lab, Stanford University. https://plato.stanford.edu/entries/self-knowledge/</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Gregory, R. L. (2015). </w:t>
      </w:r>
      <w:r>
        <w:rPr>
          <w:rFonts w:hint="default" w:ascii="Times New Roman" w:hAnsi="Times New Roman" w:cs="Times New Roman"/>
          <w:i/>
          <w:iCs/>
          <w:sz w:val="24"/>
          <w:szCs w:val="24"/>
          <w:highlight w:val="yellow"/>
        </w:rPr>
        <w:t>Eye and Brain : The Psychology of Seeing - Fifth Edition</w:t>
      </w:r>
      <w:r>
        <w:rPr>
          <w:rFonts w:hint="default" w:ascii="Times New Roman" w:hAnsi="Times New Roman" w:cs="Times New Roman"/>
          <w:sz w:val="24"/>
          <w:szCs w:val="24"/>
          <w:highlight w:val="yellow"/>
        </w:rPr>
        <w:t>. Princeton University Press.</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Han-Pile, B. (2009). Nietzsche and Amor Fati. </w:t>
      </w:r>
      <w:r>
        <w:rPr>
          <w:rFonts w:hint="default" w:ascii="Times New Roman" w:hAnsi="Times New Roman" w:cs="Times New Roman"/>
          <w:i/>
          <w:iCs/>
          <w:sz w:val="24"/>
          <w:szCs w:val="24"/>
          <w:highlight w:val="yellow"/>
        </w:rPr>
        <w:t>European Journal of Philosophy</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19</w:t>
      </w:r>
      <w:r>
        <w:rPr>
          <w:rFonts w:hint="default" w:ascii="Times New Roman" w:hAnsi="Times New Roman" w:cs="Times New Roman"/>
          <w:sz w:val="24"/>
          <w:szCs w:val="24"/>
          <w:highlight w:val="yellow"/>
        </w:rPr>
        <w:t>(2), 224–261. https://doi.org/10.1111/j.1468-0378.2009.00380.x</w:t>
      </w:r>
    </w:p>
    <w:p>
      <w:pPr>
        <w:pStyle w:val="5"/>
        <w:keepNext w:val="0"/>
        <w:keepLines w:val="0"/>
        <w:widowControl/>
        <w:suppressLineNumbers w:val="0"/>
        <w:pBdr>
          <w:left w:val="none" w:color="auto" w:sz="0" w:space="0"/>
        </w:pBdr>
        <w:spacing w:before="0" w:beforeAutospacing="0" w:after="0" w:afterAutospacing="0" w:line="480" w:lineRule="auto"/>
        <w:ind w:left="0" w:hanging="720"/>
        <w:rPr>
          <w:rFonts w:hint="default" w:ascii="Times New Roman" w:hAnsi="Times New Roman" w:cs="Times New Roman"/>
          <w:sz w:val="24"/>
          <w:szCs w:val="24"/>
        </w:rPr>
      </w:pPr>
      <w:r>
        <w:rPr>
          <w:rFonts w:hint="default" w:ascii="Times New Roman" w:hAnsi="Times New Roman" w:cs="Times New Roman"/>
          <w:sz w:val="24"/>
          <w:szCs w:val="24"/>
          <w:highlight w:val="yellow"/>
        </w:rPr>
        <w:t xml:space="preserve">Haybron, D. (2020). </w:t>
      </w:r>
      <w:r>
        <w:rPr>
          <w:rFonts w:hint="default" w:ascii="Times New Roman" w:hAnsi="Times New Roman" w:cs="Times New Roman"/>
          <w:i/>
          <w:iCs/>
          <w:sz w:val="24"/>
          <w:szCs w:val="24"/>
          <w:highlight w:val="yellow"/>
        </w:rPr>
        <w:t>Happiness</w:t>
      </w:r>
      <w:r>
        <w:rPr>
          <w:rFonts w:hint="default" w:ascii="Times New Roman" w:hAnsi="Times New Roman" w:cs="Times New Roman"/>
          <w:sz w:val="24"/>
          <w:szCs w:val="24"/>
          <w:highlight w:val="yellow"/>
        </w:rPr>
        <w:t xml:space="preserve"> (E. N. Zalta, Ed.). Stanford Encyclopedia of Philosophy; Metaphysics Research Lab, Stanford University.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"https://plato.stanford.edu/entries/happiness/#HedVerEmoSta" </w:instrText>
      </w:r>
      <w:r>
        <w:rPr>
          <w:rFonts w:hint="default" w:ascii="Times New Roman" w:hAnsi="Times New Roman" w:cs="Times New Roman"/>
          <w:sz w:val="24"/>
          <w:szCs w:val="24"/>
        </w:rPr>
        <w:fldChar w:fldCharType="separate"/>
      </w:r>
      <w:r>
        <w:rPr>
          <w:rStyle w:val="8"/>
          <w:rFonts w:hint="default" w:ascii="Times New Roman" w:hAnsi="Times New Roman" w:cs="Times New Roman"/>
          <w:sz w:val="24"/>
          <w:szCs w:val="24"/>
        </w:rPr>
        <w:t>https://plato.stanford.edu/entries/happiness/#HedVerEmoSta</w:t>
      </w:r>
      <w:r>
        <w:rPr>
          <w:rFonts w:hint="default" w:ascii="Times New Roman" w:hAnsi="Times New Roman" w:cs="Times New Roman"/>
          <w:sz w:val="24"/>
          <w:szCs w:val="24"/>
        </w:rPr>
        <w:fldChar w:fldCharType="end"/>
      </w:r>
    </w:p>
    <w:p>
      <w:pPr>
        <w:pStyle w:val="5"/>
        <w:keepNext w:val="0"/>
        <w:keepLines w:val="0"/>
        <w:widowControl/>
        <w:suppressLineNumbers w:val="0"/>
        <w:pBdr>
          <w:left w:val="none" w:color="auto" w:sz="0" w:space="0"/>
        </w:pBdr>
        <w:spacing w:before="0" w:beforeAutospacing="0" w:after="0" w:afterAutospacing="0" w:line="480" w:lineRule="auto"/>
        <w:ind w:left="0" w:hanging="72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 xml:space="preserve">Jacobsen, B. (2007). </w:t>
      </w:r>
      <w:r>
        <w:rPr>
          <w:rFonts w:hint="default" w:ascii="Times New Roman" w:hAnsi="Times New Roman" w:cs="Times New Roman"/>
          <w:i/>
          <w:iCs/>
          <w:sz w:val="24"/>
          <w:szCs w:val="24"/>
          <w:highlight w:val="yellow"/>
        </w:rPr>
        <w:t>Invitation to existential psychology : a psychology for the unique human being and its applications in therapy</w:t>
      </w:r>
      <w:r>
        <w:rPr>
          <w:rFonts w:hint="default" w:ascii="Times New Roman" w:hAnsi="Times New Roman" w:cs="Times New Roman"/>
          <w:sz w:val="24"/>
          <w:szCs w:val="24"/>
          <w:highlight w:val="yellow"/>
        </w:rPr>
        <w:t>. John Wiley.</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Kahneman, D. (2011). </w:t>
      </w:r>
      <w:r>
        <w:rPr>
          <w:rFonts w:hint="default" w:ascii="Times New Roman" w:hAnsi="Times New Roman" w:cs="Times New Roman"/>
          <w:i/>
          <w:iCs/>
          <w:sz w:val="24"/>
          <w:szCs w:val="24"/>
          <w:highlight w:val="yellow"/>
        </w:rPr>
        <w:t>Thinking, Fast and Slow</w:t>
      </w:r>
      <w:r>
        <w:rPr>
          <w:rFonts w:hint="default" w:ascii="Times New Roman" w:hAnsi="Times New Roman" w:cs="Times New Roman"/>
          <w:sz w:val="24"/>
          <w:szCs w:val="24"/>
          <w:highlight w:val="yellow"/>
        </w:rPr>
        <w:t>. Farrar, Straus and Giroux.</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Kant, I. (1889). </w:t>
      </w:r>
      <w:r>
        <w:rPr>
          <w:rFonts w:hint="default" w:ascii="Times New Roman" w:hAnsi="Times New Roman" w:cs="Times New Roman"/>
          <w:i/>
          <w:iCs/>
          <w:sz w:val="24"/>
          <w:szCs w:val="24"/>
          <w:highlight w:val="yellow"/>
        </w:rPr>
        <w:t>Foundations of the Metaphysics of Morals</w:t>
      </w:r>
      <w:r>
        <w:rPr>
          <w:rFonts w:hint="default" w:ascii="Times New Roman" w:hAnsi="Times New Roman" w:cs="Times New Roman"/>
          <w:sz w:val="24"/>
          <w:szCs w:val="24"/>
          <w:highlight w:val="yellow"/>
        </w:rPr>
        <w:t>. http://www.sophia-project.org/uploads/1/3/9/5/13955288/kant_foundations.pdf</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Kohler, W. (1967). Gestalt psychology. </w:t>
      </w:r>
      <w:r>
        <w:rPr>
          <w:rFonts w:hint="default" w:ascii="Times New Roman" w:hAnsi="Times New Roman" w:cs="Times New Roman"/>
          <w:i/>
          <w:iCs/>
          <w:sz w:val="24"/>
          <w:szCs w:val="24"/>
          <w:highlight w:val="yellow"/>
        </w:rPr>
        <w:t>Psychologische Forschung</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31</w:t>
      </w:r>
      <w:r>
        <w:rPr>
          <w:rFonts w:hint="default" w:ascii="Times New Roman" w:hAnsi="Times New Roman" w:cs="Times New Roman"/>
          <w:sz w:val="24"/>
          <w:szCs w:val="24"/>
          <w:highlight w:val="yellow"/>
        </w:rPr>
        <w:t>(1), XVIII–XXX. https://doi.org/10.1007/bf00422382</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Lelkes, Y., Krosnick, J. A., Marx, D. M., Judd, C. M., &amp; Park, B. (2012). Complete anonymity compromises the accuracy of self-reports. </w:t>
      </w:r>
      <w:r>
        <w:rPr>
          <w:rFonts w:hint="default" w:ascii="Times New Roman" w:hAnsi="Times New Roman" w:cs="Times New Roman"/>
          <w:i/>
          <w:iCs/>
          <w:sz w:val="24"/>
          <w:szCs w:val="24"/>
          <w:highlight w:val="yellow"/>
        </w:rPr>
        <w:t>Journal of Experimental Social Psychology</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48</w:t>
      </w:r>
      <w:r>
        <w:rPr>
          <w:rFonts w:hint="default" w:ascii="Times New Roman" w:hAnsi="Times New Roman" w:cs="Times New Roman"/>
          <w:sz w:val="24"/>
          <w:szCs w:val="24"/>
          <w:highlight w:val="yellow"/>
        </w:rPr>
        <w:t>(6), 1291–1299. https://doi.org/10.1016/j.jesp.2012.07.002</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Maslow, A. H. (1943). A Theory of Human Motivation. </w:t>
      </w:r>
      <w:r>
        <w:rPr>
          <w:rFonts w:hint="default" w:ascii="Times New Roman" w:hAnsi="Times New Roman" w:cs="Times New Roman"/>
          <w:i/>
          <w:iCs/>
          <w:sz w:val="24"/>
          <w:szCs w:val="24"/>
          <w:highlight w:val="yellow"/>
        </w:rPr>
        <w:t>Psychological Review</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50</w:t>
      </w:r>
      <w:r>
        <w:rPr>
          <w:rFonts w:hint="default" w:ascii="Times New Roman" w:hAnsi="Times New Roman" w:cs="Times New Roman"/>
          <w:sz w:val="24"/>
          <w:szCs w:val="24"/>
          <w:highlight w:val="yellow"/>
        </w:rPr>
        <w:t>(4), 370–396.</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Rockwood, N. (2018). LOCKE ON EMPIRICAL KNOWLEDGE. </w:t>
      </w:r>
      <w:r>
        <w:rPr>
          <w:rFonts w:hint="default" w:ascii="Times New Roman" w:hAnsi="Times New Roman" w:cs="Times New Roman"/>
          <w:i/>
          <w:iCs/>
          <w:sz w:val="24"/>
          <w:szCs w:val="24"/>
          <w:highlight w:val="yellow"/>
        </w:rPr>
        <w:t>History of Philosophy Quarterly</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35</w:t>
      </w:r>
      <w:r>
        <w:rPr>
          <w:rFonts w:hint="default" w:ascii="Times New Roman" w:hAnsi="Times New Roman" w:cs="Times New Roman"/>
          <w:sz w:val="24"/>
          <w:szCs w:val="24"/>
          <w:highlight w:val="yellow"/>
        </w:rPr>
        <w:t>(4), 317–336. https://doi.org/10.2307/48570921</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Ryan, R. M., &amp; Deci, E. L. (2000). Self-Determination Theory and the Facilitation of Intrinsic Motivation, Social Development, and Well-Being. </w:t>
      </w:r>
      <w:r>
        <w:rPr>
          <w:rFonts w:hint="default" w:ascii="Times New Roman" w:hAnsi="Times New Roman" w:cs="Times New Roman"/>
          <w:i/>
          <w:iCs/>
          <w:sz w:val="24"/>
          <w:szCs w:val="24"/>
          <w:highlight w:val="yellow"/>
        </w:rPr>
        <w:t>American Psychologist</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55</w:t>
      </w:r>
      <w:r>
        <w:rPr>
          <w:rFonts w:hint="default" w:ascii="Times New Roman" w:hAnsi="Times New Roman" w:cs="Times New Roman"/>
          <w:sz w:val="24"/>
          <w:szCs w:val="24"/>
          <w:highlight w:val="yellow"/>
        </w:rPr>
        <w:t>(1), 68–78.</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Sartre, J.-P. (1946). </w:t>
      </w:r>
      <w:r>
        <w:rPr>
          <w:rFonts w:hint="default" w:ascii="Times New Roman" w:hAnsi="Times New Roman" w:cs="Times New Roman"/>
          <w:i/>
          <w:iCs/>
          <w:sz w:val="24"/>
          <w:szCs w:val="24"/>
          <w:highlight w:val="yellow"/>
        </w:rPr>
        <w:t xml:space="preserve">Existentialism is a humanism </w:t>
      </w:r>
      <w:r>
        <w:rPr>
          <w:rFonts w:hint="default" w:ascii="Times New Roman" w:hAnsi="Times New Roman" w:cs="Times New Roman"/>
          <w:sz w:val="24"/>
          <w:szCs w:val="24"/>
          <w:highlight w:val="yellow"/>
        </w:rPr>
        <w:t>. Yale University Press.</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Schumacher, E. F. (1978). </w:t>
      </w:r>
      <w:r>
        <w:rPr>
          <w:rFonts w:hint="default" w:ascii="Times New Roman" w:hAnsi="Times New Roman" w:cs="Times New Roman"/>
          <w:i/>
          <w:iCs/>
          <w:sz w:val="24"/>
          <w:szCs w:val="24"/>
          <w:highlight w:val="yellow"/>
        </w:rPr>
        <w:t>A guide for the perplexed</w:t>
      </w:r>
      <w:r>
        <w:rPr>
          <w:rFonts w:hint="default" w:ascii="Times New Roman" w:hAnsi="Times New Roman" w:cs="Times New Roman"/>
          <w:sz w:val="24"/>
          <w:szCs w:val="24"/>
          <w:highlight w:val="yellow"/>
        </w:rPr>
        <w:t>. Harper &amp; Row.</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Steger, M. F., Frazier, P., Oishi, S., &amp; Kaler, M. (2006). The meaning in life questionnaire: Assessing the presence of and search for meaning in life. </w:t>
      </w:r>
      <w:r>
        <w:rPr>
          <w:rFonts w:hint="default" w:ascii="Times New Roman" w:hAnsi="Times New Roman" w:cs="Times New Roman"/>
          <w:i/>
          <w:iCs/>
          <w:sz w:val="24"/>
          <w:szCs w:val="24"/>
          <w:highlight w:val="yellow"/>
        </w:rPr>
        <w:t>Journal of Counseling Psychology</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53</w:t>
      </w:r>
      <w:r>
        <w:rPr>
          <w:rFonts w:hint="default" w:ascii="Times New Roman" w:hAnsi="Times New Roman" w:cs="Times New Roman"/>
          <w:sz w:val="24"/>
          <w:szCs w:val="24"/>
          <w:highlight w:val="yellow"/>
        </w:rPr>
        <w:t>(1), 80–93. https://doi.org/10.1037/0022-0167.53.1.80</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Stone, A. A., Mackie, C. J., Policy-Relevant, I. A., &amp; National Research Council (U.S.). Committee On National Statistics. (2013). </w:t>
      </w:r>
      <w:r>
        <w:rPr>
          <w:rFonts w:hint="default" w:ascii="Times New Roman" w:hAnsi="Times New Roman" w:cs="Times New Roman"/>
          <w:i/>
          <w:iCs/>
          <w:sz w:val="24"/>
          <w:szCs w:val="24"/>
          <w:highlight w:val="yellow"/>
        </w:rPr>
        <w:t>Subjective well-being : measuring happiness, suffering, and other dimensions of experience</w:t>
      </w:r>
      <w:r>
        <w:rPr>
          <w:rFonts w:hint="default" w:ascii="Times New Roman" w:hAnsi="Times New Roman" w:cs="Times New Roman"/>
          <w:sz w:val="24"/>
          <w:szCs w:val="24"/>
          <w:highlight w:val="yellow"/>
        </w:rPr>
        <w:t>. The National Academies Press.</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Tal Ben-Shahar. (2007). </w:t>
      </w:r>
      <w:r>
        <w:rPr>
          <w:rFonts w:hint="default" w:ascii="Times New Roman" w:hAnsi="Times New Roman" w:cs="Times New Roman"/>
          <w:i/>
          <w:iCs/>
          <w:sz w:val="24"/>
          <w:szCs w:val="24"/>
          <w:highlight w:val="yellow"/>
        </w:rPr>
        <w:t>Happier : learn the secrets to daily joy and lasting fulfillment</w:t>
      </w:r>
      <w:r>
        <w:rPr>
          <w:rFonts w:hint="default" w:ascii="Times New Roman" w:hAnsi="Times New Roman" w:cs="Times New Roman"/>
          <w:sz w:val="24"/>
          <w:szCs w:val="24"/>
          <w:highlight w:val="yellow"/>
        </w:rPr>
        <w:t>. Mcgraw-Hill.</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Valdes-Stauber, J. (2016). [Man at the Frontier of his Being: Scope of the Concept of “Limit Situation” in Psychiatry and Psychotherapy Following Jaspers’ Existential Ontology]. </w:t>
      </w:r>
      <w:r>
        <w:rPr>
          <w:rFonts w:hint="default" w:ascii="Times New Roman" w:hAnsi="Times New Roman" w:cs="Times New Roman"/>
          <w:i/>
          <w:iCs/>
          <w:sz w:val="24"/>
          <w:szCs w:val="24"/>
          <w:highlight w:val="yellow"/>
        </w:rPr>
        <w:t>Fortschritte Der Neurologie-Psychiatrie</w:t>
      </w:r>
      <w:r>
        <w:rPr>
          <w:rFonts w:hint="default" w:ascii="Times New Roman" w:hAnsi="Times New Roman" w:cs="Times New Roman"/>
          <w:sz w:val="24"/>
          <w:szCs w:val="24"/>
          <w:highlight w:val="yellow"/>
        </w:rPr>
        <w:t xml:space="preserve">, </w:t>
      </w:r>
      <w:r>
        <w:rPr>
          <w:rFonts w:hint="default" w:ascii="Times New Roman" w:hAnsi="Times New Roman" w:cs="Times New Roman"/>
          <w:i/>
          <w:iCs/>
          <w:sz w:val="24"/>
          <w:szCs w:val="24"/>
          <w:highlight w:val="yellow"/>
        </w:rPr>
        <w:t>84</w:t>
      </w:r>
      <w:r>
        <w:rPr>
          <w:rFonts w:hint="default" w:ascii="Times New Roman" w:hAnsi="Times New Roman" w:cs="Times New Roman"/>
          <w:sz w:val="24"/>
          <w:szCs w:val="24"/>
          <w:highlight w:val="yellow"/>
        </w:rPr>
        <w:t>(1), 19–27. https://doi.org/10.1055/s-0042-101167</w:t>
      </w:r>
    </w:p>
    <w:p>
      <w:pPr>
        <w:pStyle w:val="5"/>
        <w:keepNext w:val="0"/>
        <w:keepLines w:val="0"/>
        <w:widowControl/>
        <w:suppressLineNumbers w:val="0"/>
        <w:pBdr>
          <w:left w:val="none" w:color="auto" w:sz="0" w:space="0"/>
        </w:pBdr>
        <w:spacing w:before="0" w:beforeAutospacing="0" w:after="0" w:afterAutospacing="0" w:line="480" w:lineRule="auto"/>
        <w:ind w:left="0" w:hanging="720"/>
        <w:rPr>
          <w:highlight w:val="yellow"/>
        </w:rPr>
      </w:pPr>
      <w:r>
        <w:rPr>
          <w:rFonts w:hint="default" w:ascii="Times New Roman" w:hAnsi="Times New Roman" w:cs="Times New Roman"/>
          <w:sz w:val="24"/>
          <w:szCs w:val="24"/>
          <w:highlight w:val="yellow"/>
        </w:rPr>
        <w:t xml:space="preserve">Yutang Lin. (2018). </w:t>
      </w:r>
      <w:r>
        <w:rPr>
          <w:rFonts w:hint="default" w:ascii="Times New Roman" w:hAnsi="Times New Roman" w:cs="Times New Roman"/>
          <w:i/>
          <w:iCs/>
          <w:sz w:val="24"/>
          <w:szCs w:val="24"/>
          <w:highlight w:val="yellow"/>
        </w:rPr>
        <w:t>The Gay Genius：The Life and Times of Su Tungpo</w:t>
      </w:r>
      <w:r>
        <w:rPr>
          <w:rFonts w:hint="default" w:ascii="Times New Roman" w:hAnsi="Times New Roman" w:cs="Times New Roman"/>
          <w:sz w:val="24"/>
          <w:szCs w:val="24"/>
          <w:highlight w:val="yellow"/>
        </w:rPr>
        <w:t>. Hunan Literature and Art Publishing House.</w:t>
      </w:r>
    </w:p>
    <w:p>
      <w:pPr>
        <w:rPr>
          <w:rFonts w:hint="eastAsia"/>
        </w:rPr>
      </w:pPr>
    </w:p>
    <w:sectPr>
      <w:headerReference r:id="rId5" w:type="default"/>
      <w:pgSz w:w="11906" w:h="16838"/>
      <w:pgMar w:top="1440" w:right="1440" w:bottom="1440" w:left="144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尘" w:date="2023-06-29T12:10:45Z" w:initials="">
    <w:p w14:paraId="4DF777BF">
      <w:pPr>
        <w:pStyle w:val="2"/>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F777B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p>
    <w:pPr>
      <w:pStyle w:val="4"/>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70AC4A"/>
    <w:multiLevelType w:val="singleLevel"/>
    <w:tmpl w:val="C970AC4A"/>
    <w:lvl w:ilvl="0" w:tentative="0">
      <w:start w:val="1"/>
      <w:numFmt w:val="upperRoman"/>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尘">
    <w15:presenceInfo w15:providerId="WPS Office" w15:userId="1748336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00000000"/>
    <w:rsid w:val="11943BFC"/>
    <w:rsid w:val="2AA72658"/>
    <w:rsid w:val="2B823F42"/>
    <w:rsid w:val="383D41FD"/>
    <w:rsid w:val="38B76B07"/>
    <w:rsid w:val="39F4647E"/>
    <w:rsid w:val="3B7A7F57"/>
    <w:rsid w:val="40E45084"/>
    <w:rsid w:val="413417A8"/>
    <w:rsid w:val="42B20202"/>
    <w:rsid w:val="46D52B6D"/>
    <w:rsid w:val="4A34774F"/>
    <w:rsid w:val="57DE6F4C"/>
    <w:rsid w:val="5C127BCE"/>
    <w:rsid w:val="5D154206"/>
    <w:rsid w:val="5F5D23EB"/>
    <w:rsid w:val="6F4115CE"/>
    <w:rsid w:val="70DE2274"/>
    <w:rsid w:val="7A526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2276</Words>
  <Characters>13674</Characters>
  <Lines>0</Lines>
  <Paragraphs>0</Paragraphs>
  <TotalTime>10</TotalTime>
  <ScaleCrop>false</ScaleCrop>
  <LinksUpToDate>false</LinksUpToDate>
  <CharactersWithSpaces>15893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2023-06-29T03:14:00Z</dcterms:created>
  <dc:creator>爱吃吃的的Sarah</dc:creator>
  <cp:lastModifiedBy>小尘</cp:lastModifiedBy>
  <dcterms:modified xsi:type="dcterms:W3CDTF">2023-06-29T12:53:10Z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62D264A92AD348B38418331B09C63067_12</vt:lpwstr>
  </property>
</Properties>
</file>