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150" w:afterAutospacing="0"/>
        <w:ind w:left="0" w:right="0" w:firstLine="0"/>
        <w:rPr>
          <w:rFonts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With the explosive rise of empirical research on happiness, a central question is how far, and how, happiness might be measured.</w:t>
      </w:r>
      <w:r>
        <w:rPr>
          <w:rFonts w:hint="default" w:ascii="serif" w:hAnsi="serif" w:eastAsia="serif" w:cs="serif"/>
          <w:i w:val="0"/>
          <w:iCs w:val="0"/>
          <w:caps w:val="0"/>
          <w:color w:val="1A1A1A"/>
          <w:spacing w:val="0"/>
          <w:sz w:val="18"/>
          <w:szCs w:val="18"/>
          <w:shd w:val="clear" w:fill="FFFFFF"/>
          <w:vertAlign w:val="baseline"/>
        </w:rPr>
        <w:t>[</w:t>
      </w:r>
      <w:r>
        <w:rPr>
          <w:rFonts w:hint="default" w:ascii="serif" w:hAnsi="serif" w:eastAsia="serif" w:cs="serif"/>
          <w:i w:val="0"/>
          <w:iCs w:val="0"/>
          <w:caps w:val="0"/>
          <w:color w:val="8C1515"/>
          <w:spacing w:val="0"/>
          <w:sz w:val="18"/>
          <w:szCs w:val="18"/>
          <w:shd w:val="clear" w:fill="FFFFFF"/>
          <w:vertAlign w:val="baseline"/>
        </w:rPr>
        <w:fldChar w:fldCharType="begin"/>
      </w:r>
      <w:r>
        <w:rPr>
          <w:rFonts w:hint="default" w:ascii="serif" w:hAnsi="serif" w:eastAsia="serif" w:cs="serif"/>
          <w:i w:val="0"/>
          <w:iCs w:val="0"/>
          <w:caps w:val="0"/>
          <w:color w:val="8C1515"/>
          <w:spacing w:val="0"/>
          <w:sz w:val="18"/>
          <w:szCs w:val="18"/>
          <w:shd w:val="clear" w:fill="FFFFFF"/>
          <w:vertAlign w:val="baseline"/>
        </w:rPr>
        <w:instrText xml:space="preserve"> HYPERLINK "https://plato.stanford.edu/entries/happiness/notes.html" \l "note-11" </w:instrText>
      </w:r>
      <w:r>
        <w:rPr>
          <w:rFonts w:hint="default" w:ascii="serif" w:hAnsi="serif" w:eastAsia="serif" w:cs="serif"/>
          <w:i w:val="0"/>
          <w:iCs w:val="0"/>
          <w:caps w:val="0"/>
          <w:color w:val="8C1515"/>
          <w:spacing w:val="0"/>
          <w:sz w:val="18"/>
          <w:szCs w:val="18"/>
          <w:shd w:val="clear" w:fill="FFFFFF"/>
          <w:vertAlign w:val="baseline"/>
        </w:rPr>
        <w:fldChar w:fldCharType="separate"/>
      </w:r>
      <w:r>
        <w:rPr>
          <w:rStyle w:val="6"/>
          <w:rFonts w:hint="default" w:ascii="serif" w:hAnsi="serif" w:eastAsia="serif" w:cs="serif"/>
          <w:i w:val="0"/>
          <w:iCs w:val="0"/>
          <w:caps w:val="0"/>
          <w:color w:val="8C1515"/>
          <w:spacing w:val="0"/>
          <w:sz w:val="18"/>
          <w:szCs w:val="18"/>
          <w:shd w:val="clear" w:fill="FFFFFF"/>
          <w:vertAlign w:val="baseline"/>
        </w:rPr>
        <w:t>11</w:t>
      </w:r>
      <w:r>
        <w:rPr>
          <w:rFonts w:hint="default" w:ascii="serif" w:hAnsi="serif" w:eastAsia="serif" w:cs="serif"/>
          <w:i w:val="0"/>
          <w:iCs w:val="0"/>
          <w:caps w:val="0"/>
          <w:color w:val="8C1515"/>
          <w:spacing w:val="0"/>
          <w:sz w:val="18"/>
          <w:szCs w:val="18"/>
          <w:shd w:val="clear" w:fill="FFFFFF"/>
          <w:vertAlign w:val="baseline"/>
        </w:rPr>
        <w:fldChar w:fldCharType="end"/>
      </w:r>
      <w:r>
        <w:rPr>
          <w:rFonts w:hint="default" w:ascii="serif" w:hAnsi="serif" w:eastAsia="serif" w:cs="serif"/>
          <w:i w:val="0"/>
          <w:iCs w:val="0"/>
          <w:caps w:val="0"/>
          <w:color w:val="1A1A1A"/>
          <w:spacing w:val="0"/>
          <w:sz w:val="18"/>
          <w:szCs w:val="18"/>
          <w:shd w:val="clear" w:fill="FFFFFF"/>
          <w:vertAlign w:val="baseline"/>
        </w:rPr>
        <w:t>]</w:t>
      </w:r>
      <w:r>
        <w:rPr>
          <w:rFonts w:hint="default" w:ascii="serif" w:hAnsi="serif" w:eastAsia="serif" w:cs="serif"/>
          <w:i w:val="0"/>
          <w:iCs w:val="0"/>
          <w:caps w:val="0"/>
          <w:color w:val="1A1A1A"/>
          <w:spacing w:val="0"/>
          <w:sz w:val="24"/>
          <w:szCs w:val="24"/>
          <w:shd w:val="clear" w:fill="FFFFFF"/>
        </w:rPr>
        <w:t> There seems to be no in-principle barrier to the idea of measuring, at least roughly, how happy people are. Investigators may never enjoy the precision of the “hedonimeter” once envisaged by Edgeworth to show just how happy a person is (Edgeworth 1881). Indeed, such a device might be impossible even in principle, since happiness might involve multiple dimensions that either cannot be precisely quantified or summed together. If so, it could still be feasible to develop approximate measures of happiness, or at least its various dimensions. Similarly, depression may not admit of precise quantification in a single number, yet many useful if imprecise measures of depression exist. In the case of happiness, it is plausible that even current measures provide information about how anxious, cheerful, satisfied, etc. people are, and thus tell us something about their happiness. Even the simplest self-report measures used in the literature have been found to correlate well with many intuitively relevant variables, such as friends’ reports, smiling, physiological measures, health, longevity, and so forth (Pavot 2008).</w:t>
      </w:r>
    </w:p>
    <w:p>
      <w:pPr>
        <w:pStyle w:val="2"/>
        <w:keepNext w:val="0"/>
        <w:keepLines w:val="0"/>
        <w:widowControl/>
        <w:suppressLineNumbers w:val="0"/>
        <w:shd w:val="clear" w:fill="FFFFFF"/>
        <w:spacing w:before="0" w:beforeAutospacing="0" w:after="150" w:afterAutospacing="0"/>
        <w:ind w:left="0" w:right="0" w:firstLine="0"/>
        <w:rPr>
          <w:rFonts w:hint="default"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Importantly, most scientific research needs only to discern patterns across large numbers of individuals—to take an easy case, determining whether widows tend to be less happy than newlyweds—and this is compatible with substantial unreliability in assessing </w:t>
      </w:r>
      <w:r>
        <w:rPr>
          <w:rStyle w:val="5"/>
          <w:rFonts w:hint="default" w:ascii="serif" w:hAnsi="serif" w:eastAsia="serif" w:cs="serif"/>
          <w:i/>
          <w:iCs/>
          <w:caps w:val="0"/>
          <w:color w:val="1A1A1A"/>
          <w:spacing w:val="0"/>
          <w:sz w:val="24"/>
          <w:szCs w:val="24"/>
          <w:shd w:val="clear" w:fill="FFFFFF"/>
        </w:rPr>
        <w:t>individual</w:t>
      </w:r>
      <w:r>
        <w:rPr>
          <w:rFonts w:hint="default" w:ascii="serif" w:hAnsi="serif" w:eastAsia="serif" w:cs="serif"/>
          <w:i w:val="0"/>
          <w:iCs w:val="0"/>
          <w:caps w:val="0"/>
          <w:color w:val="1A1A1A"/>
          <w:spacing w:val="0"/>
          <w:sz w:val="24"/>
          <w:szCs w:val="24"/>
          <w:shd w:val="clear" w:fill="FFFFFF"/>
        </w:rPr>
        <w:t> happiness. Similarly, an inaccurate thermometer might be a poor guide to the temperature, but readings from many such thermometers could correlate fairly well with actual temperatures—telling us, for instance, that Minnesota is colder than Florida.</w:t>
      </w:r>
    </w:p>
    <w:p>
      <w:pPr>
        <w:pStyle w:val="2"/>
        <w:keepNext w:val="0"/>
        <w:keepLines w:val="0"/>
        <w:widowControl/>
        <w:suppressLineNumbers w:val="0"/>
        <w:shd w:val="clear" w:fill="FFFFFF"/>
        <w:spacing w:before="0" w:beforeAutospacing="0" w:after="150" w:afterAutospacing="0"/>
        <w:ind w:left="0" w:right="0" w:firstLine="0"/>
        <w:rPr>
          <w:rFonts w:hint="default"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This point reveals an important caveat: measures of happiness could correlate well with how happy people are, thus telling us which groups of people tend to be happier, while being completely wrong about </w:t>
      </w:r>
      <w:r>
        <w:rPr>
          <w:rStyle w:val="5"/>
          <w:rFonts w:hint="default" w:ascii="serif" w:hAnsi="serif" w:eastAsia="serif" w:cs="serif"/>
          <w:i/>
          <w:iCs/>
          <w:caps w:val="0"/>
          <w:color w:val="1A1A1A"/>
          <w:spacing w:val="0"/>
          <w:sz w:val="24"/>
          <w:szCs w:val="24"/>
          <w:shd w:val="clear" w:fill="FFFFFF"/>
        </w:rPr>
        <w:t>absolute levels</w:t>
      </w:r>
      <w:r>
        <w:rPr>
          <w:rFonts w:hint="default" w:ascii="serif" w:hAnsi="serif" w:eastAsia="serif" w:cs="serif"/>
          <w:i w:val="0"/>
          <w:iCs w:val="0"/>
          <w:caps w:val="0"/>
          <w:color w:val="1A1A1A"/>
          <w:spacing w:val="0"/>
          <w:sz w:val="24"/>
          <w:szCs w:val="24"/>
          <w:shd w:val="clear" w:fill="FFFFFF"/>
        </w:rPr>
        <w:t> of happiness. Self-reports of happiness, for instance, might correctly indicate that unemployed people are considerably less happy than those with jobs. But every one of those reports could be wrong, say if everyone is unhappy yet claims to be happy, or vice-versa, so long as the unemployed report lower happiness than the employed. Similarly, bad thermometers may show that Minnesota is colder than Florida without giving the correct temperature.</w:t>
      </w:r>
    </w:p>
    <w:p>
      <w:pPr>
        <w:pStyle w:val="2"/>
        <w:keepNext w:val="0"/>
        <w:keepLines w:val="0"/>
        <w:widowControl/>
        <w:suppressLineNumbers w:val="0"/>
        <w:shd w:val="clear" w:fill="FFFFFF"/>
        <w:spacing w:before="0" w:beforeAutospacing="0" w:after="150" w:afterAutospacing="0"/>
        <w:ind w:left="0" w:right="0" w:firstLine="0"/>
        <w:rPr>
          <w:rFonts w:hint="default"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Two morals emerge from these reflections. First, self-report measures of happiness could be reliable guides to </w:t>
      </w:r>
      <w:r>
        <w:rPr>
          <w:rStyle w:val="5"/>
          <w:rFonts w:hint="default" w:ascii="serif" w:hAnsi="serif" w:eastAsia="serif" w:cs="serif"/>
          <w:i/>
          <w:iCs/>
          <w:caps w:val="0"/>
          <w:color w:val="1A1A1A"/>
          <w:spacing w:val="0"/>
          <w:sz w:val="24"/>
          <w:szCs w:val="24"/>
          <w:shd w:val="clear" w:fill="FFFFFF"/>
        </w:rPr>
        <w:t>relative</w:t>
      </w:r>
      <w:r>
        <w:rPr>
          <w:rFonts w:hint="default" w:ascii="serif" w:hAnsi="serif" w:eastAsia="serif" w:cs="serif"/>
          <w:i w:val="0"/>
          <w:iCs w:val="0"/>
          <w:caps w:val="0"/>
          <w:color w:val="1A1A1A"/>
          <w:spacing w:val="0"/>
          <w:sz w:val="24"/>
          <w:szCs w:val="24"/>
          <w:shd w:val="clear" w:fill="FFFFFF"/>
        </w:rPr>
        <w:t> happiness, though telling us little about how happy, in absolute terms, people are. We may know who is happier, that is, but not whether people are in fact happy. Second, even comparisons of relative happiness will be inaccurate if the groups being compared </w:t>
      </w:r>
      <w:r>
        <w:rPr>
          <w:rStyle w:val="5"/>
          <w:rFonts w:hint="default" w:ascii="serif" w:hAnsi="serif" w:eastAsia="serif" w:cs="serif"/>
          <w:i/>
          <w:iCs/>
          <w:caps w:val="0"/>
          <w:color w:val="1A1A1A"/>
          <w:spacing w:val="0"/>
          <w:sz w:val="24"/>
          <w:szCs w:val="24"/>
          <w:shd w:val="clear" w:fill="FFFFFF"/>
        </w:rPr>
        <w:t>systematically</w:t>
      </w:r>
      <w:r>
        <w:rPr>
          <w:rFonts w:hint="default" w:ascii="serif" w:hAnsi="serif" w:eastAsia="serif" w:cs="serif"/>
          <w:i w:val="0"/>
          <w:iCs w:val="0"/>
          <w:caps w:val="0"/>
          <w:color w:val="1A1A1A"/>
          <w:spacing w:val="0"/>
          <w:sz w:val="24"/>
          <w:szCs w:val="24"/>
          <w:shd w:val="clear" w:fill="FFFFFF"/>
        </w:rPr>
        <w:t> bias their reports in different ways. This worry is particularly acute for cross-cultural comparisons of happiness, where differing norms about happiness may undermine the comparability of self-reports. The French might report lower happiness than Americans, for instance, not because their lives are less satisfying or pleasant, but because they tend to put a less positive spin on things. For this reason it may be useful to employ instruments, including narrower questions or physiological measures, that are less prone to cultural biasing.</w:t>
      </w:r>
      <w:r>
        <w:rPr>
          <w:rFonts w:hint="default" w:ascii="serif" w:hAnsi="serif" w:eastAsia="serif" w:cs="serif"/>
          <w:i w:val="0"/>
          <w:iCs w:val="0"/>
          <w:caps w:val="0"/>
          <w:color w:val="1A1A1A"/>
          <w:spacing w:val="0"/>
          <w:sz w:val="18"/>
          <w:szCs w:val="18"/>
          <w:shd w:val="clear" w:fill="FFFFFF"/>
          <w:vertAlign w:val="baseline"/>
        </w:rPr>
        <w:t>[</w:t>
      </w:r>
      <w:r>
        <w:rPr>
          <w:rFonts w:hint="default" w:ascii="serif" w:hAnsi="serif" w:eastAsia="serif" w:cs="serif"/>
          <w:i w:val="0"/>
          <w:iCs w:val="0"/>
          <w:caps w:val="0"/>
          <w:color w:val="8C1515"/>
          <w:spacing w:val="0"/>
          <w:sz w:val="18"/>
          <w:szCs w:val="18"/>
          <w:shd w:val="clear" w:fill="FFFFFF"/>
          <w:vertAlign w:val="baseline"/>
        </w:rPr>
        <w:fldChar w:fldCharType="begin"/>
      </w:r>
      <w:r>
        <w:rPr>
          <w:rFonts w:hint="default" w:ascii="serif" w:hAnsi="serif" w:eastAsia="serif" w:cs="serif"/>
          <w:i w:val="0"/>
          <w:iCs w:val="0"/>
          <w:caps w:val="0"/>
          <w:color w:val="8C1515"/>
          <w:spacing w:val="0"/>
          <w:sz w:val="18"/>
          <w:szCs w:val="18"/>
          <w:shd w:val="clear" w:fill="FFFFFF"/>
          <w:vertAlign w:val="baseline"/>
        </w:rPr>
        <w:instrText xml:space="preserve"> HYPERLINK "https://plato.stanford.edu/entries/happiness/notes.html" \l "note-12" </w:instrText>
      </w:r>
      <w:r>
        <w:rPr>
          <w:rFonts w:hint="default" w:ascii="serif" w:hAnsi="serif" w:eastAsia="serif" w:cs="serif"/>
          <w:i w:val="0"/>
          <w:iCs w:val="0"/>
          <w:caps w:val="0"/>
          <w:color w:val="8C1515"/>
          <w:spacing w:val="0"/>
          <w:sz w:val="18"/>
          <w:szCs w:val="18"/>
          <w:shd w:val="clear" w:fill="FFFFFF"/>
          <w:vertAlign w:val="baseline"/>
        </w:rPr>
        <w:fldChar w:fldCharType="separate"/>
      </w:r>
      <w:r>
        <w:rPr>
          <w:rStyle w:val="6"/>
          <w:rFonts w:hint="default" w:ascii="serif" w:hAnsi="serif" w:eastAsia="serif" w:cs="serif"/>
          <w:i w:val="0"/>
          <w:iCs w:val="0"/>
          <w:caps w:val="0"/>
          <w:color w:val="8C1515"/>
          <w:spacing w:val="0"/>
          <w:sz w:val="18"/>
          <w:szCs w:val="18"/>
          <w:shd w:val="clear" w:fill="FFFFFF"/>
          <w:vertAlign w:val="baseline"/>
        </w:rPr>
        <w:t>12</w:t>
      </w:r>
      <w:r>
        <w:rPr>
          <w:rFonts w:hint="default" w:ascii="serif" w:hAnsi="serif" w:eastAsia="serif" w:cs="serif"/>
          <w:i w:val="0"/>
          <w:iCs w:val="0"/>
          <w:caps w:val="0"/>
          <w:color w:val="8C1515"/>
          <w:spacing w:val="0"/>
          <w:sz w:val="18"/>
          <w:szCs w:val="18"/>
          <w:shd w:val="clear" w:fill="FFFFFF"/>
          <w:vertAlign w:val="baseline"/>
        </w:rPr>
        <w:fldChar w:fldCharType="end"/>
      </w:r>
      <w:r>
        <w:rPr>
          <w:rFonts w:hint="default" w:ascii="serif" w:hAnsi="serif" w:eastAsia="serif" w:cs="serif"/>
          <w:i w:val="0"/>
          <w:iCs w:val="0"/>
          <w:caps w:val="0"/>
          <w:color w:val="1A1A1A"/>
          <w:spacing w:val="0"/>
          <w:sz w:val="18"/>
          <w:szCs w:val="18"/>
          <w:shd w:val="clear" w:fill="FFFFFF"/>
          <w:vertAlign w:val="baseline"/>
        </w:rPr>
        <w:t>]</w:t>
      </w:r>
    </w:p>
    <w:p>
      <w:pPr>
        <w:pStyle w:val="2"/>
        <w:keepNext w:val="0"/>
        <w:keepLines w:val="0"/>
        <w:widowControl/>
        <w:suppressLineNumbers w:val="0"/>
        <w:shd w:val="clear" w:fill="FFFFFF"/>
        <w:spacing w:before="0" w:beforeAutospacing="0" w:after="150" w:afterAutospacing="0"/>
        <w:ind w:left="0" w:right="0" w:firstLine="0"/>
        <w:rPr>
          <w:rFonts w:hint="default"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The discussion thus far has assumed that people can be wrong about how happy they are. Is this plausible? Some have argued that (sincerely) self-reported happiness cannot, even in principle, be mistaken. If you think you’re happy, goes a common sentiment, then you </w:t>
      </w:r>
      <w:r>
        <w:rPr>
          <w:rStyle w:val="5"/>
          <w:rFonts w:hint="default" w:ascii="serif" w:hAnsi="serif" w:eastAsia="serif" w:cs="serif"/>
          <w:i/>
          <w:iCs/>
          <w:caps w:val="0"/>
          <w:color w:val="1A1A1A"/>
          <w:spacing w:val="0"/>
          <w:sz w:val="24"/>
          <w:szCs w:val="24"/>
          <w:shd w:val="clear" w:fill="FFFFFF"/>
        </w:rPr>
        <w:t>are</w:t>
      </w:r>
      <w:r>
        <w:rPr>
          <w:rFonts w:hint="default" w:ascii="serif" w:hAnsi="serif" w:eastAsia="serif" w:cs="serif"/>
          <w:i w:val="0"/>
          <w:iCs w:val="0"/>
          <w:caps w:val="0"/>
          <w:color w:val="1A1A1A"/>
          <w:spacing w:val="0"/>
          <w:sz w:val="24"/>
          <w:szCs w:val="24"/>
          <w:shd w:val="clear" w:fill="FFFFFF"/>
        </w:rPr>
        <w:t> happy. This claim is not plausible on a hedonistic or emotional state view of happiness, since those theories take judgments of happiness to encompass not just how one is feeling at the moment but also past states, and memories of those can obviously be spurious. Further, it has been argued that even judgments of how one feels at the present moment may often be mistaken, particularly regarding moods like anxiety.</w:t>
      </w:r>
      <w:r>
        <w:rPr>
          <w:rFonts w:hint="default" w:ascii="serif" w:hAnsi="serif" w:eastAsia="serif" w:cs="serif"/>
          <w:i w:val="0"/>
          <w:iCs w:val="0"/>
          <w:caps w:val="0"/>
          <w:color w:val="1A1A1A"/>
          <w:spacing w:val="0"/>
          <w:sz w:val="18"/>
          <w:szCs w:val="18"/>
          <w:shd w:val="clear" w:fill="FFFFFF"/>
          <w:vertAlign w:val="baseline"/>
        </w:rPr>
        <w:t>[</w:t>
      </w:r>
      <w:r>
        <w:rPr>
          <w:rFonts w:hint="default" w:ascii="serif" w:hAnsi="serif" w:eastAsia="serif" w:cs="serif"/>
          <w:i w:val="0"/>
          <w:iCs w:val="0"/>
          <w:caps w:val="0"/>
          <w:color w:val="8C1515"/>
          <w:spacing w:val="0"/>
          <w:sz w:val="18"/>
          <w:szCs w:val="18"/>
          <w:shd w:val="clear" w:fill="FFFFFF"/>
          <w:vertAlign w:val="baseline"/>
        </w:rPr>
        <w:fldChar w:fldCharType="begin"/>
      </w:r>
      <w:r>
        <w:rPr>
          <w:rFonts w:hint="default" w:ascii="serif" w:hAnsi="serif" w:eastAsia="serif" w:cs="serif"/>
          <w:i w:val="0"/>
          <w:iCs w:val="0"/>
          <w:caps w:val="0"/>
          <w:color w:val="8C1515"/>
          <w:spacing w:val="0"/>
          <w:sz w:val="18"/>
          <w:szCs w:val="18"/>
          <w:shd w:val="clear" w:fill="FFFFFF"/>
          <w:vertAlign w:val="baseline"/>
        </w:rPr>
        <w:instrText xml:space="preserve"> HYPERLINK "https://plato.stanford.edu/entries/happiness/notes.html" \l "note-13" </w:instrText>
      </w:r>
      <w:r>
        <w:rPr>
          <w:rFonts w:hint="default" w:ascii="serif" w:hAnsi="serif" w:eastAsia="serif" w:cs="serif"/>
          <w:i w:val="0"/>
          <w:iCs w:val="0"/>
          <w:caps w:val="0"/>
          <w:color w:val="8C1515"/>
          <w:spacing w:val="0"/>
          <w:sz w:val="18"/>
          <w:szCs w:val="18"/>
          <w:shd w:val="clear" w:fill="FFFFFF"/>
          <w:vertAlign w:val="baseline"/>
        </w:rPr>
        <w:fldChar w:fldCharType="separate"/>
      </w:r>
      <w:r>
        <w:rPr>
          <w:rStyle w:val="6"/>
          <w:rFonts w:hint="default" w:ascii="serif" w:hAnsi="serif" w:eastAsia="serif" w:cs="serif"/>
          <w:i w:val="0"/>
          <w:iCs w:val="0"/>
          <w:caps w:val="0"/>
          <w:color w:val="8C1515"/>
          <w:spacing w:val="0"/>
          <w:sz w:val="18"/>
          <w:szCs w:val="18"/>
          <w:shd w:val="clear" w:fill="FFFFFF"/>
          <w:vertAlign w:val="baseline"/>
        </w:rPr>
        <w:t>13</w:t>
      </w:r>
      <w:r>
        <w:rPr>
          <w:rFonts w:hint="default" w:ascii="serif" w:hAnsi="serif" w:eastAsia="serif" w:cs="serif"/>
          <w:i w:val="0"/>
          <w:iCs w:val="0"/>
          <w:caps w:val="0"/>
          <w:color w:val="8C1515"/>
          <w:spacing w:val="0"/>
          <w:sz w:val="18"/>
          <w:szCs w:val="18"/>
          <w:shd w:val="clear" w:fill="FFFFFF"/>
          <w:vertAlign w:val="baseline"/>
        </w:rPr>
        <w:fldChar w:fldCharType="end"/>
      </w:r>
      <w:r>
        <w:rPr>
          <w:rFonts w:hint="default" w:ascii="serif" w:hAnsi="serif" w:eastAsia="serif" w:cs="serif"/>
          <w:i w:val="0"/>
          <w:iCs w:val="0"/>
          <w:caps w:val="0"/>
          <w:color w:val="1A1A1A"/>
          <w:spacing w:val="0"/>
          <w:sz w:val="18"/>
          <w:szCs w:val="18"/>
          <w:shd w:val="clear" w:fill="FFFFFF"/>
          <w:vertAlign w:val="baseline"/>
        </w:rPr>
        <w:t>]</w:t>
      </w:r>
    </w:p>
    <w:p>
      <w:pPr>
        <w:pStyle w:val="2"/>
        <w:keepNext w:val="0"/>
        <w:keepLines w:val="0"/>
        <w:widowControl/>
        <w:suppressLineNumbers w:val="0"/>
        <w:shd w:val="clear" w:fill="FFFFFF"/>
        <w:spacing w:before="0" w:beforeAutospacing="0" w:after="150" w:afterAutospacing="0"/>
        <w:ind w:left="0" w:right="0" w:firstLine="0"/>
        <w:rPr>
          <w:rFonts w:hint="default"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The idea that sincere self-reports of happiness are incorrigible can only be correct, it seems, given a quite specific conception of happiness—a kind of life satisfaction theory of happiness on which people count as satisfied with their lives so long as they are disposed to judge explicitly that they are satisfied with their lives on the whole. Also assumed here is that self-reports of happiness are in fact wholly grounded in life satisfaction judgments like these—that is, that people take questions about “happiness” to be questions about life satisfaction. Given these assumptions, we can plausibly conclude that self-reports of happiness are incorrigible. One question is whether happiness, thus conceived, is very important. As well, it is unlikely that respondents invariably interpret happiness questions as being about life satisfaction. At any rate, even life satisfaction theorists might balk at this variant of the account, since life satisfaction is sometimes taken to involve, not just explicit global judgments of life satisfaction, but also our responses to the particular things or domains we care about. Some will hesitate to deem satisfied people who hate many of the important things in their lives, however satisfied they claim to be with their lives as a whole.</w:t>
      </w:r>
    </w:p>
    <w:p>
      <w:pPr>
        <w:pStyle w:val="2"/>
        <w:keepNext w:val="0"/>
        <w:keepLines w:val="0"/>
        <w:widowControl/>
        <w:suppressLineNumbers w:val="0"/>
        <w:shd w:val="clear" w:fill="FFFFFF"/>
        <w:spacing w:before="0" w:beforeAutospacing="0" w:after="150" w:afterAutospacing="0"/>
        <w:ind w:left="0" w:right="0" w:firstLine="0"/>
        <w:rPr>
          <w:rFonts w:hint="default"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In a similar vein, the common practice of measuring happiness simply by asking people to report explicitly on how “happy” they are is sometimes defended on the grounds that it lets people decide for themselves what happiness is. The reasoning again seems to presuppose, controversially, that self-reports of happiness employ a life satisfaction view of happiness, the idea being that whether you are satisfied (“happy”) will depend on what you care about. Alternatively, the point might be literally to leave it up to the respondent to decide whether ‘happy’ means hedonic state, emotional state, life satisfaction, or something else. Thus one respondent’s “I’m happy” might mean “my experience is generally pleasant,” while another’s might mean “I am satisfied with my life as a whole.” It is not clear, however, that asking ambiguous questions of this sort is a useful enterprise, since different respondents will in effect be answering different questions.</w:t>
      </w:r>
    </w:p>
    <w:p>
      <w:pPr>
        <w:pStyle w:val="2"/>
        <w:keepNext w:val="0"/>
        <w:keepLines w:val="0"/>
        <w:widowControl/>
        <w:suppressLineNumbers w:val="0"/>
        <w:shd w:val="clear" w:fill="FFFFFF"/>
        <w:spacing w:before="0" w:beforeAutospacing="0" w:after="150" w:afterAutospacing="0"/>
        <w:ind w:left="0" w:right="0" w:firstLine="0"/>
        <w:rPr>
          <w:rFonts w:hint="default"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To measure happiness through self-reports, then, it may be wiser to employ terms </w:t>
      </w:r>
      <w:r>
        <w:rPr>
          <w:rStyle w:val="5"/>
          <w:rFonts w:hint="default" w:ascii="serif" w:hAnsi="serif" w:eastAsia="serif" w:cs="serif"/>
          <w:i/>
          <w:iCs/>
          <w:caps w:val="0"/>
          <w:color w:val="1A1A1A"/>
          <w:spacing w:val="0"/>
          <w:sz w:val="24"/>
          <w:szCs w:val="24"/>
          <w:shd w:val="clear" w:fill="FFFFFF"/>
        </w:rPr>
        <w:t>other</w:t>
      </w:r>
      <w:r>
        <w:rPr>
          <w:rFonts w:hint="default" w:ascii="serif" w:hAnsi="serif" w:eastAsia="serif" w:cs="serif"/>
          <w:i w:val="0"/>
          <w:iCs w:val="0"/>
          <w:caps w:val="0"/>
          <w:color w:val="1A1A1A"/>
          <w:spacing w:val="0"/>
          <w:sz w:val="24"/>
          <w:szCs w:val="24"/>
          <w:shd w:val="clear" w:fill="FFFFFF"/>
        </w:rPr>
        <w:t> than ‘happiness’ and its cognates—terms whose meaning is relatively well-known and fixed. In other words, researchers should decide in advance what they want to measure—be it life satisfaction, hedonic state, emotional state, or something else—and then ask questions that refer unambiguously to those states.</w:t>
      </w:r>
      <w:r>
        <w:rPr>
          <w:rFonts w:hint="default" w:ascii="serif" w:hAnsi="serif" w:eastAsia="serif" w:cs="serif"/>
          <w:i w:val="0"/>
          <w:iCs w:val="0"/>
          <w:caps w:val="0"/>
          <w:color w:val="1A1A1A"/>
          <w:spacing w:val="0"/>
          <w:sz w:val="18"/>
          <w:szCs w:val="18"/>
          <w:shd w:val="clear" w:fill="FFFFFF"/>
          <w:vertAlign w:val="baseline"/>
        </w:rPr>
        <w:t>[</w:t>
      </w:r>
      <w:r>
        <w:rPr>
          <w:rFonts w:hint="default" w:ascii="serif" w:hAnsi="serif" w:eastAsia="serif" w:cs="serif"/>
          <w:i w:val="0"/>
          <w:iCs w:val="0"/>
          <w:caps w:val="0"/>
          <w:color w:val="8C1515"/>
          <w:spacing w:val="0"/>
          <w:sz w:val="18"/>
          <w:szCs w:val="18"/>
          <w:shd w:val="clear" w:fill="FFFFFF"/>
          <w:vertAlign w:val="baseline"/>
        </w:rPr>
        <w:fldChar w:fldCharType="begin"/>
      </w:r>
      <w:r>
        <w:rPr>
          <w:rFonts w:hint="default" w:ascii="serif" w:hAnsi="serif" w:eastAsia="serif" w:cs="serif"/>
          <w:i w:val="0"/>
          <w:iCs w:val="0"/>
          <w:caps w:val="0"/>
          <w:color w:val="8C1515"/>
          <w:spacing w:val="0"/>
          <w:sz w:val="18"/>
          <w:szCs w:val="18"/>
          <w:shd w:val="clear" w:fill="FFFFFF"/>
          <w:vertAlign w:val="baseline"/>
        </w:rPr>
        <w:instrText xml:space="preserve"> HYPERLINK "https://plato.stanford.edu/entries/happiness/notes.html" \l "note-14" </w:instrText>
      </w:r>
      <w:r>
        <w:rPr>
          <w:rFonts w:hint="default" w:ascii="serif" w:hAnsi="serif" w:eastAsia="serif" w:cs="serif"/>
          <w:i w:val="0"/>
          <w:iCs w:val="0"/>
          <w:caps w:val="0"/>
          <w:color w:val="8C1515"/>
          <w:spacing w:val="0"/>
          <w:sz w:val="18"/>
          <w:szCs w:val="18"/>
          <w:shd w:val="clear" w:fill="FFFFFF"/>
          <w:vertAlign w:val="baseline"/>
        </w:rPr>
        <w:fldChar w:fldCharType="separate"/>
      </w:r>
      <w:r>
        <w:rPr>
          <w:rStyle w:val="6"/>
          <w:rFonts w:hint="default" w:ascii="serif" w:hAnsi="serif" w:eastAsia="serif" w:cs="serif"/>
          <w:i w:val="0"/>
          <w:iCs w:val="0"/>
          <w:caps w:val="0"/>
          <w:color w:val="8C1515"/>
          <w:spacing w:val="0"/>
          <w:sz w:val="18"/>
          <w:szCs w:val="18"/>
          <w:shd w:val="clear" w:fill="FFFFFF"/>
          <w:vertAlign w:val="baseline"/>
        </w:rPr>
        <w:t>14</w:t>
      </w:r>
      <w:r>
        <w:rPr>
          <w:rFonts w:hint="default" w:ascii="serif" w:hAnsi="serif" w:eastAsia="serif" w:cs="serif"/>
          <w:i w:val="0"/>
          <w:iCs w:val="0"/>
          <w:caps w:val="0"/>
          <w:color w:val="8C1515"/>
          <w:spacing w:val="0"/>
          <w:sz w:val="18"/>
          <w:szCs w:val="18"/>
          <w:shd w:val="clear" w:fill="FFFFFF"/>
          <w:vertAlign w:val="baseline"/>
        </w:rPr>
        <w:fldChar w:fldCharType="end"/>
      </w:r>
      <w:r>
        <w:rPr>
          <w:rFonts w:hint="default" w:ascii="serif" w:hAnsi="serif" w:eastAsia="serif" w:cs="serif"/>
          <w:i w:val="0"/>
          <w:iCs w:val="0"/>
          <w:caps w:val="0"/>
          <w:color w:val="1A1A1A"/>
          <w:spacing w:val="0"/>
          <w:sz w:val="18"/>
          <w:szCs w:val="18"/>
          <w:shd w:val="clear" w:fill="FFFFFF"/>
          <w:vertAlign w:val="baseline"/>
        </w:rPr>
        <w:t>]</w:t>
      </w:r>
      <w:r>
        <w:rPr>
          <w:rFonts w:hint="default" w:ascii="serif" w:hAnsi="serif" w:eastAsia="serif" w:cs="serif"/>
          <w:i w:val="0"/>
          <w:iCs w:val="0"/>
          <w:caps w:val="0"/>
          <w:color w:val="1A1A1A"/>
          <w:spacing w:val="0"/>
          <w:sz w:val="24"/>
          <w:szCs w:val="24"/>
          <w:shd w:val="clear" w:fill="FFFFFF"/>
        </w:rPr>
        <w:t> This stratagem may be all the more necessary in cross-cultural work, where finding suitable translations of ‘happy’ can be daunting—particularly when the English meaning of the term remains a matter of contention (Wierzbicka 2004).</w:t>
      </w:r>
    </w:p>
    <w:p>
      <w:pPr>
        <w:pStyle w:val="2"/>
        <w:keepNext w:val="0"/>
        <w:keepLines w:val="0"/>
        <w:widowControl/>
        <w:suppressLineNumbers w:val="0"/>
        <w:shd w:val="clear" w:fill="FFFFFF"/>
        <w:spacing w:before="0" w:beforeAutospacing="0" w:after="150" w:afterAutospacing="0"/>
        <w:ind w:left="0" w:right="0" w:firstLine="0"/>
        <w:rPr>
          <w:rFonts w:hint="default" w:ascii="serif" w:hAnsi="serif" w:eastAsia="serif" w:cs="serif"/>
          <w:i w:val="0"/>
          <w:iCs w:val="0"/>
          <w:caps w:val="0"/>
          <w:color w:val="1A1A1A"/>
          <w:spacing w:val="0"/>
          <w:sz w:val="24"/>
          <w:szCs w:val="24"/>
        </w:rPr>
      </w:pPr>
      <w:r>
        <w:rPr>
          <w:rFonts w:hint="default" w:ascii="serif" w:hAnsi="serif" w:eastAsia="serif" w:cs="serif"/>
          <w:i w:val="0"/>
          <w:iCs w:val="0"/>
          <w:caps w:val="0"/>
          <w:color w:val="1A1A1A"/>
          <w:spacing w:val="0"/>
          <w:sz w:val="24"/>
          <w:szCs w:val="24"/>
          <w:shd w:val="clear" w:fill="FFFFFF"/>
        </w:rPr>
        <w:t>This entry focuses on subjective well-being studies, since that work is standardly deemed “happiness” research. But psychological research on well-being can take other forms, notably in the “eudaimonic”—commonly opposed to “hedonic”—literature, which assesses a broader range of indicators taken to represent objective human needs, such as meaning, personal growth, relatedness, autonomy, competence, etc.</w:t>
      </w:r>
      <w:r>
        <w:rPr>
          <w:rFonts w:hint="default" w:ascii="serif" w:hAnsi="serif" w:eastAsia="serif" w:cs="serif"/>
          <w:i w:val="0"/>
          <w:iCs w:val="0"/>
          <w:caps w:val="0"/>
          <w:color w:val="1A1A1A"/>
          <w:spacing w:val="0"/>
          <w:sz w:val="18"/>
          <w:szCs w:val="18"/>
          <w:shd w:val="clear" w:fill="FFFFFF"/>
          <w:vertAlign w:val="baseline"/>
        </w:rPr>
        <w:t>[</w:t>
      </w:r>
      <w:r>
        <w:rPr>
          <w:rFonts w:hint="default" w:ascii="serif" w:hAnsi="serif" w:eastAsia="serif" w:cs="serif"/>
          <w:i w:val="0"/>
          <w:iCs w:val="0"/>
          <w:caps w:val="0"/>
          <w:color w:val="8C1515"/>
          <w:spacing w:val="0"/>
          <w:sz w:val="18"/>
          <w:szCs w:val="18"/>
          <w:shd w:val="clear" w:fill="FFFFFF"/>
          <w:vertAlign w:val="baseline"/>
        </w:rPr>
        <w:fldChar w:fldCharType="begin"/>
      </w:r>
      <w:r>
        <w:rPr>
          <w:rFonts w:hint="default" w:ascii="serif" w:hAnsi="serif" w:eastAsia="serif" w:cs="serif"/>
          <w:i w:val="0"/>
          <w:iCs w:val="0"/>
          <w:caps w:val="0"/>
          <w:color w:val="8C1515"/>
          <w:spacing w:val="0"/>
          <w:sz w:val="18"/>
          <w:szCs w:val="18"/>
          <w:shd w:val="clear" w:fill="FFFFFF"/>
          <w:vertAlign w:val="baseline"/>
        </w:rPr>
        <w:instrText xml:space="preserve"> HYPERLINK "https://plato.stanford.edu/entries/happiness/notes.html" \l "note-15" </w:instrText>
      </w:r>
      <w:r>
        <w:rPr>
          <w:rFonts w:hint="default" w:ascii="serif" w:hAnsi="serif" w:eastAsia="serif" w:cs="serif"/>
          <w:i w:val="0"/>
          <w:iCs w:val="0"/>
          <w:caps w:val="0"/>
          <w:color w:val="8C1515"/>
          <w:spacing w:val="0"/>
          <w:sz w:val="18"/>
          <w:szCs w:val="18"/>
          <w:shd w:val="clear" w:fill="FFFFFF"/>
          <w:vertAlign w:val="baseline"/>
        </w:rPr>
        <w:fldChar w:fldCharType="separate"/>
      </w:r>
      <w:r>
        <w:rPr>
          <w:rStyle w:val="6"/>
          <w:rFonts w:hint="default" w:ascii="serif" w:hAnsi="serif" w:eastAsia="serif" w:cs="serif"/>
          <w:i w:val="0"/>
          <w:iCs w:val="0"/>
          <w:caps w:val="0"/>
          <w:color w:val="8C1515"/>
          <w:spacing w:val="0"/>
          <w:sz w:val="18"/>
          <w:szCs w:val="18"/>
          <w:shd w:val="clear" w:fill="FFFFFF"/>
          <w:vertAlign w:val="baseline"/>
        </w:rPr>
        <w:t>15</w:t>
      </w:r>
      <w:r>
        <w:rPr>
          <w:rFonts w:hint="default" w:ascii="serif" w:hAnsi="serif" w:eastAsia="serif" w:cs="serif"/>
          <w:i w:val="0"/>
          <w:iCs w:val="0"/>
          <w:caps w:val="0"/>
          <w:color w:val="8C1515"/>
          <w:spacing w:val="0"/>
          <w:sz w:val="18"/>
          <w:szCs w:val="18"/>
          <w:shd w:val="clear" w:fill="FFFFFF"/>
          <w:vertAlign w:val="baseline"/>
        </w:rPr>
        <w:fldChar w:fldCharType="end"/>
      </w:r>
      <w:r>
        <w:rPr>
          <w:rFonts w:hint="default" w:ascii="serif" w:hAnsi="serif" w:eastAsia="serif" w:cs="serif"/>
          <w:i w:val="0"/>
          <w:iCs w:val="0"/>
          <w:caps w:val="0"/>
          <w:color w:val="1A1A1A"/>
          <w:spacing w:val="0"/>
          <w:sz w:val="18"/>
          <w:szCs w:val="18"/>
          <w:shd w:val="clear" w:fill="FFFFFF"/>
          <w:vertAlign w:val="baseline"/>
        </w:rPr>
        <w:t>]</w:t>
      </w:r>
      <w:r>
        <w:rPr>
          <w:rFonts w:hint="default" w:ascii="serif" w:hAnsi="serif" w:eastAsia="serif" w:cs="serif"/>
          <w:i w:val="0"/>
          <w:iCs w:val="0"/>
          <w:caps w:val="0"/>
          <w:color w:val="1A1A1A"/>
          <w:spacing w:val="0"/>
          <w:sz w:val="24"/>
          <w:szCs w:val="24"/>
          <w:shd w:val="clear" w:fill="FFFFFF"/>
        </w:rPr>
        <w:t> (The assimilation of subjective well-being to the “hedonic” realm may be misleading, since life satisfaction seems primarily to be a </w:t>
      </w:r>
      <w:r>
        <w:rPr>
          <w:rStyle w:val="5"/>
          <w:rFonts w:hint="default" w:ascii="serif" w:hAnsi="serif" w:eastAsia="serif" w:cs="serif"/>
          <w:i/>
          <w:iCs/>
          <w:caps w:val="0"/>
          <w:color w:val="1A1A1A"/>
          <w:spacing w:val="0"/>
          <w:sz w:val="24"/>
          <w:szCs w:val="24"/>
          <w:shd w:val="clear" w:fill="FFFFFF"/>
        </w:rPr>
        <w:t>non</w:t>
      </w:r>
      <w:r>
        <w:rPr>
          <w:rFonts w:hint="default" w:ascii="serif" w:hAnsi="serif" w:eastAsia="serif" w:cs="serif"/>
          <w:i w:val="0"/>
          <w:iCs w:val="0"/>
          <w:caps w:val="0"/>
          <w:color w:val="1A1A1A"/>
          <w:spacing w:val="0"/>
          <w:sz w:val="24"/>
          <w:szCs w:val="24"/>
          <w:shd w:val="clear" w:fill="FFFFFF"/>
        </w:rPr>
        <w:t>-hedonic value, as noted earlier.) Other well-being instruments may not clearly fall under either the “happiness” or eudaimonic rubrics, for instance extending subjective well-being measures by adding questions about the extent to which activities are seen as meaningful or worthwhile (White and Dolan 2009). An important question going forward is how far well-being research needs to incorporate indicators beyond subjective well-being.</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00000000"/>
    <w:rsid w:val="55800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2023-05-25T04:00:12Z</dcterms:created>
  <dc:creator>爱吃吃的的Sarah</dc:creator>
  <cp:lastModifiedBy>小尘</cp:lastModifiedBy>
  <dcterms:modified xsi:type="dcterms:W3CDTF">2023-05-25T04:00:25Z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83E08DC468A04852B846DB1478409F99_12</vt:lpwstr>
  </property>
</Properties>
</file>