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pacing w:beforeAutospacing="0" w:afterAutospacing="0" w:line="360" w:lineRule="auto"/>
        <w:jc w:val="center"/>
        <w:rPr>
          <w:rFonts w:ascii="Times New Roman" w:hAnsi="Times New Roman" w:eastAsia="宋体"/>
          <w:b/>
          <w:bCs/>
          <w:color w:val="0E101A"/>
          <w:sz w:val="32"/>
          <w:szCs w:val="32"/>
        </w:rPr>
      </w:pPr>
      <w:r>
        <w:rPr>
          <w:rFonts w:ascii="Times New Roman" w:hAnsi="Times New Roman" w:eastAsia="宋体"/>
          <w:b/>
          <w:bCs/>
          <w:color w:val="0E101A"/>
          <w:sz w:val="32"/>
          <w:szCs w:val="32"/>
        </w:rPr>
        <w:t xml:space="preserve">A </w:t>
      </w:r>
      <w:r>
        <w:rPr>
          <w:rFonts w:hint="eastAsia" w:ascii="Times New Roman" w:hAnsi="Times New Roman" w:eastAsia="宋体"/>
          <w:b/>
          <w:bCs/>
          <w:color w:val="0E101A"/>
          <w:sz w:val="32"/>
          <w:szCs w:val="32"/>
        </w:rPr>
        <w:t>N</w:t>
      </w:r>
      <w:r>
        <w:rPr>
          <w:rFonts w:ascii="Times New Roman" w:hAnsi="Times New Roman" w:eastAsia="宋体"/>
          <w:b/>
          <w:bCs/>
          <w:color w:val="0E101A"/>
          <w:sz w:val="32"/>
          <w:szCs w:val="32"/>
        </w:rPr>
        <w:t>ew LASSO-BiLSTM-Based Ensemble Learning Approach for Exchange Rate Forecasting</w:t>
      </w:r>
    </w:p>
    <w:p>
      <w:pPr>
        <w:jc w:val="center"/>
        <w:rPr>
          <w:rFonts w:ascii="Times New Roman" w:hAnsi="Times New Roman" w:cs="Times New Roman"/>
        </w:rPr>
      </w:pPr>
      <w:r>
        <w:rPr>
          <w:rFonts w:ascii="Times New Roman" w:hAnsi="Times New Roman" w:cs="Times New Roman"/>
        </w:rPr>
        <w:t xml:space="preserve">Siyuan Liu </w:t>
      </w:r>
      <w:r>
        <w:rPr>
          <w:rFonts w:ascii="Times New Roman" w:hAnsi="Times New Roman" w:cs="Times New Roman"/>
          <w:vertAlign w:val="superscript"/>
        </w:rPr>
        <w:t>a</w:t>
      </w:r>
      <w:r>
        <w:rPr>
          <w:rFonts w:ascii="Times New Roman" w:hAnsi="Times New Roman" w:cs="Times New Roman"/>
        </w:rPr>
        <w:t xml:space="preserve">, Qiqian Huang </w:t>
      </w:r>
      <w:r>
        <w:rPr>
          <w:rFonts w:ascii="Times New Roman" w:hAnsi="Times New Roman" w:cs="Times New Roman"/>
          <w:vertAlign w:val="superscript"/>
        </w:rPr>
        <w:t>a</w:t>
      </w:r>
      <w:r>
        <w:rPr>
          <w:rFonts w:ascii="Times New Roman" w:hAnsi="Times New Roman" w:cs="Times New Roman"/>
        </w:rPr>
        <w:t xml:space="preserve">, Yunjie Wei </w:t>
      </w:r>
      <w:r>
        <w:rPr>
          <w:rFonts w:ascii="Times New Roman" w:hAnsi="Times New Roman" w:cs="Times New Roman"/>
          <w:vertAlign w:val="superscript"/>
        </w:rPr>
        <w:t xml:space="preserve">b,c, </w:t>
      </w:r>
      <w:r>
        <w:rPr>
          <w:rStyle w:val="15"/>
          <w:rFonts w:ascii="Times New Roman" w:hAnsi="Times New Roman" w:cs="Times New Roman"/>
        </w:rPr>
        <w:footnoteReference w:id="0"/>
      </w:r>
    </w:p>
    <w:p>
      <w:pPr>
        <w:rPr>
          <w:rFonts w:ascii="Times New Roman" w:hAnsi="Times New Roman" w:cs="Times New Roman"/>
        </w:rPr>
      </w:pPr>
      <w:r>
        <w:rPr>
          <w:rFonts w:ascii="Times New Roman" w:hAnsi="Times New Roman" w:cs="Times New Roman"/>
          <w:vertAlign w:val="superscript"/>
        </w:rPr>
        <w:t xml:space="preserve">a </w:t>
      </w:r>
      <w:r>
        <w:rPr>
          <w:rFonts w:ascii="Times New Roman" w:hAnsi="Times New Roman" w:cs="Times New Roman"/>
        </w:rPr>
        <w:t>Beijing 101 High School</w:t>
      </w:r>
    </w:p>
    <w:p>
      <w:pPr>
        <w:rPr>
          <w:rFonts w:ascii="Times New Roman" w:hAnsi="Times New Roman" w:cs="Times New Roman"/>
        </w:rPr>
      </w:pPr>
      <w:r>
        <w:rPr>
          <w:rFonts w:ascii="Times New Roman" w:hAnsi="Times New Roman" w:cs="Times New Roman"/>
          <w:vertAlign w:val="superscript"/>
        </w:rPr>
        <w:t xml:space="preserve">b </w:t>
      </w:r>
      <w:r>
        <w:rPr>
          <w:rFonts w:ascii="Times New Roman" w:hAnsi="Times New Roman" w:cs="Times New Roman"/>
        </w:rPr>
        <w:t>Academy of Mathematics and Systems Science, Chinese Academy of Sciences, Beijing, 100190, China</w:t>
      </w:r>
    </w:p>
    <w:p>
      <w:pPr>
        <w:rPr>
          <w:rFonts w:ascii="Times New Roman" w:hAnsi="Times New Roman" w:cs="Times New Roman"/>
          <w:szCs w:val="21"/>
        </w:rPr>
      </w:pPr>
      <w:r>
        <w:rPr>
          <w:rFonts w:ascii="Times New Roman" w:hAnsi="Times New Roman" w:cs="Times New Roman"/>
          <w:szCs w:val="21"/>
          <w:vertAlign w:val="superscript"/>
        </w:rPr>
        <w:t xml:space="preserve">c </w:t>
      </w:r>
      <w:r>
        <w:rPr>
          <w:rFonts w:ascii="Times New Roman" w:hAnsi="Times New Roman" w:cs="Times New Roman"/>
          <w:szCs w:val="21"/>
        </w:rPr>
        <w:t>Center for Forecasting Science, Chinese Academy of Sciences, Beijing 100190, China</w:t>
      </w:r>
    </w:p>
    <w:p>
      <w:pPr>
        <w:widowControl/>
        <w:jc w:val="center"/>
        <w:rPr>
          <w:rFonts w:ascii="Times New Roman" w:hAnsi="Times New Roman" w:cs="Times New Roman"/>
          <w:sz w:val="24"/>
        </w:rPr>
      </w:pPr>
    </w:p>
    <w:p>
      <w:pPr>
        <w:pStyle w:val="9"/>
        <w:spacing w:beforeAutospacing="0" w:afterAutospacing="0" w:line="360" w:lineRule="auto"/>
        <w:rPr>
          <w:rFonts w:ascii="Times New Roman" w:hAnsi="Times New Roman" w:cs="Times New Roman"/>
        </w:rPr>
      </w:pPr>
      <w:r>
        <w:rPr>
          <w:rFonts w:ascii="Times New Roman" w:hAnsi="Times New Roman" w:eastAsia="宋体"/>
          <w:b/>
          <w:bCs/>
          <w:color w:val="000000"/>
          <w:kern w:val="0"/>
          <w:sz w:val="28"/>
          <w:szCs w:val="28"/>
          <w:lang w:bidi="ar"/>
        </w:rPr>
        <w:t>Abstract</w:t>
      </w:r>
      <w:r>
        <w:rPr>
          <w:rFonts w:ascii="Times New Roman" w:hAnsi="Times New Roman" w:eastAsia="宋体"/>
          <w:b/>
          <w:bCs/>
          <w:color w:val="000000"/>
          <w:kern w:val="0"/>
          <w:sz w:val="24"/>
          <w:lang w:bidi="ar"/>
        </w:rPr>
        <w:t xml:space="preserve">: </w:t>
      </w:r>
      <w:r>
        <w:rPr>
          <w:rFonts w:ascii="Times New Roman" w:hAnsi="Times New Roman"/>
          <w:sz w:val="24"/>
        </w:rPr>
        <w:t>Foreign exchange rate affects many countries’ economic status and development. Therefore, it is essential to find the factors affecting the exchange rate price and make reasonable predictions. This paper proposes the novel LASSO-BiLSTM-based ensemble learning method by integrating LASSO and BiLSTM to predict the USD/CNY exchange rate. This paper, 29 market-level variables and macroeconomic variables are selected to predict the monthly United States Dollar to Chinese Yuan (USD/CNY) exchange rate. The LASSO-BiLSTM-based ensemble learning approach contains two parts. First, the LASSO method is utilized to select the six most correlated variables with the exchange rate for future prediction; Second, the BiLSTM is employed to forecast exchange with the six chosen variables. Moreover, to test the effectiveness of BiLSTM, a comparison with four deep learning algorithms, extreme learning machine (ELM), kernel extreme learning machine (KELM), long short-term memory (LSTM), and support vector regression (SVR), are conducted. Root mean squared error (RMSE) and mean absolute error (MAE) are employed for analysis to demonstrate the accuracy of the prediction. This paper found that the proposed LASSO-BiLSTM-based ensemble learning method provides the best predictive result overall.</w:t>
      </w:r>
    </w:p>
    <w:p>
      <w:pPr>
        <w:pStyle w:val="9"/>
        <w:spacing w:beforeAutospacing="0" w:afterAutospacing="0" w:line="360" w:lineRule="auto"/>
        <w:rPr>
          <w:rFonts w:ascii="Times New Roman" w:hAnsi="Times New Roman" w:eastAsia="宋体" w:cs="Times New Roman"/>
          <w:b/>
          <w:bCs/>
          <w:color w:val="000000"/>
          <w:kern w:val="0"/>
          <w:sz w:val="31"/>
          <w:szCs w:val="31"/>
          <w:lang w:bidi="ar"/>
        </w:rPr>
      </w:pPr>
      <w:r>
        <w:rPr>
          <w:rFonts w:hint="eastAsia" w:ascii="Times New Roman" w:hAnsi="Times New Roman" w:eastAsia="宋体"/>
          <w:b/>
          <w:bCs/>
          <w:color w:val="000000"/>
          <w:kern w:val="0"/>
          <w:sz w:val="28"/>
          <w:szCs w:val="28"/>
          <w:lang w:bidi="ar"/>
        </w:rPr>
        <w:t>K</w:t>
      </w:r>
      <w:r>
        <w:rPr>
          <w:rFonts w:ascii="Times New Roman" w:hAnsi="Times New Roman" w:eastAsia="宋体"/>
          <w:b/>
          <w:bCs/>
          <w:color w:val="000000"/>
          <w:kern w:val="0"/>
          <w:sz w:val="28"/>
          <w:szCs w:val="28"/>
          <w:lang w:bidi="ar"/>
        </w:rPr>
        <w:t>eywords</w:t>
      </w:r>
      <w:r>
        <w:rPr>
          <w:rFonts w:ascii="Times New Roman" w:hAnsi="Times New Roman" w:eastAsia="宋体"/>
          <w:b/>
          <w:bCs/>
          <w:color w:val="000000"/>
          <w:kern w:val="0"/>
          <w:sz w:val="31"/>
          <w:szCs w:val="31"/>
          <w:lang w:bidi="ar"/>
        </w:rPr>
        <w:t>:</w:t>
      </w:r>
      <w:r>
        <w:rPr>
          <w:rFonts w:hint="eastAsia" w:ascii="Times New Roman" w:hAnsi="Times New Roman" w:eastAsia="宋体"/>
          <w:b/>
          <w:bCs/>
          <w:color w:val="000000"/>
          <w:kern w:val="0"/>
          <w:sz w:val="31"/>
          <w:szCs w:val="31"/>
          <w:lang w:val="en-US" w:eastAsia="zh-CN" w:bidi="ar"/>
        </w:rPr>
        <w:t xml:space="preserve"> </w:t>
      </w:r>
      <w:r>
        <w:rPr>
          <w:rFonts w:ascii="Times New Roman" w:hAnsi="Times New Roman" w:eastAsia="宋体"/>
          <w:color w:val="0E101A"/>
          <w:sz w:val="24"/>
        </w:rPr>
        <w:t>exchange rate forecasting, BiLSTM, LASSO, macroeconomic factors, market-based variables</w:t>
      </w:r>
      <w:bookmarkStart w:id="13" w:name="_GoBack"/>
      <w:bookmarkEnd w:id="13"/>
    </w:p>
    <w:p>
      <w:pPr>
        <w:widowControl/>
        <w:numPr>
          <w:ilvl w:val="0"/>
          <w:numId w:val="1"/>
        </w:numPr>
        <w:jc w:val="left"/>
        <w:rPr>
          <w:rFonts w:ascii="Times New Roman" w:hAnsi="Times New Roman" w:eastAsia="宋体"/>
          <w:b/>
          <w:bCs/>
          <w:color w:val="0E101A"/>
          <w:sz w:val="28"/>
          <w:szCs w:val="28"/>
        </w:rPr>
      </w:pPr>
      <w:bookmarkStart w:id="0" w:name="_Toc114151809"/>
      <w:r>
        <w:rPr>
          <w:rFonts w:ascii="Times New Roman" w:hAnsi="Times New Roman" w:eastAsia="宋体"/>
          <w:b/>
          <w:bCs/>
          <w:color w:val="0E101A"/>
          <w:sz w:val="28"/>
          <w:szCs w:val="28"/>
        </w:rPr>
        <w:t>Introduction</w:t>
      </w:r>
      <w:bookmarkEnd w:id="0"/>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Foreign exchange rates are always characterized by high volatility and uncertainty since it is influenced by numerous unstable factors, such as economic factors and geopolitical events. However, forecasting the foreign exchange rates is essential for the government as it relates to the country’s financial security and may be used to improve the accuracy and foresight of policy making. Moreover, for enterprises and individuals, accurate foreign exchange rates may help them to hedge risks and gain considerable investment income. Thus, various models are adopted to precisely capture the complexity and nonlinearity of the foreign exchange rates. This research aims to predict the exchange rate of USD/CNY by employing new combinations of variables and using different neural network models, improving the original methodology.</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These methods can be divided into three categories: 1) econometric and statistic methods, including ARIMA, GARCH, VAR, etc. Econometric and statistical methods always have the stationarity assumption and perform better with stationary data. However, the predictions would be far less than ideal with the nonstationary data. 2) artificial intelligence model, including ANN, SVR, NN, etc. Artificial intelligence models overcome the shortages of econometric and statistic methods, but also have parameters optimal and overfitting problems. 3) Hybrid approach, which can combine parametric and nonparametric techniques. Ince &amp; Trafalis divided the prediction process into two stages, using ARIMA to determine the correct input in the first stage, and combining ANN and SVR to forecast the exchange rate in the second stage (Ince &amp; Trafailis, 2006). Henríquez &amp; Kristjanpoller (2019) firstly used ICA to extract the noise of time series and then used NN in forecasting. Other hybrid models such as ANN-GJR (Baffour et al., 2019), and GRU-LSTM (Islam &amp; Hossain, 2020) were used in recent years. Whereas existing literature mainly adopted a data-driven framework. The long-term result may not be captured accurately without comprehensively considering the influence of correlated variables.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takes the financial market into account, studying correlations across energy, gold, the stock market, and the exchange rate (Sujit &amp; Kumar, 2011)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However, existing literature uses only macroeconomics variables or market-level variables to predict the exchange rate, and a few uses both. Moreover, among these variables, some may have the highest relevance to the exchange rate (Wei et al., 2018). Thus, selecting out the most necessary variables and excluding variables with weak relevance may reduce noise, providing a more accurate result.</w:t>
      </w:r>
    </w:p>
    <w:p>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B</w:t>
      </w:r>
      <w:r>
        <w:rPr>
          <w:rFonts w:ascii="Times New Roman" w:hAnsi="Times New Roman" w:eastAsia="宋体" w:cs="Times New Roman"/>
          <w:sz w:val="24"/>
        </w:rPr>
        <w:t>ased on the literature, w</w:t>
      </w:r>
      <w:r>
        <w:rPr>
          <w:rFonts w:hint="eastAsia" w:ascii="Times New Roman" w:hAnsi="Times New Roman" w:eastAsia="宋体" w:cs="Times New Roman"/>
          <w:sz w:val="24"/>
        </w:rPr>
        <w:t>e</w:t>
      </w:r>
      <w:r>
        <w:rPr>
          <w:rFonts w:ascii="Times New Roman" w:hAnsi="Times New Roman" w:eastAsia="宋体" w:cs="Times New Roman"/>
          <w:sz w:val="24"/>
        </w:rPr>
        <w:t xml:space="preserve"> proposed a novel LASSO-BiLSTM-based ensemble learning approach for exchange rate forecasting. First, the LASSO is used to </w:t>
      </w:r>
      <w:r>
        <w:rPr>
          <w:rFonts w:hint="eastAsia" w:ascii="Times New Roman" w:hAnsi="Times New Roman" w:eastAsia="宋体" w:cs="Times New Roman"/>
          <w:sz w:val="24"/>
        </w:rPr>
        <w:t>select</w:t>
      </w:r>
      <w:r>
        <w:rPr>
          <w:rFonts w:ascii="Times New Roman" w:hAnsi="Times New Roman" w:eastAsia="宋体" w:cs="Times New Roman"/>
          <w:sz w:val="24"/>
        </w:rPr>
        <w:t xml:space="preserve"> the macroeconomic variables </w:t>
      </w:r>
      <w:r>
        <w:rPr>
          <w:rFonts w:hint="eastAsia" w:ascii="Times New Roman" w:hAnsi="Times New Roman" w:eastAsia="宋体" w:cs="Times New Roman"/>
          <w:sz w:val="24"/>
        </w:rPr>
        <w:t>and</w:t>
      </w:r>
      <w:r>
        <w:rPr>
          <w:rFonts w:ascii="Times New Roman" w:hAnsi="Times New Roman" w:eastAsia="宋体" w:cs="Times New Roman"/>
          <w:sz w:val="24"/>
        </w:rPr>
        <w:t xml:space="preserve"> market-based variables; second, the BiLSTM is utilized to forecast the exchange rate with the chosen variables.</w:t>
      </w:r>
    </w:p>
    <w:p>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The major contributions in this paper are as follows. 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L</w:t>
      </w:r>
      <w:r>
        <w:rPr>
          <w:rFonts w:hint="eastAsia" w:ascii="Times New Roman" w:hAnsi="Times New Roman" w:eastAsia="宋体" w:cs="Times New Roman"/>
          <w:sz w:val="24"/>
        </w:rPr>
        <w:t>ASSO</w:t>
      </w:r>
      <w:r>
        <w:rPr>
          <w:rFonts w:ascii="Times New Roman" w:hAnsi="Times New Roman" w:eastAsia="宋体" w:cs="Times New Roman"/>
          <w:sz w:val="24"/>
        </w:rPr>
        <w:t xml:space="preserve"> selects out six variables with the highest relevance before the models are utilized since excessive variables may lead to overfitting. Third, to the best of our knowledge, BiLSTM is used to predict the exchange rate for the first time. A</w:t>
      </w:r>
      <w:r>
        <w:rPr>
          <w:rFonts w:hint="eastAsia" w:ascii="Times New Roman" w:hAnsi="Times New Roman" w:eastAsia="宋体" w:cs="Times New Roman"/>
          <w:sz w:val="24"/>
        </w:rPr>
        <w:t>nd</w:t>
      </w:r>
      <w:r>
        <w:rPr>
          <w:rFonts w:ascii="Times New Roman" w:hAnsi="Times New Roman" w:eastAsia="宋体" w:cs="Times New Roman"/>
          <w:sz w:val="24"/>
        </w:rPr>
        <w:t xml:space="preserve"> the empirical study shows that the proposed LASSO-BiLSTM approach can outperform the benchmarks.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The rest of this study is organized as follows. Section 2 introduces the related models, including LASSO, SVR, ELM, LSTM, BiLSTM, and KELM. Section 3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4.</w:t>
      </w:r>
    </w:p>
    <w:p>
      <w:pPr>
        <w:keepNext/>
        <w:spacing w:line="360" w:lineRule="auto"/>
        <w:ind w:firstLine="420"/>
        <w:rPr>
          <w:rFonts w:ascii="Times New Roman" w:hAnsi="Times New Roman" w:cs="Times New Roman"/>
        </w:rPr>
      </w:pPr>
      <w:r>
        <w:rPr>
          <w:rStyle w:val="14"/>
        </w:rPr>
        <w:drawing>
          <wp:inline distT="0" distB="0" distL="114300" distR="114300">
            <wp:extent cx="5264785" cy="2871470"/>
            <wp:effectExtent l="0" t="0" r="12065" b="5080"/>
            <wp:docPr id="7" name="图片 7" descr="52191163550112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1911635501129947"/>
                    <pic:cNvPicPr>
                      <a:picLocks noChangeAspect="1"/>
                    </pic:cNvPicPr>
                  </pic:nvPicPr>
                  <pic:blipFill>
                    <a:blip r:embed="rId6"/>
                    <a:stretch>
                      <a:fillRect/>
                    </a:stretch>
                  </pic:blipFill>
                  <pic:spPr>
                    <a:xfrm>
                      <a:off x="0" y="0"/>
                      <a:ext cx="5264785" cy="2871470"/>
                    </a:xfrm>
                    <a:prstGeom prst="rect">
                      <a:avLst/>
                    </a:prstGeom>
                  </pic:spPr>
                </pic:pic>
              </a:graphicData>
            </a:graphic>
          </wp:inline>
        </w:drawing>
      </w:r>
    </w:p>
    <w:p>
      <w:pPr>
        <w:pStyle w:val="2"/>
        <w:jc w:val="center"/>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A LASSO-BiLSTM-based ensemble learning approach</w:t>
      </w:r>
    </w:p>
    <w:p>
      <w:pPr>
        <w:pStyle w:val="9"/>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1" w:name="_Toc114151810"/>
      <w:r>
        <w:rPr>
          <w:rFonts w:ascii="Times New Roman" w:hAnsi="Times New Roman" w:eastAsia="宋体"/>
          <w:b/>
          <w:bCs/>
          <w:color w:val="0E101A"/>
          <w:sz w:val="28"/>
          <w:szCs w:val="28"/>
        </w:rPr>
        <w:t>Methodology</w:t>
      </w:r>
      <w:bookmarkEnd w:id="1"/>
    </w:p>
    <w:p>
      <w:pPr>
        <w:spacing w:line="360" w:lineRule="auto"/>
        <w:ind w:firstLine="360"/>
        <w:rPr>
          <w:rFonts w:ascii="Times New Roman" w:hAnsi="Times New Roman" w:cs="Times New Roman"/>
          <w:sz w:val="24"/>
        </w:rPr>
      </w:pPr>
      <w:r>
        <w:rPr>
          <w:rFonts w:ascii="Times New Roman" w:hAnsi="Times New Roman" w:cs="Times New Roman"/>
          <w:sz w:val="24"/>
        </w:rPr>
        <w:t>In this research, we employed several novel approaches for dollar against CNY forecasting. The least absolute shrinkage and selection operator (LASSO) method is used to select several optimal variables out of 2</w:t>
      </w:r>
      <w:r>
        <w:rPr>
          <w:rFonts w:hint="eastAsia" w:ascii="Times New Roman" w:hAnsi="Times New Roman" w:cs="Times New Roman"/>
          <w:sz w:val="24"/>
        </w:rPr>
        <w:t>9</w:t>
      </w:r>
      <w:r>
        <w:rPr>
          <w:rFonts w:ascii="Times New Roman" w:hAnsi="Times New Roman" w:cs="Times New Roman"/>
          <w:sz w:val="24"/>
        </w:rPr>
        <w:t>. Bidirectional long short-term memory (BiLSTM) model, extreme learning machine (ELM), kernel extreme learning machine (KELM), long short-term memory (LSTM), and support vector regression (SVR) models will be used in forecasting dollar against CNY, and its accuracy will be compared amongst these models.</w:t>
      </w:r>
    </w:p>
    <w:p>
      <w:pPr>
        <w:pStyle w:val="16"/>
        <w:spacing w:before="156" w:beforeLines="50" w:line="360" w:lineRule="auto"/>
        <w:ind w:left="0" w:leftChars="0"/>
        <w:outlineLvl w:val="1"/>
        <w:rPr>
          <w:rFonts w:ascii="Times New Roman" w:hAnsi="Times New Roman" w:cs="Times New Roman"/>
          <w:b/>
          <w:bCs/>
          <w:i/>
          <w:iCs/>
          <w:sz w:val="24"/>
        </w:rPr>
      </w:pPr>
      <w:bookmarkStart w:id="2" w:name="_Toc114151811"/>
      <w:r>
        <w:rPr>
          <w:rFonts w:ascii="Times New Roman" w:hAnsi="Times New Roman" w:cs="Times New Roman"/>
          <w:b/>
          <w:bCs/>
          <w:i/>
          <w:iCs/>
          <w:sz w:val="24"/>
        </w:rPr>
        <w:t>2.1 Least absolute shrinkage and selection operator</w:t>
      </w:r>
      <w:bookmarkEnd w:id="2"/>
    </w:p>
    <w:p>
      <w:pPr>
        <w:spacing w:line="360" w:lineRule="auto"/>
        <w:ind w:firstLine="360"/>
        <w:rPr>
          <w:rFonts w:ascii="Times New Roman" w:hAnsi="Times New Roman" w:cs="Times New Roman"/>
          <w:sz w:val="24"/>
        </w:rPr>
      </w:pPr>
      <w:r>
        <w:rPr>
          <w:rFonts w:ascii="Times New Roman" w:hAnsi="Times New Roman" w:cs="Times New Roman"/>
          <w:sz w:val="24"/>
        </w:rPr>
        <w:t>The LASSO is a powerful method for variable selection and constructing regression. Tibshirani (1996) invented this method, which is used to enhance the testing accuracy of the model used afterwa</w:t>
      </w:r>
      <w:r>
        <w:rPr>
          <w:rFonts w:hint="eastAsia" w:ascii="Times New Roman" w:hAnsi="Times New Roman" w:cs="Times New Roman"/>
          <w:sz w:val="24"/>
        </w:rPr>
        <w:t>rd</w:t>
      </w:r>
      <w:r>
        <w:rPr>
          <w:rFonts w:ascii="Times New Roman" w:hAnsi="Times New Roman" w:cs="Times New Roman"/>
          <w:sz w:val="24"/>
        </w:rPr>
        <w:t xml:space="preserve">. The basic idea of LASSO is that it adds a penalty to the model’s residual sum of squares (RSS) (Tibshirani, 1996). It will accelerate the penalty if the RSS exceeds the penalty term; therefore, a regularization process will be applied to shrink some of its coefficients to zero so the penalty will not be too high (Tibshirani, 1997). Thus, only several features are left, and feature selection is achieved. </w:t>
      </w:r>
    </w:p>
    <w:p>
      <w:pPr>
        <w:spacing w:line="360" w:lineRule="auto"/>
        <w:ind w:firstLine="360"/>
        <w:rPr>
          <w:rFonts w:ascii="Times New Roman" w:hAnsi="Times New Roman" w:cs="Times New Roman"/>
          <w:sz w:val="24"/>
        </w:rPr>
      </w:pPr>
      <w:r>
        <w:rPr>
          <w:rFonts w:ascii="Times New Roman" w:hAnsi="Times New Roman" w:cs="Times New Roman"/>
          <w:sz w:val="24"/>
        </w:rPr>
        <w:t>The LASSO method can bring us several advantages. First, the LASSO method can increase the interpretability of the regression model due to the shrinkage of several redundant or least correlated variables. Researchers can then interpret which explanatory variable has the more significant effect on the response variable, eliminating irrelevant variables that are not correlated. Second, this process reduces overfitting. Overfitting usually occurs when the training model has too many explanatory variables. Although the model will work well in training, it does not work well in testing data. The LASSO feature selection method reduces overfitting, where a more accurate prediction of testing data will be achieved. Last, a trade-off between bias and variance will be found. This is because when the penalty term increases, bias increases and variance decreases, thus making the model less complex and reaching a balance between bias and variance.</w:t>
      </w:r>
    </w:p>
    <w:p>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In a linear model, we assume the formula will be</w:t>
      </w:r>
    </w:p>
    <w:p>
      <w:pPr>
        <w:spacing w:line="360" w:lineRule="auto"/>
        <w:rPr>
          <w:rFonts w:ascii="Times New Roman" w:hAnsi="Times New Roman" w:cs="Times New Roman"/>
          <w:i/>
          <w:sz w:val="24"/>
          <w:lang w:val="el-GR"/>
        </w:rPr>
      </w:pPr>
      <m:oMathPara>
        <m:oMath>
          <m:r>
            <m:rPr/>
            <w:rPr>
              <w:rFonts w:ascii="Cambria Math" w:hAnsi="Cambria Math" w:cs="Times New Roman"/>
              <w:sz w:val="24"/>
            </w:rPr>
            <m:t>Y=X</m:t>
          </m:r>
          <m:r>
            <m:rPr/>
            <w:rPr>
              <w:rFonts w:ascii="Cambria Math" w:hAnsi="Cambria Math" w:cs="Times New Roman"/>
              <w:sz w:val="24"/>
              <w:lang w:val="el-GR"/>
            </w:rPr>
            <m:t>β+ε</m:t>
          </m:r>
        </m:oMath>
      </m:oMathPara>
    </w:p>
    <w:p>
      <w:pPr>
        <w:spacing w:line="360" w:lineRule="auto"/>
        <w:rPr>
          <w:rFonts w:ascii="Times New Roman" w:hAnsi="Times New Roman" w:cs="Times New Roman"/>
          <w:iCs/>
          <w:sz w:val="24"/>
        </w:rPr>
      </w:pPr>
      <w:r>
        <w:rPr>
          <w:rFonts w:ascii="Times New Roman" w:hAnsi="Times New Roman" w:cs="Times New Roman"/>
          <w:iCs/>
          <w:sz w:val="24"/>
        </w:rPr>
        <w:t>with response variable Y and explanatory variable X. X can also be defined as an X</w:t>
      </w:r>
      <w:r>
        <w:rPr>
          <w:rFonts w:ascii="Times New Roman" w:hAnsi="Times New Roman" w:cs="Times New Roman"/>
          <w:iCs/>
          <w:sz w:val="24"/>
          <w:vertAlign w:val="subscript"/>
        </w:rPr>
        <w:t xml:space="preserve">n*k </w:t>
      </w:r>
      <w:r>
        <w:rPr>
          <w:rFonts w:ascii="Times New Roman" w:hAnsi="Times New Roman" w:cs="Times New Roman"/>
          <w:iCs/>
          <w:sz w:val="24"/>
        </w:rPr>
        <w:t>matrix and Y can be defined as a Y</w:t>
      </w:r>
      <w:r>
        <w:rPr>
          <w:rFonts w:ascii="Times New Roman" w:hAnsi="Times New Roman" w:cs="Times New Roman"/>
          <w:iCs/>
          <w:sz w:val="24"/>
          <w:vertAlign w:val="subscript"/>
        </w:rPr>
        <w:t>n*1</w:t>
      </w:r>
      <w:r>
        <w:rPr>
          <w:rFonts w:ascii="Times New Roman" w:hAnsi="Times New Roman" w:cs="Times New Roman"/>
          <w:iCs/>
          <w:sz w:val="24"/>
        </w:rPr>
        <w:t xml:space="preserve"> matrix in vector form.</w:t>
      </w:r>
    </w:p>
    <w:p>
      <w:pPr>
        <w:spacing w:line="360" w:lineRule="auto"/>
        <w:rPr>
          <w:rFonts w:ascii="Times New Roman" w:hAnsi="Times New Roman" w:cs="Times New Roman"/>
          <w:iCs/>
          <w:sz w:val="24"/>
        </w:rPr>
      </w:pPr>
      <w:r>
        <w:rPr>
          <w:rFonts w:ascii="Times New Roman" w:hAnsi="Times New Roman" w:cs="Times New Roman"/>
          <w:iCs/>
          <w:sz w:val="24"/>
        </w:rPr>
        <w:tab/>
      </w:r>
      <w:r>
        <w:rPr>
          <w:rFonts w:ascii="Times New Roman" w:hAnsi="Times New Roman" w:cs="Times New Roman"/>
          <w:iCs/>
          <w:sz w:val="24"/>
        </w:rPr>
        <w:t>The LASSO minimizes the RSS with an upper bound to the sum of the absolute values of the model parameters. The upper bound is denoted as t.</w:t>
      </w:r>
    </w:p>
    <w:p>
      <w:pPr>
        <w:spacing w:line="360" w:lineRule="auto"/>
        <w:ind w:firstLine="360"/>
        <w:rPr>
          <w:rFonts w:ascii="Times New Roman" w:hAnsi="Times New Roman" w:cs="Times New Roman"/>
          <w:sz w:val="24"/>
        </w:rPr>
      </w:pPr>
      <m:oMathPara>
        <m:oMath>
          <m:r>
            <m:rPr/>
            <w:rPr>
              <w:rFonts w:ascii="Cambria Math" w:hAnsi="Cambria Math" w:cs="Times New Roman"/>
              <w:sz w:val="24"/>
            </w:rPr>
            <m:t>minimize</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ctrlPr>
                <w:rPr>
                  <w:rFonts w:ascii="Cambria Math" w:hAnsi="Cambria Math" w:cs="Times New Roman"/>
                  <w:i/>
                  <w:sz w:val="24"/>
                </w:rPr>
              </m:ctrlPr>
            </m:e>
          </m:nary>
        </m:oMath>
      </m:oMathPara>
    </w:p>
    <w:p>
      <w:pPr>
        <w:spacing w:line="360" w:lineRule="auto"/>
        <w:ind w:firstLine="360"/>
        <w:rPr>
          <w:rFonts w:ascii="Times New Roman" w:hAnsi="Times New Roman" w:cs="Times New Roman"/>
          <w:sz w:val="24"/>
        </w:rPr>
      </w:pPr>
      <w:r>
        <w:rPr>
          <w:rFonts w:ascii="Times New Roman" w:hAnsi="Times New Roman" w:cs="Times New Roman"/>
          <w:sz w:val="24"/>
        </w:rPr>
        <w:t>Which also means in vector form, the optimization will be</w:t>
      </w:r>
    </w:p>
    <w:p>
      <w:pPr>
        <w:spacing w:line="360" w:lineRule="auto"/>
        <w:ind w:firstLine="360"/>
        <w:rPr>
          <w:rFonts w:ascii="Times New Roman" w:hAnsi="Times New Roman" w:cs="Times New Roman"/>
          <w:sz w:val="24"/>
        </w:rPr>
      </w:pPr>
      <m:oMathPara>
        <m:oMath>
          <m:r>
            <m:rPr/>
            <w:rPr>
              <w:rFonts w:ascii="Cambria Math" w:hAnsi="Cambria Math" w:cs="Times New Roman"/>
              <w:sz w:val="24"/>
            </w:rPr>
            <m:t xml:space="preserve">minimize </m:t>
          </m:r>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ctrlPr>
                <w:rPr>
                  <w:rFonts w:ascii="Cambria Math" w:hAnsi="Cambria Math" w:cs="Times New Roman"/>
                  <w:i/>
                  <w:sz w:val="24"/>
                </w:rPr>
              </m:ctrlPr>
            </m:e>
          </m:d>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A penalty term </w:t>
      </w:r>
      <w:r>
        <w:rPr>
          <w:rFonts w:ascii="Times New Roman" w:hAnsi="Times New Roman" w:cs="Times New Roman"/>
          <w:sz w:val="24"/>
          <w:lang w:val="el-GR"/>
        </w:rPr>
        <w:t>λ</w:t>
      </w:r>
      <w:r>
        <w:rPr>
          <w:rFonts w:ascii="Times New Roman" w:hAnsi="Times New Roman" w:cs="Times New Roman"/>
          <w:sz w:val="24"/>
        </w:rPr>
        <w:t xml:space="preserve"> is added before the sum of model parameter’s absolute value. The larger the penalty term, the more shrinkage the model will be. Therefore, the parameter estimation will be</w:t>
      </w:r>
    </w:p>
    <w:p>
      <w:pPr>
        <w:spacing w:line="360" w:lineRule="auto"/>
        <w:rPr>
          <w:rFonts w:ascii="Times New Roman" w:hAnsi="Times New Roman" w:cs="Times New Roman"/>
          <w:i/>
          <w:sz w:val="24"/>
        </w:rPr>
      </w:pPr>
      <m:oMathPara>
        <m:oMath>
          <m:acc>
            <m:accPr>
              <m:ctrlPr>
                <w:rPr>
                  <w:rFonts w:ascii="Cambria Math" w:hAnsi="Cambria Math" w:cs="Times New Roman"/>
                  <w:i/>
                  <w:sz w:val="24"/>
                </w:rPr>
              </m:ctrlPr>
            </m:accPr>
            <m:e>
              <m:r>
                <m:rPr/>
                <w:rPr>
                  <w:rFonts w:ascii="Cambria Math" w:hAnsi="Cambria Math" w:cs="Times New Roman"/>
                  <w:sz w:val="24"/>
                </w:rPr>
                <m:t>β</m:t>
              </m:r>
              <m:ctrlPr>
                <w:rPr>
                  <w:rFonts w:ascii="Cambria Math" w:hAnsi="Cambria Math" w:cs="Times New Roman"/>
                  <w:i/>
                  <w:sz w:val="24"/>
                </w:rPr>
              </m:ctrlPr>
            </m:e>
          </m:acc>
          <m:d>
            <m:dPr>
              <m:ctrlPr>
                <w:rPr>
                  <w:rFonts w:ascii="Cambria Math" w:hAnsi="Cambria Math" w:cs="Times New Roman"/>
                  <w:i/>
                  <w:sz w:val="24"/>
                </w:rPr>
              </m:ctrlPr>
            </m:dPr>
            <m:e>
              <m:r>
                <m:rPr/>
                <w:rPr>
                  <w:rFonts w:ascii="Cambria Math" w:hAnsi="Cambria Math" w:cs="Times New Roman"/>
                  <w:sz w:val="24"/>
                </w:rPr>
                <m:t>λ</m:t>
              </m:r>
              <m:ctrlPr>
                <w:rPr>
                  <w:rFonts w:ascii="Cambria Math" w:hAnsi="Cambria Math" w:cs="Times New Roman"/>
                  <w:i/>
                  <w:sz w:val="24"/>
                </w:rPr>
              </m:ctrlPr>
            </m:e>
          </m:d>
          <m:r>
            <m:rPr/>
            <w:rPr>
              <w:rFonts w:ascii="Cambria Math" w:hAnsi="Cambria Math" w:cs="Times New Roman"/>
              <w:sz w:val="24"/>
            </w:rPr>
            <m:t>=</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 xml:space="preserve">argmin  </m:t>
                  </m:r>
                  <m:ctrlPr>
                    <w:rPr>
                      <w:rFonts w:ascii="Cambria Math" w:hAnsi="Cambria Math" w:cs="Times New Roman"/>
                      <w:i/>
                      <w:sz w:val="24"/>
                    </w:rPr>
                  </m:ctrlPr>
                </m:e>
                <m:lim>
                  <m:r>
                    <m:rPr/>
                    <w:rPr>
                      <w:rFonts w:ascii="Cambria Math" w:hAnsi="Cambria Math" w:cs="Times New Roman"/>
                      <w:sz w:val="24"/>
                      <w:lang w:val="el-GR"/>
                    </w:rPr>
                    <m:t>β</m:t>
                  </m:r>
                  <m:ctrlPr>
                    <w:rPr>
                      <w:rFonts w:ascii="Cambria Math" w:hAnsi="Cambria Math" w:cs="Times New Roman"/>
                      <w:i/>
                      <w:sz w:val="24"/>
                    </w:rPr>
                  </m:ctrlPr>
                </m:lim>
              </m:limLow>
              <m:ctrlPr>
                <w:rPr>
                  <w:rFonts w:ascii="Cambria Math" w:hAnsi="Cambria Math" w:cs="Times New Roman"/>
                  <w:i/>
                  <w:sz w:val="24"/>
                </w:rPr>
              </m:ctrlPr>
            </m:fName>
            <m:e>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r>
                    <m:rPr/>
                    <w:rPr>
                      <w:rFonts w:ascii="Cambria Math" w:hAnsi="Cambria Math" w:cs="Times New Roman"/>
                      <w:sz w:val="24"/>
                    </w:rPr>
                    <m:t>+</m:t>
                  </m:r>
                  <m:r>
                    <m:rPr/>
                    <w:rPr>
                      <w:rFonts w:ascii="Cambria Math" w:hAnsi="Cambria Math" w:cs="Times New Roman"/>
                      <w:sz w:val="24"/>
                      <w:lang w:val="el-GR"/>
                    </w:rPr>
                    <m:t>λ</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func>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For some values of j, </w:t>
      </w:r>
      <w:r>
        <w:rPr>
          <w:rFonts w:ascii="Times New Roman" w:hAnsi="Times New Roman" w:cs="Times New Roman"/>
          <w:sz w:val="24"/>
          <w:lang w:val="el-GR"/>
        </w:rPr>
        <w:t>β</w:t>
      </w:r>
      <w:r>
        <w:rPr>
          <w:rFonts w:ascii="Times New Roman" w:hAnsi="Times New Roman" w:cs="Times New Roman"/>
          <w:sz w:val="24"/>
          <w:vertAlign w:val="subscript"/>
        </w:rPr>
        <w:t>j</w:t>
      </w:r>
      <w:r>
        <w:rPr>
          <w:rFonts w:ascii="Times New Roman" w:hAnsi="Times New Roman" w:cs="Times New Roman"/>
          <w:sz w:val="24"/>
        </w:rPr>
        <w:t>(</w:t>
      </w:r>
      <w:r>
        <w:rPr>
          <w:rFonts w:ascii="Times New Roman" w:hAnsi="Times New Roman" w:cs="Times New Roman"/>
          <w:sz w:val="24"/>
          <w:lang w:val="el-GR"/>
        </w:rPr>
        <w:t>λ</w:t>
      </w:r>
      <w:r>
        <w:rPr>
          <w:rFonts w:ascii="Times New Roman" w:hAnsi="Times New Roman" w:cs="Times New Roman"/>
          <w:sz w:val="24"/>
        </w:rPr>
        <w:t>) = 0. In this circumstance, these features with coefficient = 0 will be excluded from the model. Note that the penalty value is changed by researchers. Therefore, the LASSO method of feature selection is a useful method for feature selection in machine learning.</w:t>
      </w:r>
    </w:p>
    <w:p>
      <w:pPr>
        <w:pStyle w:val="16"/>
        <w:spacing w:before="156" w:beforeLines="50" w:line="360" w:lineRule="auto"/>
        <w:ind w:left="0" w:leftChars="0"/>
        <w:outlineLvl w:val="1"/>
        <w:rPr>
          <w:rFonts w:ascii="Times New Roman" w:hAnsi="Times New Roman" w:cs="Times New Roman"/>
          <w:b/>
          <w:bCs/>
          <w:i/>
          <w:iCs/>
          <w:sz w:val="24"/>
        </w:rPr>
      </w:pPr>
      <w:bookmarkStart w:id="3" w:name="_Toc114151812"/>
      <w:r>
        <w:rPr>
          <w:rFonts w:ascii="Times New Roman" w:hAnsi="Times New Roman" w:cs="Times New Roman"/>
          <w:b/>
          <w:bCs/>
          <w:i/>
          <w:iCs/>
          <w:sz w:val="24"/>
        </w:rPr>
        <w:t>2.2 Long short-term memory and bidirectional long short-term memory</w:t>
      </w:r>
      <w:bookmarkEnd w:id="3"/>
    </w:p>
    <w:p>
      <w:pPr>
        <w:spacing w:line="360" w:lineRule="auto"/>
        <w:ind w:firstLine="360"/>
        <w:rPr>
          <w:rFonts w:ascii="Times New Roman" w:hAnsi="Times New Roman" w:cs="Times New Roman"/>
          <w:sz w:val="24"/>
        </w:rPr>
      </w:pPr>
      <w:r>
        <w:rPr>
          <w:rFonts w:ascii="Times New Roman" w:hAnsi="Times New Roman" w:cs="Times New Roman"/>
          <w:sz w:val="24"/>
        </w:rPr>
        <w:t>The long short-term memory (LSTM) and bidirectional long short-term memory (BiLSTM) are modeling techniques that can predict a variable based on existing variables. BiLSTM is a bidirectional LSTM approach that can detect both positive and negative cues. Both methods are instrumental, where many explanatory variables need to be explained.</w:t>
      </w:r>
    </w:p>
    <w:p>
      <w:pPr>
        <w:spacing w:line="360" w:lineRule="auto"/>
        <w:ind w:firstLine="360"/>
        <w:rPr>
          <w:rFonts w:ascii="Times New Roman" w:hAnsi="Times New Roman" w:cs="Times New Roman"/>
          <w:sz w:val="24"/>
        </w:rPr>
      </w:pPr>
      <w:r>
        <w:rPr>
          <w:rFonts w:ascii="Times New Roman" w:hAnsi="Times New Roman" w:cs="Times New Roman"/>
          <w:sz w:val="24"/>
        </w:rPr>
        <w:t>Hochreiter and Schmidhuber (1997) invented the LSTM approach. The key idea behind the LSTM approach is to regulate the cell states by using three gates, the input, forget, and output gates. The forget gate determines whether the information should be kept or forgotten. The input gate determines how much information appears in the input values. The output gate controls information output from the cell state to the hidden state (</w:t>
      </w:r>
      <w:r>
        <w:rPr>
          <w:rFonts w:ascii="Times New Roman" w:hAnsi="Times New Roman" w:cs="Times New Roman"/>
          <w:color w:val="222222"/>
          <w:sz w:val="24"/>
          <w:shd w:val="clear" w:color="auto" w:fill="FFFFFF"/>
        </w:rPr>
        <w:t>Hochreiter &amp; Schmidhuber, 1997</w:t>
      </w:r>
      <w:r>
        <w:rPr>
          <w:rFonts w:ascii="Times New Roman" w:hAnsi="Times New Roman" w:cs="Times New Roman"/>
          <w:sz w:val="24"/>
        </w:rPr>
        <w:t>). Figure 2 demonstrates the architecture of LSTM.</w:t>
      </w:r>
    </w:p>
    <w:p>
      <w:pPr>
        <w:spacing w:line="360" w:lineRule="auto"/>
        <w:ind w:firstLine="360"/>
        <w:rPr>
          <w:rFonts w:ascii="Times New Roman" w:hAnsi="Times New Roman" w:cs="Times New Roman"/>
          <w:sz w:val="24"/>
        </w:rPr>
      </w:pPr>
    </w:p>
    <w:p>
      <w:pPr>
        <w:keepNext/>
        <w:spacing w:line="360" w:lineRule="auto"/>
        <w:jc w:val="center"/>
        <w:rPr>
          <w:rFonts w:ascii="Times New Roman" w:hAnsi="Times New Roman" w:cs="Times New Roman"/>
        </w:rPr>
      </w:pPr>
      <w:r>
        <w:rPr>
          <w:rFonts w:hint="eastAsia" w:ascii="Times New Roman" w:hAnsi="Times New Roman" w:cs="Times New Roman"/>
        </w:rPr>
        <w:drawing>
          <wp:inline distT="0" distB="0" distL="114300" distR="114300">
            <wp:extent cx="5253355" cy="1973580"/>
            <wp:effectExtent l="0" t="0" r="4445" b="7620"/>
            <wp:docPr id="2" name="图片 2" descr="3237000263435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3700026343571066"/>
                    <pic:cNvPicPr>
                      <a:picLocks noChangeAspect="1"/>
                    </pic:cNvPicPr>
                  </pic:nvPicPr>
                  <pic:blipFill>
                    <a:blip r:embed="rId7"/>
                    <a:stretch>
                      <a:fillRect/>
                    </a:stretch>
                  </pic:blipFill>
                  <pic:spPr>
                    <a:xfrm>
                      <a:off x="0" y="0"/>
                      <a:ext cx="5253355" cy="1973580"/>
                    </a:xfrm>
                    <a:prstGeom prst="rect">
                      <a:avLst/>
                    </a:prstGeom>
                  </pic:spPr>
                </pic:pic>
              </a:graphicData>
            </a:graphic>
          </wp:inline>
        </w:drawing>
      </w: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Graphical representation of LSTM</w:t>
      </w:r>
    </w:p>
    <w:p/>
    <w:p>
      <w:pPr>
        <w:spacing w:line="360" w:lineRule="auto"/>
        <w:ind w:firstLine="360"/>
        <w:rPr>
          <w:rFonts w:ascii="Times New Roman" w:hAnsi="Times New Roman" w:cs="Times New Roman"/>
          <w:sz w:val="24"/>
        </w:rPr>
      </w:pPr>
      <w:r>
        <w:rPr>
          <w:rFonts w:ascii="Times New Roman" w:hAnsi="Times New Roman" w:cs="Times New Roman"/>
          <w:sz w:val="24"/>
        </w:rPr>
        <w:t xml:space="preserve">LSTM replaces the nodes of the recurring neural network (RNN) model with special cells, which solves RNN’s vanishing gradient problem (Aslan et al., 2021). The LSTM calculated the hidden state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sz w:val="24"/>
        </w:rPr>
        <w:t>, for gates, transformation, and state update, at time</w:t>
      </w:r>
      <w:r>
        <w:rPr>
          <w:rFonts w:ascii="Times New Roman" w:hAnsi="Times New Roman" w:cs="Times New Roman"/>
          <w:i/>
          <w:iCs/>
          <w:sz w:val="24"/>
        </w:rPr>
        <w:t xml:space="preserve"> t </w:t>
      </w:r>
      <w:r>
        <w:rPr>
          <w:rFonts w:ascii="Times New Roman" w:hAnsi="Times New Roman" w:cs="Times New Roman"/>
          <w:sz w:val="24"/>
        </w:rPr>
        <w:t>(</w:t>
      </w:r>
      <w:r>
        <w:rPr>
          <w:rFonts w:ascii="Times New Roman" w:hAnsi="Times New Roman" w:cs="Times New Roman"/>
          <w:color w:val="222222"/>
          <w:sz w:val="24"/>
          <w:shd w:val="clear" w:color="auto" w:fill="FFFFFF"/>
        </w:rPr>
        <w:t>Sherstinsky, 2020</w:t>
      </w:r>
      <w:r>
        <w:rPr>
          <w:rFonts w:ascii="Times New Roman" w:hAnsi="Times New Roman" w:cs="Times New Roman"/>
          <w:sz w:val="24"/>
        </w:rPr>
        <w:t xml:space="preserve">). The initial data sequence inputted into the LSTM is represented as </w:t>
      </w:r>
      <w:r>
        <w:rPr>
          <w:rFonts w:ascii="Times New Roman" w:hAnsi="Times New Roman" w:cs="Times New Roman"/>
          <w:i/>
          <w:iCs/>
          <w:sz w:val="24"/>
        </w:rPr>
        <w:t>x</w:t>
      </w:r>
      <w:r>
        <w:rPr>
          <w:rFonts w:ascii="Times New Roman" w:hAnsi="Times New Roman" w:cs="Times New Roman"/>
          <w:i/>
          <w:iCs/>
          <w:sz w:val="24"/>
          <w:vertAlign w:val="subscript"/>
        </w:rPr>
        <w:t>1</w:t>
      </w:r>
      <w:r>
        <w:rPr>
          <w:rFonts w:ascii="Times New Roman" w:hAnsi="Times New Roman" w:cs="Times New Roman"/>
          <w:i/>
          <w:iCs/>
          <w:sz w:val="24"/>
        </w:rPr>
        <w:t>, x</w:t>
      </w:r>
      <w:r>
        <w:rPr>
          <w:rFonts w:ascii="Times New Roman" w:hAnsi="Times New Roman" w:cs="Times New Roman"/>
          <w:i/>
          <w:iCs/>
          <w:sz w:val="24"/>
          <w:vertAlign w:val="subscript"/>
        </w:rPr>
        <w:t>2</w:t>
      </w:r>
      <w:r>
        <w:rPr>
          <w:rFonts w:ascii="Times New Roman" w:hAnsi="Times New Roman" w:cs="Times New Roman"/>
          <w:i/>
          <w:iCs/>
          <w:sz w:val="24"/>
        </w:rPr>
        <w:t>, …, x</w:t>
      </w:r>
      <w:r>
        <w:rPr>
          <w:rFonts w:ascii="Times New Roman" w:hAnsi="Times New Roman" w:cs="Times New Roman"/>
          <w:i/>
          <w:iCs/>
          <w:sz w:val="24"/>
          <w:vertAlign w:val="subscript"/>
        </w:rPr>
        <w:t>n</w:t>
      </w:r>
      <w:r>
        <w:rPr>
          <w:rFonts w:ascii="Times New Roman" w:hAnsi="Times New Roman" w:cs="Times New Roman"/>
          <w:sz w:val="24"/>
        </w:rPr>
        <w:t xml:space="preserve">. The LSTM model can be described as follows: </w:t>
      </w:r>
    </w:p>
    <w:p>
      <w:pPr>
        <w:spacing w:line="360" w:lineRule="auto"/>
        <w:ind w:firstLine="360"/>
        <w:rPr>
          <w:rFonts w:ascii="Times New Roman" w:hAnsi="Times New Roman" w:cs="Times New Roman"/>
          <w:sz w:val="24"/>
        </w:rPr>
      </w:pPr>
      <w:r>
        <w:rPr>
          <w:rFonts w:ascii="Times New Roman" w:hAnsi="Times New Roman" w:cs="Times New Roman"/>
          <w:sz w:val="24"/>
        </w:rPr>
        <w:t>Gates:</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Transformation: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State update: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oMath>
      </m:oMathPara>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w:r>
        <w:rPr>
          <w:rFonts w:ascii="Times New Roman" w:hAnsi="Times New Roman" w:cs="Times New Roman"/>
          <w:i/>
          <w:iCs/>
          <w:sz w:val="24"/>
        </w:rPr>
        <w:t>f</w:t>
      </w:r>
      <w:r>
        <w:rPr>
          <w:rFonts w:ascii="Times New Roman" w:hAnsi="Times New Roman" w:cs="Times New Roman"/>
          <w:i/>
          <w:iCs/>
          <w:sz w:val="24"/>
          <w:vertAlign w:val="subscript"/>
        </w:rPr>
        <w:t>t</w:t>
      </w:r>
      <w:r>
        <w:rPr>
          <w:rFonts w:ascii="Times New Roman" w:hAnsi="Times New Roman" w:cs="Times New Roman"/>
          <w:i/>
          <w:iCs/>
          <w:sz w:val="24"/>
        </w:rPr>
        <w:t>, i</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 xml:space="preserve">and </w:t>
      </w:r>
      <w:r>
        <w:rPr>
          <w:rFonts w:ascii="Times New Roman" w:hAnsi="Times New Roman" w:cs="Times New Roman"/>
          <w:i/>
          <w:iCs/>
          <w:sz w:val="24"/>
        </w:rPr>
        <w:t>o</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are three gates,</w:t>
      </w:r>
      <w:r>
        <w:rPr>
          <w:rFonts w:ascii="Times New Roman" w:hAnsi="Times New Roman" w:cs="Times New Roman"/>
          <w:i/>
          <w:iCs/>
          <w:sz w:val="24"/>
        </w:rPr>
        <w:t xml:space="preserve"> C</w:t>
      </w:r>
      <w:r>
        <w:rPr>
          <w:rFonts w:ascii="Times New Roman" w:hAnsi="Times New Roman" w:cs="Times New Roman"/>
          <w:i/>
          <w:iCs/>
          <w:sz w:val="24"/>
          <w:vertAlign w:val="subscript"/>
        </w:rPr>
        <w:t>t</w:t>
      </w:r>
      <w:r>
        <w:rPr>
          <w:rFonts w:ascii="Times New Roman" w:hAnsi="Times New Roman" w:cs="Times New Roman"/>
          <w:sz w:val="24"/>
        </w:rPr>
        <w:t xml:space="preserve"> represents the cell state, and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represents the hidden state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xml:space="preserve">). </w:t>
      </w:r>
      <w:r>
        <w:rPr>
          <w:rFonts w:ascii="Times New Roman" w:hAnsi="Times New Roman" w:cs="Times New Roman"/>
          <w:i/>
          <w:iCs/>
          <w:sz w:val="24"/>
        </w:rPr>
        <w:t>W</w:t>
      </w:r>
      <w:r>
        <w:rPr>
          <w:rFonts w:ascii="Times New Roman" w:hAnsi="Times New Roman" w:cs="Times New Roman"/>
          <w:sz w:val="24"/>
        </w:rPr>
        <w:t xml:space="preserve"> and </w:t>
      </w:r>
      <w:r>
        <w:rPr>
          <w:rFonts w:ascii="Times New Roman" w:hAnsi="Times New Roman" w:cs="Times New Roman"/>
          <w:i/>
          <w:iCs/>
          <w:sz w:val="24"/>
        </w:rPr>
        <w:t>b</w:t>
      </w:r>
      <w:r>
        <w:rPr>
          <w:rFonts w:ascii="Times New Roman" w:hAnsi="Times New Roman" w:cs="Times New Roman"/>
          <w:sz w:val="24"/>
        </w:rPr>
        <w:t xml:space="preserve"> are cell parameters. These structures work together to form a network, where inputs can pass by getting through these functions and outputted from the hidden state. </w:t>
      </w:r>
    </w:p>
    <w:p>
      <w:pPr>
        <w:spacing w:line="360" w:lineRule="auto"/>
        <w:ind w:firstLine="360"/>
        <w:rPr>
          <w:rFonts w:ascii="Times New Roman" w:hAnsi="Times New Roman" w:cs="Times New Roman"/>
          <w:sz w:val="24"/>
        </w:rPr>
      </w:pPr>
      <w:r>
        <w:rPr>
          <w:rFonts w:ascii="Times New Roman" w:hAnsi="Times New Roman" w:cs="Times New Roman"/>
          <w:sz w:val="24"/>
        </w:rPr>
        <w:drawing>
          <wp:anchor distT="0" distB="0" distL="114300" distR="114300" simplePos="0" relativeHeight="251659264" behindDoc="1" locked="0" layoutInCell="1" allowOverlap="1">
            <wp:simplePos x="0" y="0"/>
            <wp:positionH relativeFrom="column">
              <wp:posOffset>299720</wp:posOffset>
            </wp:positionH>
            <wp:positionV relativeFrom="paragraph">
              <wp:posOffset>1247140</wp:posOffset>
            </wp:positionV>
            <wp:extent cx="4957445" cy="3213100"/>
            <wp:effectExtent l="0" t="0" r="0" b="0"/>
            <wp:wrapTight wrapText="bothSides">
              <wp:wrapPolygon>
                <wp:start x="0" y="0"/>
                <wp:lineTo x="0" y="21515"/>
                <wp:lineTo x="21525" y="21515"/>
                <wp:lineTo x="21525"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57445" cy="3213100"/>
                    </a:xfrm>
                    <a:prstGeom prst="rect">
                      <a:avLst/>
                    </a:prstGeom>
                  </pic:spPr>
                </pic:pic>
              </a:graphicData>
            </a:graphic>
          </wp:anchor>
        </w:drawing>
      </w:r>
      <w:r>
        <w:rPr>
          <w:rFonts w:ascii="Times New Roman" w:hAnsi="Times New Roman" w:cs="Times New Roman"/>
          <w:sz w:val="24"/>
        </w:rPr>
        <w:t xml:space="preserve">On the other hand, BiLSTM is a bidirectional LSTM approach, and it is more complicated than LSTM. BiLSTM contains </w:t>
      </w:r>
      <w:r>
        <w:rPr>
          <w:rFonts w:hint="eastAsia" w:ascii="Times New Roman" w:hAnsi="Times New Roman" w:cs="Times New Roman"/>
          <w:sz w:val="24"/>
        </w:rPr>
        <w:t>five</w:t>
      </w:r>
      <w:r>
        <w:rPr>
          <w:rFonts w:ascii="Times New Roman" w:hAnsi="Times New Roman" w:cs="Times New Roman"/>
          <w:sz w:val="24"/>
        </w:rPr>
        <w:t xml:space="preserve"> layers, input layer, embedding layer, BiLSTM layer, concatenation layer, and output layer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Figure 3 demonstrates the architecture of the BiLSTM model.</w:t>
      </w:r>
    </w:p>
    <w:p>
      <w:pPr>
        <w:keepNext/>
        <w:jc w:val="center"/>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Graphical representation of BiLSTM</w:t>
      </w:r>
    </w:p>
    <w:p>
      <w:pPr>
        <w:spacing w:line="360" w:lineRule="auto"/>
        <w:ind w:firstLine="360"/>
        <w:rPr>
          <w:rFonts w:ascii="Times New Roman" w:hAnsi="Times New Roman" w:cs="Times New Roman"/>
          <w:sz w:val="24"/>
        </w:rPr>
      </w:pPr>
      <w:r>
        <w:rPr>
          <w:rFonts w:ascii="Times New Roman" w:hAnsi="Times New Roman" w:cs="Times New Roman"/>
          <w:sz w:val="24"/>
        </w:rPr>
        <w:t xml:space="preserve">In the first layer, the input layer, let </w:t>
      </w:r>
      <w:r>
        <w:rPr>
          <w:rFonts w:ascii="Times New Roman" w:hAnsi="Times New Roman" w:cs="Times New Roman"/>
          <w:i/>
          <w:iCs/>
          <w:sz w:val="24"/>
        </w:rPr>
        <w:t>D = d</w:t>
      </w:r>
      <w:r>
        <w:rPr>
          <w:rFonts w:ascii="Times New Roman" w:hAnsi="Times New Roman" w:cs="Times New Roman"/>
          <w:i/>
          <w:iCs/>
          <w:sz w:val="24"/>
          <w:vertAlign w:val="subscript"/>
        </w:rPr>
        <w:t>1</w:t>
      </w:r>
      <w:r>
        <w:rPr>
          <w:rFonts w:ascii="Times New Roman" w:hAnsi="Times New Roman" w:cs="Times New Roman"/>
          <w:i/>
          <w:iCs/>
          <w:sz w:val="24"/>
        </w:rPr>
        <w:t>, d</w:t>
      </w:r>
      <w:r>
        <w:rPr>
          <w:rFonts w:ascii="Times New Roman" w:hAnsi="Times New Roman" w:cs="Times New Roman"/>
          <w:i/>
          <w:iCs/>
          <w:sz w:val="24"/>
          <w:vertAlign w:val="subscript"/>
        </w:rPr>
        <w:t>2</w:t>
      </w:r>
      <w:r>
        <w:rPr>
          <w:rFonts w:ascii="Times New Roman" w:hAnsi="Times New Roman" w:cs="Times New Roman"/>
          <w:i/>
          <w:iCs/>
          <w:sz w:val="24"/>
        </w:rPr>
        <w:t>, d</w:t>
      </w:r>
      <w:r>
        <w:rPr>
          <w:rFonts w:ascii="Times New Roman" w:hAnsi="Times New Roman" w:cs="Times New Roman"/>
          <w:i/>
          <w:iCs/>
          <w:sz w:val="24"/>
          <w:vertAlign w:val="subscript"/>
        </w:rPr>
        <w:t>3</w:t>
      </w:r>
      <w:r>
        <w:rPr>
          <w:rFonts w:ascii="Times New Roman" w:hAnsi="Times New Roman" w:cs="Times New Roman"/>
          <w:i/>
          <w:iCs/>
          <w:sz w:val="24"/>
        </w:rPr>
        <w:t>, …, d</w:t>
      </w:r>
      <w:r>
        <w:rPr>
          <w:rFonts w:ascii="Times New Roman" w:hAnsi="Times New Roman" w:cs="Times New Roman"/>
          <w:i/>
          <w:iCs/>
          <w:sz w:val="24"/>
          <w:vertAlign w:val="subscript"/>
        </w:rPr>
        <w:t>v</w:t>
      </w:r>
      <w:r>
        <w:rPr>
          <w:rFonts w:ascii="Times New Roman" w:hAnsi="Times New Roman" w:cs="Times New Roman"/>
          <w:sz w:val="24"/>
          <w:vertAlign w:val="subscript"/>
        </w:rPr>
        <w:t xml:space="preserve"> </w:t>
      </w:r>
      <w:r>
        <w:rPr>
          <w:rFonts w:ascii="Times New Roman" w:hAnsi="Times New Roman" w:cs="Times New Roman"/>
          <w:sz w:val="24"/>
        </w:rPr>
        <w:t xml:space="preserve">be the total number of dimensions the data input. Then, </w:t>
      </w:r>
      <w:r>
        <w:rPr>
          <w:rFonts w:ascii="Times New Roman" w:hAnsi="Times New Roman" w:cs="Times New Roman"/>
          <w:i/>
          <w:iCs/>
          <w:sz w:val="24"/>
        </w:rPr>
        <w:t>i</w:t>
      </w:r>
      <w:r>
        <w:rPr>
          <w:rFonts w:ascii="Times New Roman" w:hAnsi="Times New Roman" w:cs="Times New Roman"/>
          <w:i/>
          <w:iCs/>
          <w:sz w:val="24"/>
          <w:vertAlign w:val="subscript"/>
        </w:rPr>
        <w:t>1</w:t>
      </w:r>
      <w:r>
        <w:rPr>
          <w:rFonts w:ascii="Times New Roman" w:hAnsi="Times New Roman" w:cs="Times New Roman"/>
          <w:i/>
          <w:iCs/>
          <w:sz w:val="24"/>
        </w:rPr>
        <w:t>, i</w:t>
      </w:r>
      <w:r>
        <w:rPr>
          <w:rFonts w:ascii="Times New Roman" w:hAnsi="Times New Roman" w:cs="Times New Roman"/>
          <w:i/>
          <w:iCs/>
          <w:sz w:val="24"/>
          <w:vertAlign w:val="subscript"/>
        </w:rPr>
        <w:t>2</w:t>
      </w:r>
      <w:r>
        <w:rPr>
          <w:rFonts w:ascii="Times New Roman" w:hAnsi="Times New Roman" w:cs="Times New Roman"/>
          <w:i/>
          <w:iCs/>
          <w:sz w:val="24"/>
        </w:rPr>
        <w:t>, i</w:t>
      </w:r>
      <w:r>
        <w:rPr>
          <w:rFonts w:ascii="Times New Roman" w:hAnsi="Times New Roman" w:cs="Times New Roman"/>
          <w:i/>
          <w:iCs/>
          <w:sz w:val="24"/>
          <w:vertAlign w:val="subscript"/>
        </w:rPr>
        <w:t>3</w:t>
      </w:r>
      <w:r>
        <w:rPr>
          <w:rFonts w:ascii="Times New Roman" w:hAnsi="Times New Roman" w:cs="Times New Roman"/>
          <w:i/>
          <w:iCs/>
          <w:sz w:val="24"/>
        </w:rPr>
        <w:t>, …, i</w:t>
      </w:r>
      <w:r>
        <w:rPr>
          <w:rFonts w:ascii="Times New Roman" w:hAnsi="Times New Roman" w:cs="Times New Roman"/>
          <w:i/>
          <w:iCs/>
          <w:sz w:val="24"/>
          <w:vertAlign w:val="subscript"/>
        </w:rPr>
        <w:t>n</w:t>
      </w:r>
      <w:r>
        <w:rPr>
          <w:rFonts w:ascii="Times New Roman" w:hAnsi="Times New Roman" w:cs="Times New Roman"/>
          <w:sz w:val="24"/>
        </w:rPr>
        <w:t xml:space="preserve"> be the total unique indices in each dimension. The data is now carried as a sequence of unique indices that allows the embedding layer and BiLSTM layer to compute (</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input layer processes data into the machine and organizes it, preparing for later data processing and model running.</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The embedding layer transformed the input into an embedding matrix with dimension </w:t>
      </w:r>
      <w:r>
        <w:rPr>
          <w:rFonts w:ascii="Times New Roman" w:hAnsi="Times New Roman" w:cs="Times New Roman"/>
          <w:i/>
          <w:iCs/>
          <w:sz w:val="24"/>
        </w:rPr>
        <w:t>n*d</w:t>
      </w:r>
      <w:r>
        <w:rPr>
          <w:rFonts w:ascii="Times New Roman" w:hAnsi="Times New Roman" w:cs="Times New Roman"/>
          <w:sz w:val="24"/>
        </w:rPr>
        <w:t xml:space="preserve">, where </w:t>
      </w:r>
      <w:r>
        <w:rPr>
          <w:rFonts w:ascii="Times New Roman" w:hAnsi="Times New Roman" w:cs="Times New Roman"/>
          <w:i/>
          <w:iCs/>
          <w:sz w:val="24"/>
        </w:rPr>
        <w:t>n</w:t>
      </w:r>
      <w:r>
        <w:rPr>
          <w:rFonts w:ascii="Times New Roman" w:hAnsi="Times New Roman" w:cs="Times New Roman"/>
          <w:sz w:val="24"/>
        </w:rPr>
        <w:t xml:space="preserve"> depicts the number of indices in dimension </w:t>
      </w:r>
      <w:r>
        <w:rPr>
          <w:rFonts w:ascii="Times New Roman" w:hAnsi="Times New Roman" w:cs="Times New Roman"/>
          <w:i/>
          <w:iCs/>
          <w:sz w:val="24"/>
        </w:rPr>
        <w:t xml:space="preserve">d </w:t>
      </w:r>
      <w:r>
        <w:rPr>
          <w:rFonts w:ascii="Times New Roman" w:hAnsi="Times New Roman" w:cs="Times New Roman"/>
          <w:sz w:val="24"/>
        </w:rPr>
        <w:t>(</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resulting embedding matrix X looks approximately like the following.</w:t>
      </w:r>
    </w:p>
    <w:p>
      <w:pPr>
        <w:spacing w:line="360" w:lineRule="auto"/>
        <w:rPr>
          <w:rFonts w:ascii="Times New Roman" w:hAnsi="Times New Roman" w:cs="Times New Roman"/>
          <w:sz w:val="24"/>
        </w:rPr>
      </w:pPr>
      <m:oMathPara>
        <m:oMath>
          <m:r>
            <m:rPr/>
            <w:rPr>
              <w:rFonts w:ascii="Cambria Math" w:hAnsi="Cambria Math" w:cs="Times New Roman"/>
              <w:sz w:val="24"/>
            </w:rPr>
            <m:t xml:space="preserve">X= </m:t>
          </m:r>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 xml:space="preserve">      ⋮</m:t>
                          </m:r>
                          <m:ctrlPr>
                            <w:rPr>
                              <w:rFonts w:ascii="Cambria Math" w:hAnsi="Cambria Math" w:cs="Times New Roman"/>
                              <w:i/>
                              <w:sz w:val="24"/>
                            </w:rPr>
                          </m:ctrlPr>
                        </m:e>
                      </m:mr>
                    </m:m>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 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 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BiLSTM layer processes the pre-embedded data into the BiLSTM model. In this situation, BiLSTM is used to predict the hidden state </w:t>
      </w:r>
      <m:oMath>
        <m:r>
          <m:rPr/>
          <w:rPr>
            <w:rFonts w:ascii="Cambria Math" w:hAnsi="Cambria Math" w:cs="Times New Roman"/>
            <w:sz w:val="24"/>
          </w:rPr>
          <m:t>H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1</m:t>
            </m:r>
            <m:ctrlPr>
              <w:rPr>
                <w:rFonts w:ascii="Cambria Math" w:hAnsi="Cambria Math" w:cs="Times New Roman"/>
                <w:i/>
                <w:iCs/>
                <w:sz w:val="24"/>
              </w:rPr>
            </m:ctrlPr>
          </m:sub>
        </m:sSub>
        <m:r>
          <m:rPr/>
          <w:rPr>
            <w:rFonts w:ascii="Cambria Math" w:hAnsi="Cambria Math" w:cs="Times New Roman"/>
            <w:sz w:val="24"/>
          </w:rPr>
          <m:t xml:space="preserve">,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2</m:t>
            </m:r>
            <m:ctrlPr>
              <w:rPr>
                <w:rFonts w:ascii="Cambria Math" w:hAnsi="Cambria Math" w:cs="Times New Roman"/>
                <w:i/>
                <w:iCs/>
                <w:sz w:val="24"/>
              </w:rPr>
            </m:ctrlPr>
          </m:sub>
        </m:sSub>
        <m:r>
          <m:rPr/>
          <w:rPr>
            <w:rFonts w:ascii="Cambria Math" w:hAnsi="Cambria Math" w:cs="Times New Roman"/>
            <w:sz w:val="24"/>
          </w:rPr>
          <m:t xml:space="preserve">,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n</m:t>
            </m:r>
            <m:ctrlPr>
              <w:rPr>
                <w:rFonts w:ascii="Cambria Math" w:hAnsi="Cambria Math" w:cs="Times New Roman"/>
                <w:i/>
                <w:iCs/>
                <w:sz w:val="24"/>
              </w:rPr>
            </m:ctrlPr>
          </m:sub>
        </m:sSub>
        <m:r>
          <m:rPr/>
          <w:rPr>
            <w:rFonts w:ascii="Cambria Math" w:hAnsi="Cambria Math" w:cs="Times New Roman"/>
            <w:sz w:val="24"/>
          </w:rPr>
          <m:t>)</m:t>
        </m:r>
      </m:oMath>
      <w:r>
        <w:rPr>
          <w:rFonts w:ascii="Times New Roman" w:hAnsi="Times New Roman" w:cs="Times New Roman"/>
          <w:sz w:val="24"/>
        </w:rPr>
        <w:t xml:space="preserve">, which is concatenated from both forward to back and back to forward. The hidden state in this paper will be the dollar against the CNY exchange rate. At time t, for the input </w:t>
      </w:r>
      <w:r>
        <w:rPr>
          <w:rFonts w:ascii="Times New Roman" w:hAnsi="Times New Roman" w:cs="Times New Roman"/>
          <w:i/>
          <w:iCs/>
          <w:sz w:val="24"/>
        </w:rPr>
        <w:t>x</w:t>
      </w:r>
      <w:r>
        <w:rPr>
          <w:rFonts w:ascii="Times New Roman" w:hAnsi="Times New Roman" w:cs="Times New Roman"/>
          <w:i/>
          <w:iCs/>
          <w:sz w:val="24"/>
          <w:vertAlign w:val="subscript"/>
        </w:rPr>
        <w:t>t</w:t>
      </w:r>
      <w:r>
        <w:rPr>
          <w:rFonts w:ascii="Times New Roman" w:hAnsi="Times New Roman" w:cs="Times New Roman"/>
          <w:sz w:val="24"/>
        </w:rPr>
        <w:t>,</w:t>
      </w:r>
      <w:r>
        <w:rPr>
          <w:rFonts w:ascii="Times New Roman" w:hAnsi="Times New Roman" w:cs="Times New Roman"/>
          <w:i/>
          <w:iCs/>
          <w:sz w:val="24"/>
        </w:rPr>
        <w:t xml:space="preserve"> </w:t>
      </w:r>
      <w:r>
        <w:rPr>
          <w:rFonts w:ascii="Times New Roman" w:hAnsi="Times New Roman" w:cs="Times New Roman"/>
          <w:sz w:val="24"/>
        </w:rPr>
        <w:t xml:space="preserve">the hidden unit vector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previous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At the same time, a backward hidden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future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In the concatenation layer, for each t, the hidden states at both directions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and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are concatenated into a long vector (Chen et al., 2017). Mathematically, the hidden vector h is represented as follows:</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2L</m:t>
              </m:r>
              <m:ctrlPr>
                <w:rPr>
                  <w:rFonts w:ascii="Cambria Math" w:hAnsi="Cambria Math" w:cs="Times New Roman"/>
                  <w:i/>
                  <w:sz w:val="24"/>
                </w:rPr>
              </m:ctrlPr>
            </m:sup>
          </m:sSup>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rPr>
          <m:t>⨁</m:t>
        </m:r>
      </m:oMath>
      <w:r>
        <w:rPr>
          <w:rFonts w:ascii="Times New Roman" w:hAnsi="Times New Roman" w:cs="Times New Roman"/>
          <w:sz w:val="24"/>
        </w:rPr>
        <w:t xml:space="preserve"> represents the concatenation method and L means the size of each direction of LSTM. The output of BiLSTM can be summarized as a single strand </w:t>
      </w: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Lastly, the final value after the concatenation layer is shown in the output layer.</w:t>
      </w:r>
    </w:p>
    <w:p>
      <w:pPr>
        <w:pStyle w:val="16"/>
        <w:spacing w:before="156" w:beforeLines="50" w:line="360" w:lineRule="auto"/>
        <w:ind w:left="0" w:leftChars="0"/>
        <w:outlineLvl w:val="1"/>
        <w:rPr>
          <w:rFonts w:ascii="Times New Roman" w:hAnsi="Times New Roman" w:cs="Times New Roman"/>
          <w:b/>
          <w:bCs/>
          <w:i/>
          <w:iCs/>
          <w:sz w:val="24"/>
        </w:rPr>
      </w:pPr>
      <w:bookmarkStart w:id="4" w:name="_Toc114151813"/>
      <w:r>
        <w:rPr>
          <w:rFonts w:ascii="Times New Roman" w:hAnsi="Times New Roman" w:cs="Times New Roman"/>
          <w:b/>
          <w:bCs/>
          <w:i/>
          <w:iCs/>
          <w:sz w:val="24"/>
        </w:rPr>
        <w:t>2.3 Support vector regression</w:t>
      </w:r>
      <w:bookmarkEnd w:id="4"/>
    </w:p>
    <w:p>
      <w:pPr>
        <w:spacing w:line="360" w:lineRule="auto"/>
        <w:ind w:firstLine="360"/>
        <w:rPr>
          <w:rFonts w:ascii="Times New Roman" w:hAnsi="Times New Roman" w:cs="Times New Roman"/>
          <w:sz w:val="24"/>
        </w:rPr>
      </w:pPr>
      <w:r>
        <w:rPr>
          <w:rFonts w:ascii="Times New Roman" w:hAnsi="Times New Roman" w:cs="Times New Roman"/>
          <w:sz w:val="24"/>
        </w:rPr>
        <w:t>Support vector regression (SVR) is a regression model adopted from the basis of support vectors. In a nutshell, SVR divides the dataset into different classes, and the response variable’s prediction will be classified into one of those classes.</w:t>
      </w:r>
    </w:p>
    <w:p>
      <w:pPr>
        <w:spacing w:line="360" w:lineRule="auto"/>
        <w:ind w:firstLine="360"/>
        <w:rPr>
          <w:rFonts w:ascii="Times New Roman" w:hAnsi="Times New Roman" w:cs="Times New Roman"/>
          <w:sz w:val="24"/>
        </w:rPr>
      </w:pPr>
      <w:r>
        <w:rPr>
          <w:rFonts w:ascii="Times New Roman" w:hAnsi="Times New Roman" w:cs="Times New Roman"/>
          <w:sz w:val="24"/>
        </w:rPr>
        <w:t xml:space="preserve">Considering a set of training dataset </w:t>
      </w:r>
      <m:oMath>
        <m:r>
          <m:rP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m:oMath>
        <m:r>
          <m:rPr/>
          <w:rPr>
            <w:rFonts w:ascii="Cambria Math" w:hAnsi="Cambria Math" w:cs="Times New Roman"/>
            <w:sz w:val="24"/>
          </w:rPr>
          <m:t>⊂Χ</m:t>
        </m:r>
        <m:r>
          <m:rPr>
            <m:scr m:val="double-struck"/>
          </m:rPr>
          <w:rPr>
            <w:rFonts w:ascii="Cambria Math" w:hAnsi="Cambria Math" w:cs="Times New Roman"/>
            <w:sz w:val="24"/>
          </w:rPr>
          <m:t>×ℝ</m:t>
        </m:r>
      </m:oMath>
      <w:r>
        <w:rPr>
          <w:rFonts w:ascii="Times New Roman" w:hAnsi="Times New Roman" w:cs="Times New Roman"/>
          <w:sz w:val="24"/>
        </w:rPr>
        <w:t xml:space="preserve">, where </w:t>
      </w:r>
      <m:oMath>
        <m:r>
          <m:rPr/>
          <w:rPr>
            <w:rFonts w:ascii="Cambria Math" w:hAnsi="Cambria Math" w:cs="Times New Roman"/>
            <w:sz w:val="24"/>
          </w:rPr>
          <m:t>Χ</m:t>
        </m:r>
      </m:oMath>
      <w:r>
        <w:rPr>
          <w:rFonts w:ascii="Times New Roman" w:hAnsi="Times New Roman" w:cs="Times New Roman"/>
          <w:sz w:val="24"/>
        </w:rPr>
        <w:t xml:space="preserve"> is a matrix for the input patterns. We define an </w:t>
      </w:r>
      <w:r>
        <w:rPr>
          <w:rFonts w:ascii="Times New Roman" w:hAnsi="Times New Roman" w:cs="Times New Roman"/>
          <w:i/>
          <w:iCs/>
          <w:sz w:val="24"/>
          <w:lang w:val="el-GR"/>
        </w:rPr>
        <w:t>ε</w:t>
      </w:r>
      <w:r>
        <w:rPr>
          <w:rFonts w:ascii="Times New Roman" w:hAnsi="Times New Roman" w:cs="Times New Roman"/>
          <w:sz w:val="24"/>
        </w:rPr>
        <w:t xml:space="preserve">-SV regression as finding a function that for each predicted point, has at most </w:t>
      </w:r>
      <w:r>
        <w:rPr>
          <w:rFonts w:ascii="Times New Roman" w:hAnsi="Times New Roman" w:cs="Times New Roman"/>
          <w:sz w:val="24"/>
          <w:lang w:val="el-GR"/>
        </w:rPr>
        <w:t>ε</w:t>
      </w:r>
      <w:r>
        <w:rPr>
          <w:rFonts w:ascii="Times New Roman" w:hAnsi="Times New Roman" w:cs="Times New Roman"/>
          <w:sz w:val="24"/>
        </w:rPr>
        <w:t xml:space="preserve"> deviation, to the actual point (</w:t>
      </w:r>
      <w:r>
        <w:rPr>
          <w:rFonts w:ascii="Times New Roman" w:hAnsi="Times New Roman" w:cs="Times New Roman"/>
          <w:color w:val="222222"/>
          <w:sz w:val="24"/>
          <w:shd w:val="clear" w:color="auto" w:fill="FFFFFF"/>
        </w:rPr>
        <w:t>Cortes &amp; Vapnik, 1995</w:t>
      </w:r>
      <w:r>
        <w:rPr>
          <w:rFonts w:ascii="Times New Roman" w:hAnsi="Times New Roman" w:cs="Times New Roman"/>
          <w:sz w:val="24"/>
        </w:rPr>
        <w:t xml:space="preserve">). This means this regression will not accept any deviations larger than </w:t>
      </w:r>
      <w:r>
        <w:rPr>
          <w:rFonts w:ascii="Times New Roman" w:hAnsi="Times New Roman" w:cs="Times New Roman"/>
          <w:sz w:val="24"/>
          <w:lang w:val="el-GR"/>
        </w:rPr>
        <w:t>ε</w:t>
      </w:r>
      <w:r>
        <w:rPr>
          <w:rFonts w:ascii="Times New Roman" w:hAnsi="Times New Roman" w:cs="Times New Roman"/>
          <w:sz w:val="24"/>
        </w:rPr>
        <w:t xml:space="preserv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We begin by assuming the function we want to achieve is a linear one. For the linear function </w:t>
      </w:r>
      <m:oMath>
        <m:r>
          <m:rPr/>
          <w:rPr>
            <w:rFonts w:ascii="Cambria Math" w:hAnsi="Cambria Math" w:cs="Times New Roman"/>
            <w:sz w:val="24"/>
          </w:rPr>
          <m:t>f</m:t>
        </m:r>
      </m:oMath>
      <w:r>
        <w:rPr>
          <w:rFonts w:ascii="Times New Roman" w:hAnsi="Times New Roman" w:cs="Times New Roman"/>
          <w:sz w:val="24"/>
        </w:rPr>
        <w:t>:</w:t>
      </w:r>
    </w:p>
    <w:p>
      <w:pPr>
        <w:spacing w:line="360" w:lineRule="auto"/>
        <w:rPr>
          <w:rFonts w:ascii="Times New Roman" w:hAnsi="Times New Roman" w:cs="Times New Roman"/>
          <w:iCs/>
          <w:sz w:val="24"/>
        </w:rPr>
      </w:pPr>
      <m:oMathPara>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+b, ω∈Χ, b</m:t>
          </m:r>
          <m:r>
            <m:rPr>
              <m:scr m:val="double-struck"/>
            </m:rPr>
            <w:rPr>
              <w:rFonts w:ascii="Cambria Math" w:hAnsi="Cambria Math" w:cs="Times New Roman"/>
              <w:sz w:val="24"/>
            </w:rPr>
            <m:t>∈ℝ</m:t>
          </m:r>
        </m:oMath>
      </m:oMathPara>
    </w:p>
    <w:p>
      <w:pPr>
        <w:spacing w:line="360" w:lineRule="auto"/>
        <w:rPr>
          <w:rFonts w:ascii="Times New Roman" w:hAnsi="Times New Roman" w:cs="Times New Roman"/>
          <w:sz w:val="24"/>
        </w:rPr>
      </w:pPr>
      <w:r>
        <w:rPr>
          <w:rFonts w:ascii="Times New Roman" w:hAnsi="Times New Roman" w:cs="Times New Roman"/>
          <w:sz w:val="24"/>
        </w:rPr>
        <w:t>With</w:t>
      </w:r>
      <w:r>
        <w:rPr>
          <w:rFonts w:ascii="Times New Roman" w:hAnsi="Times New Roman" w:cs="Times New Roman"/>
          <w:i/>
          <w:sz w:val="24"/>
        </w:rPr>
        <w:t xml:space="preserve"> </w:t>
      </w:r>
      <m:oMath>
        <m:r>
          <m:rPr/>
          <w:rPr>
            <w:rFonts w:ascii="Cambria Math" w:hAnsi="Cambria Math" w:cs="Times New Roman"/>
            <w:sz w:val="24"/>
            <w:lang w:val="el-GR"/>
          </w:rPr>
          <m:t>ω</m:t>
        </m:r>
      </m:oMath>
      <w:r>
        <w:rPr>
          <w:rFonts w:ascii="Times New Roman" w:hAnsi="Times New Roman" w:cs="Times New Roman"/>
          <w:sz w:val="24"/>
        </w:rPr>
        <w:t xml:space="preserve"> is a vector in</w:t>
      </w:r>
      <w:r>
        <w:rPr>
          <w:rFonts w:ascii="Times New Roman" w:hAnsi="Times New Roman" w:cs="Times New Roman"/>
          <w:i/>
          <w:sz w:val="24"/>
        </w:rPr>
        <w:t xml:space="preserve"> </w:t>
      </w:r>
      <m:oMath>
        <m:r>
          <m:rPr/>
          <w:rPr>
            <w:rFonts w:ascii="Cambria Math" w:hAnsi="Cambria Math" w:cs="Times New Roman"/>
            <w:sz w:val="24"/>
          </w:rPr>
          <m:t>Χ</m:t>
        </m:r>
      </m:oMath>
      <w:r>
        <w:rPr>
          <w:rFonts w:ascii="Times New Roman" w:hAnsi="Times New Roman" w:cs="Times New Roman"/>
          <w:sz w:val="24"/>
        </w:rPr>
        <w:t xml:space="preserve">, and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oMath>
      <w:r>
        <w:rPr>
          <w:rFonts w:ascii="Times New Roman" w:hAnsi="Times New Roman" w:cs="Times New Roman"/>
          <w:sz w:val="24"/>
        </w:rPr>
        <w:t xml:space="preserve"> represent the dot product of two vectors. To keep the regression flat, we need a smaller </w:t>
      </w:r>
      <m:oMath>
        <m:r>
          <m:rPr/>
          <w:rPr>
            <w:rFonts w:ascii="Cambria Math" w:hAnsi="Cambria Math" w:cs="Times New Roman"/>
            <w:sz w:val="24"/>
            <w:lang w:val="el-GR"/>
          </w:rPr>
          <m:t>ω</m:t>
        </m:r>
      </m:oMath>
      <w:r>
        <w:rPr>
          <w:rFonts w:ascii="Times New Roman" w:hAnsi="Times New Roman" w:cs="Times New Roman"/>
          <w:sz w:val="24"/>
        </w:rPr>
        <w:t xml:space="preserve">. Therefore, we tried to minimize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Times New Roman" w:cs="Times New Roman"/>
          <w:sz w:val="24"/>
        </w:rPr>
        <w:t xml:space="preserve">, in an optimization problem: </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m:oMathPara>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This optimization problem will only exist is all of the points can lie between +</w:t>
      </w:r>
      <w:r>
        <w:rPr>
          <w:rFonts w:ascii="Times New Roman" w:hAnsi="Times New Roman" w:cs="Times New Roman"/>
          <w:sz w:val="24"/>
          <w:lang w:val="el-GR"/>
        </w:rPr>
        <w:t>ε</w:t>
      </w:r>
      <w:r>
        <w:rPr>
          <w:rFonts w:ascii="Times New Roman" w:hAnsi="Times New Roman" w:cs="Times New Roman"/>
          <w:sz w:val="24"/>
        </w:rPr>
        <w:t xml:space="preserve"> and -</w:t>
      </w:r>
      <w:r>
        <w:rPr>
          <w:rFonts w:ascii="Times New Roman" w:hAnsi="Times New Roman" w:cs="Times New Roman"/>
          <w:sz w:val="24"/>
          <w:lang w:val="el-GR"/>
        </w:rPr>
        <w:t>ε</w:t>
      </w:r>
      <w:r>
        <w:rPr>
          <w:rFonts w:ascii="Times New Roman" w:hAnsi="Times New Roman" w:cs="Times New Roman"/>
          <w:sz w:val="24"/>
        </w:rPr>
        <w:t xml:space="preserve">. However, for some set of data, we cannot achieve that. Therefore, a slack variable, representing the difference between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oMath>
      <w:r>
        <w:rPr>
          <w:rFonts w:ascii="Times New Roman" w:hAnsi="Times New Roman" w:cs="Times New Roman"/>
          <w:sz w:val="24"/>
        </w:rPr>
        <w:t xml:space="preserve"> to +</w:t>
      </w:r>
      <w:r>
        <w:rPr>
          <w:rFonts w:ascii="Times New Roman" w:hAnsi="Times New Roman" w:cs="Times New Roman"/>
          <w:sz w:val="24"/>
          <w:lang w:val="el-GR"/>
        </w:rPr>
        <w:t>ε</w:t>
      </w:r>
      <w:r>
        <w:rPr>
          <w:rFonts w:ascii="Times New Roman" w:hAnsi="Times New Roman" w:cs="Times New Roman"/>
          <w:sz w:val="24"/>
        </w:rPr>
        <w:t xml:space="preserve"> or -</w:t>
      </w:r>
      <w:r>
        <w:rPr>
          <w:rFonts w:ascii="Times New Roman" w:hAnsi="Times New Roman" w:cs="Times New Roman"/>
          <w:sz w:val="24"/>
          <w:lang w:val="el-GR"/>
        </w:rPr>
        <w:t>ε</w:t>
      </w:r>
      <w:r>
        <w:rPr>
          <w:rFonts w:ascii="Times New Roman" w:hAnsi="Times New Roman" w:cs="Times New Roman"/>
          <w:sz w:val="24"/>
        </w:rPr>
        <w:t xml:space="preserve"> is implemented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xml:space="preserve"> (Wu et al., 2004). Therefore, we arrive a new optimization, which minimizes the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oMath>
      <w:r>
        <w:rPr>
          <w:rFonts w:ascii="Times New Roman" w:hAnsi="Times New Roman" w:cs="Times New Roman"/>
          <w:sz w:val="24"/>
        </w:rPr>
        <w:t xml:space="preserve"> as well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The new equation will be:</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+C</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l</m:t>
              </m:r>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ctrlPr>
                <w:rPr>
                  <w:rFonts w:ascii="Cambria Math" w:hAnsi="Cambria Math" w:cs="Times New Roman"/>
                  <w:i/>
                  <w:sz w:val="24"/>
                </w:rPr>
              </m:ctrlPr>
            </m:e>
          </m:nary>
        </m:oMath>
      </m:oMathPara>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ctrlPr>
                    <w:rPr>
                      <w:rFonts w:ascii="Cambria Math" w:hAnsi="Cambria Math" w:eastAsia="Cambria Math" w:cs="Times New Roman"/>
                      <w:i/>
                      <w:sz w:val="24"/>
                    </w:rPr>
                  </m:ctrlPr>
                </m:e>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≥0</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rPr>
          <w:rFonts w:ascii="Times New Roman" w:hAnsi="Times New Roman" w:cs="Times New Roman"/>
          <w:sz w:val="24"/>
        </w:rPr>
      </w:pPr>
      <w:r>
        <w:rPr>
          <w:rFonts w:ascii="Times New Roman" w:hAnsi="Times New Roman" w:cs="Times New Roman"/>
          <w:sz w:val="24"/>
        </w:rPr>
        <w:t>where C is a constant that means the trade-off of flatness to the deviations it allows (</w:t>
      </w:r>
      <w:r>
        <w:rPr>
          <w:rFonts w:ascii="Times New Roman" w:hAnsi="Times New Roman" w:cs="Times New Roman"/>
          <w:color w:val="222222"/>
          <w:sz w:val="24"/>
          <w:shd w:val="clear" w:color="auto" w:fill="FFFFFF"/>
        </w:rPr>
        <w:t>Smola &amp; Schölkopf, 2004</w:t>
      </w:r>
      <w:r>
        <w:rPr>
          <w:rFonts w:ascii="Times New Roman" w:hAnsi="Times New Roman" w:cs="Times New Roman"/>
          <w:sz w:val="24"/>
        </w:rPr>
        <w:t xml:space="preserve">). This equation is the final model proposed, effectively making valid predictions.  </w:t>
      </w:r>
    </w:p>
    <w:p>
      <w:pPr>
        <w:pStyle w:val="16"/>
        <w:spacing w:before="156" w:beforeLines="50" w:line="360" w:lineRule="auto"/>
        <w:ind w:left="0" w:leftChars="0"/>
        <w:outlineLvl w:val="1"/>
        <w:rPr>
          <w:rFonts w:ascii="Times New Roman" w:hAnsi="Times New Roman" w:cs="Times New Roman"/>
          <w:b/>
          <w:bCs/>
          <w:i/>
          <w:iCs/>
          <w:sz w:val="24"/>
        </w:rPr>
      </w:pPr>
      <w:bookmarkStart w:id="5" w:name="_Toc114151814"/>
      <w:r>
        <w:rPr>
          <w:rFonts w:ascii="Times New Roman" w:hAnsi="Times New Roman" w:cs="Times New Roman"/>
          <w:b/>
          <w:bCs/>
          <w:i/>
          <w:iCs/>
          <w:sz w:val="24"/>
        </w:rPr>
        <w:t>2.4 Extreme learning machine and Kernel extreme learning machine</w:t>
      </w:r>
      <w:bookmarkEnd w:id="5"/>
    </w:p>
    <w:p>
      <w:pPr>
        <w:spacing w:line="360" w:lineRule="auto"/>
        <w:ind w:firstLine="360"/>
        <w:rPr>
          <w:rFonts w:ascii="Times New Roman" w:hAnsi="Times New Roman" w:cs="Times New Roman"/>
          <w:sz w:val="24"/>
        </w:rPr>
      </w:pPr>
      <w:r>
        <w:rPr>
          <w:rFonts w:ascii="Times New Roman" w:hAnsi="Times New Roman" w:cs="Times New Roman"/>
          <w:sz w:val="24"/>
        </w:rPr>
        <w:t xml:space="preserve">Extreme learning machine (ELM) is another deep learning model we will compare with. This model was first introduced in 2006, aiming to improve the efficiency of the single-hidden-layer feedforward network (SLFNs) (Huang et al., 2006).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Overall, there are numerous benefits of ELM over other SLFN networks. First, the speed of ELM is extremely fast. It takes only seconds or faster than seconds to finish the model’s learning phase (Huang et al., 2006). For complicated models, the ELM learning machine only spends 1.6 minutes on running, but similar algorithms, such as SVR, takes 12 hours (Huang et al., 2006). This makes the model run more efficient than before. Second, the model is more effective than other SLFN models. </w:t>
      </w:r>
    </w:p>
    <w:p>
      <w:pPr>
        <w:spacing w:line="360" w:lineRule="auto"/>
        <w:ind w:firstLine="360"/>
        <w:rPr>
          <w:rFonts w:ascii="Times New Roman" w:hAnsi="Times New Roman" w:cs="Times New Roman"/>
          <w:sz w:val="24"/>
        </w:rPr>
      </w:pPr>
      <w:r>
        <w:rPr>
          <w:rFonts w:ascii="Times New Roman" w:hAnsi="Times New Roman" w:cs="Times New Roman"/>
          <w:sz w:val="24"/>
        </w:rPr>
        <w:t>Secondly, the ELM model's simplicity reduces multiple problems in other traditional gradient-based learning machines, such as overfitting and improper learning rate (Huang et al., 2006). The simple and straightforward ELM algorithm minimized these problems overall.</w:t>
      </w:r>
    </w:p>
    <w:p>
      <w:pPr>
        <w:spacing w:line="360" w:lineRule="auto"/>
        <w:ind w:firstLine="360"/>
        <w:rPr>
          <w:rFonts w:ascii="Times New Roman" w:hAnsi="Times New Roman" w:cs="Times New Roman"/>
          <w:sz w:val="24"/>
        </w:rPr>
      </w:pPr>
      <w:r>
        <w:rPr>
          <w:rFonts w:ascii="Times New Roman" w:hAnsi="Times New Roman" w:cs="Times New Roman"/>
          <w:sz w:val="24"/>
        </w:rPr>
        <w:t xml:space="preserve">For </w:t>
      </w:r>
      <w:r>
        <w:rPr>
          <w:rFonts w:ascii="Times New Roman" w:hAnsi="Times New Roman" w:cs="Times New Roman"/>
          <w:i/>
          <w:iCs/>
          <w:sz w:val="24"/>
        </w:rPr>
        <w:t>N</w:t>
      </w:r>
      <w:r>
        <w:rPr>
          <w:rFonts w:ascii="Times New Roman" w:hAnsi="Times New Roman" w:cs="Times New Roman"/>
          <w:sz w:val="24"/>
        </w:rPr>
        <w:t xml:space="preserve"> arbitrary distinct training samples of inputs (</w:t>
      </w:r>
      <w:r>
        <w:rPr>
          <w:rFonts w:ascii="Times New Roman" w:hAnsi="Times New Roman" w:cs="Times New Roman"/>
          <w:i/>
          <w:iCs/>
          <w:sz w:val="24"/>
        </w:rPr>
        <w:t>x</w:t>
      </w:r>
      <w:r>
        <w:rPr>
          <w:rFonts w:ascii="Times New Roman" w:hAnsi="Times New Roman" w:cs="Times New Roman"/>
          <w:i/>
          <w:iCs/>
          <w:sz w:val="24"/>
          <w:vertAlign w:val="subscript"/>
        </w:rPr>
        <w:t>i</w:t>
      </w:r>
      <w:r>
        <w:rPr>
          <w:rFonts w:ascii="Times New Roman" w:hAnsi="Times New Roman" w:cs="Times New Roman"/>
          <w:i/>
          <w:iCs/>
          <w:sz w:val="24"/>
        </w:rPr>
        <w:t>, t</w:t>
      </w:r>
      <w:r>
        <w:rPr>
          <w:rFonts w:ascii="Times New Roman" w:hAnsi="Times New Roman" w:cs="Times New Roman"/>
          <w:i/>
          <w:iCs/>
          <w:sz w:val="24"/>
          <w:vertAlign w:val="subscript"/>
        </w:rPr>
        <w:t>i</w:t>
      </w:r>
      <w:r>
        <w:rPr>
          <w:rFonts w:ascii="Times New Roman" w:hAnsi="Times New Roman" w:cs="Times New Roman"/>
          <w:sz w:val="24"/>
        </w:rPr>
        <w:t>), which</w:t>
      </w:r>
      <w:r>
        <w:rPr>
          <w:rFonts w:ascii="Times New Roman" w:hAnsi="Times New Roman" w:cs="Times New Roman"/>
          <w:i/>
          <w:iCs/>
          <w:sz w:val="24"/>
        </w:rPr>
        <w:t xml:space="preserve"> x</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in</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 xml:space="preserve"> ∈ </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oMath>
      <w:r>
        <w:rPr>
          <w:rFonts w:ascii="Times New Roman" w:hAnsi="Times New Roman" w:cs="Times New Roman"/>
          <w:sz w:val="24"/>
        </w:rPr>
        <w:t xml:space="preserve"> and </w:t>
      </w:r>
      <w:r>
        <w:rPr>
          <w:rFonts w:ascii="Times New Roman" w:hAnsi="Times New Roman" w:cs="Times New Roman"/>
          <w:i/>
          <w:iCs/>
          <w:sz w:val="24"/>
        </w:rPr>
        <w:t>t</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oMath>
      <w:r>
        <w:rPr>
          <w:rFonts w:ascii="Times New Roman" w:hAnsi="Times New Roman" w:cs="Times New Roman"/>
          <w:sz w:val="24"/>
        </w:rPr>
        <w:t xml:space="preserve">. Therefore, the training sample </w:t>
      </w:r>
      <m:oMath>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r>
          <m:rPr/>
          <w:rPr>
            <w:rFonts w:ascii="Cambria Math" w:hAnsi="Cambria Math" w:cs="Times New Roman"/>
            <w:sz w:val="24"/>
          </w:rPr>
          <m:t>, (i=1, 2, 3,…,N)</m:t>
        </m:r>
      </m:oMath>
      <w:r>
        <w:rPr>
          <w:rFonts w:ascii="Times New Roman" w:hAnsi="Times New Roman" w:cs="Times New Roman"/>
          <w:sz w:val="24"/>
        </w:rPr>
        <w:t xml:space="preserve">, the output of SLFN for </w:t>
      </w:r>
      <m:oMath>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oMath>
      <w:r>
        <w:rPr>
          <w:rFonts w:ascii="Times New Roman" w:hAnsi="Times New Roman" w:cs="Times New Roman"/>
          <w:sz w:val="24"/>
        </w:rPr>
        <w:t xml:space="preserve"> hidden nodes can be represented as: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lang w:val="el-GR"/>
                    </w:rPr>
                  </m:ctrlPr>
                </m:sSubPr>
                <m:e>
                  <m:r>
                    <m:rPr/>
                    <w:rPr>
                      <w:rFonts w:ascii="Cambria Math" w:hAnsi="Cambria Math" w:cs="Times New Roman"/>
                      <w:sz w:val="24"/>
                      <w:lang w:val="el-GR"/>
                    </w:rPr>
                    <m:t>β</m:t>
                  </m:r>
                  <m:ctrlPr>
                    <w:rPr>
                      <w:rFonts w:ascii="Cambria Math" w:hAnsi="Cambria Math" w:cs="Times New Roman"/>
                      <w:i/>
                      <w:sz w:val="24"/>
                      <w:lang w:val="el-GR"/>
                    </w:rPr>
                  </m:ctrlPr>
                </m:e>
                <m:sub>
                  <m:r>
                    <m:rPr/>
                    <w:rPr>
                      <w:rFonts w:ascii="Cambria Math" w:hAnsi="Cambria Math" w:cs="Times New Roman"/>
                      <w:sz w:val="24"/>
                    </w:rPr>
                    <m:t>i</m:t>
                  </m:r>
                  <m:ctrlPr>
                    <w:rPr>
                      <w:rFonts w:ascii="Cambria Math" w:hAnsi="Cambria Math" w:cs="Times New Roman"/>
                      <w:i/>
                      <w:sz w:val="24"/>
                      <w:lang w:val="el-GR"/>
                    </w:rPr>
                  </m:ctrlPr>
                </m:sub>
              </m:sSub>
              <m:sSub>
                <m:sSubPr>
                  <m:ctrlPr>
                    <w:rPr>
                      <w:rFonts w:ascii="Cambria Math" w:hAnsi="Cambria Math" w:cs="Times New Roman"/>
                      <w:i/>
                      <w:sz w:val="24"/>
                      <w:lang w:val="el-GR"/>
                    </w:rPr>
                  </m:ctrlPr>
                </m:sSubPr>
                <m:e>
                  <m:r>
                    <m:rPr/>
                    <w:rPr>
                      <w:rFonts w:ascii="Cambria Math" w:hAnsi="Cambria Math" w:cs="Times New Roman"/>
                      <w:sz w:val="24"/>
                      <w:lang w:val="el-GR"/>
                    </w:rPr>
                    <m:t>f</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lang w:val="el-GR"/>
                </w:rPr>
                <m:t>(</m:t>
              </m:r>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j</m:t>
                  </m:r>
                  <m:ctrlPr>
                    <w:rPr>
                      <w:rFonts w:ascii="Cambria Math" w:hAnsi="Cambria Math" w:cs="Times New Roman"/>
                      <w:i/>
                      <w:sz w:val="24"/>
                      <w:lang w:val="el-GR"/>
                    </w:rPr>
                  </m:ctrlPr>
                </m:sub>
              </m:sSub>
              <m:r>
                <m:rPr/>
                <w:rPr>
                  <w:rFonts w:ascii="Cambria Math" w:hAnsi="Cambria Math" w:cs="Times New Roman"/>
                  <w:sz w:val="24"/>
                  <w:lang w:val="el-GR"/>
                </w:rPr>
                <m:t>)</m:t>
              </m:r>
              <m:ctrlPr>
                <w:rPr>
                  <w:rFonts w:ascii="Cambria Math" w:hAnsi="Cambria Math" w:cs="Times New Roman"/>
                  <w:i/>
                  <w:sz w:val="24"/>
                </w:rPr>
              </m:ctrlPr>
            </m:e>
          </m:nary>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 j=1, 2,…,N</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is the output in SLFN, for input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 xml:space="preserve">, </m:t>
        </m:r>
        <m:r>
          <m:rPr/>
          <w:rPr>
            <w:rFonts w:ascii="Cambria Math" w:hAnsi="Cambria Math" w:cs="Times New Roman"/>
            <w:sz w:val="24"/>
            <w:lang w:val="el-GR"/>
          </w:rPr>
          <m:t>i</m:t>
        </m:r>
        <m:r>
          <m:rPr/>
          <w:rPr>
            <w:rFonts w:ascii="Cambria Math" w:hAnsi="Cambria Math" w:cs="Times New Roman"/>
            <w:sz w:val="24"/>
          </w:rPr>
          <m:t>=1, 2,…,N</m:t>
        </m:r>
      </m:oMath>
      <w:r>
        <w:rPr>
          <w:rFonts w:ascii="Times New Roman" w:hAnsi="Times New Roman" w:cs="Times New Roman"/>
          <w:sz w:val="24"/>
        </w:rPr>
        <w:t xml:space="preserve">.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the learning parameters for j</w:t>
      </w:r>
      <w:r>
        <w:rPr>
          <w:rFonts w:ascii="Times New Roman" w:hAnsi="Times New Roman" w:cs="Times New Roman"/>
          <w:sz w:val="24"/>
          <w:vertAlign w:val="superscript"/>
        </w:rPr>
        <w:t>th</w:t>
      </w:r>
      <w:r>
        <w:rPr>
          <w:rFonts w:ascii="Times New Roman" w:hAnsi="Times New Roman" w:cs="Times New Roman"/>
          <w:sz w:val="24"/>
        </w:rPr>
        <w:t xml:space="preserve"> hidden node, and there are </w:t>
      </w:r>
      <m:oMath>
        <m:r>
          <m:rPr/>
          <w:rPr>
            <w:rFonts w:ascii="Cambria Math" w:hAnsi="Cambria Math" w:cs="Times New Roman"/>
            <w:sz w:val="24"/>
          </w:rPr>
          <m:t>N</m:t>
        </m:r>
      </m:oMath>
      <w:r>
        <w:rPr>
          <w:rFonts w:ascii="Times New Roman" w:hAnsi="Times New Roman" w:cs="Times New Roman"/>
          <w:sz w:val="24"/>
        </w:rPr>
        <w:t xml:space="preserve"> hidden nodes in total. </w:t>
      </w:r>
      <m:oMath>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oMath>
      <w:r>
        <w:rPr>
          <w:rFonts w:ascii="Times New Roman" w:hAnsi="Times New Roman" w:cs="Times New Roman"/>
          <w:sz w:val="24"/>
        </w:rPr>
        <w:t xml:space="preserve"> is a linking parameter connecting between the j</w:t>
      </w:r>
      <w:r>
        <w:rPr>
          <w:rFonts w:ascii="Times New Roman" w:hAnsi="Times New Roman" w:cs="Times New Roman"/>
          <w:sz w:val="24"/>
          <w:vertAlign w:val="superscript"/>
        </w:rPr>
        <w:t>th</w:t>
      </w:r>
      <w:r>
        <w:rPr>
          <w:rFonts w:ascii="Times New Roman" w:hAnsi="Times New Roman" w:cs="Times New Roman"/>
          <w:sz w:val="24"/>
        </w:rPr>
        <w:t xml:space="preserve"> hidden node to the output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(Ding et al., 2014). </w:t>
      </w:r>
      <m:oMath>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is the activation function for the SLFN (Ding et al., 2014).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equation above can be represented concisely as: </w:t>
      </w:r>
    </w:p>
    <w:p>
      <w:pPr>
        <w:spacing w:line="360" w:lineRule="auto"/>
        <w:rPr>
          <w:rFonts w:ascii="Times New Roman" w:hAnsi="Times New Roman" w:cs="Times New Roman"/>
          <w:i/>
          <w:sz w:val="24"/>
        </w:rPr>
      </w:pPr>
      <m:oMathPara>
        <m:oMath>
          <m:r>
            <m:rPr/>
            <w:rPr>
              <w:rFonts w:ascii="Cambria Math" w:hAnsi="Cambria Math" w:cs="Times New Roman"/>
              <w:sz w:val="24"/>
            </w:rPr>
            <m:t>H</m:t>
          </m:r>
          <m:r>
            <m:rPr/>
            <w:rPr>
              <w:rFonts w:ascii="Cambria Math" w:hAnsi="Cambria Math" w:cs="Times New Roman"/>
              <w:sz w:val="24"/>
              <w:lang w:val="el-GR"/>
            </w:rPr>
            <m:t>β=O</m:t>
          </m:r>
        </m:oMath>
      </m:oMathPara>
    </w:p>
    <w:p>
      <w:pPr>
        <w:spacing w:line="360" w:lineRule="auto"/>
        <w:rPr>
          <w:rFonts w:ascii="Times New Roman" w:hAnsi="Times New Roman" w:cs="Times New Roman"/>
          <w:sz w:val="24"/>
        </w:rPr>
      </w:pPr>
      <w:r>
        <w:rPr>
          <w:rFonts w:ascii="Times New Roman" w:hAnsi="Times New Roman" w:cs="Times New Roman"/>
          <w:sz w:val="24"/>
        </w:rPr>
        <w:t xml:space="preserve">And </w:t>
      </w:r>
      <w:r>
        <w:rPr>
          <w:rFonts w:ascii="Times New Roman" w:hAnsi="Times New Roman" w:cs="Times New Roman"/>
          <w:i/>
          <w:iCs/>
          <w:sz w:val="24"/>
        </w:rPr>
        <w:t xml:space="preserve">H </w:t>
      </w:r>
      <w:r>
        <w:rPr>
          <w:rFonts w:ascii="Times New Roman" w:hAnsi="Times New Roman" w:cs="Times New Roman"/>
          <w:sz w:val="24"/>
        </w:rPr>
        <w:t xml:space="preserve">is the output matrix for the hidden layer, </w:t>
      </w:r>
      <w:r>
        <w:rPr>
          <w:rFonts w:ascii="Times New Roman" w:hAnsi="Times New Roman" w:cs="Times New Roman"/>
          <w:i/>
          <w:iCs/>
          <w:sz w:val="24"/>
          <w:lang w:val="el-GR"/>
        </w:rPr>
        <w:t>β</w:t>
      </w:r>
      <w:r>
        <w:rPr>
          <w:rFonts w:ascii="Times New Roman" w:hAnsi="Times New Roman" w:cs="Times New Roman"/>
          <w:sz w:val="24"/>
        </w:rPr>
        <w:t xml:space="preserve"> is the linking matrix between hidden layer and outputs, and </w:t>
      </w:r>
      <w:r>
        <w:rPr>
          <w:rFonts w:ascii="Times New Roman" w:hAnsi="Times New Roman" w:cs="Times New Roman"/>
          <w:i/>
          <w:iCs/>
          <w:sz w:val="24"/>
        </w:rPr>
        <w:t>O</w:t>
      </w:r>
      <w:r>
        <w:rPr>
          <w:rFonts w:ascii="Times New Roman" w:hAnsi="Times New Roman" w:cs="Times New Roman"/>
          <w:sz w:val="24"/>
        </w:rPr>
        <w:t xml:space="preserve"> is the output matrix for the SLFN (Ding et al., 2015). They can be represented mathematically as: </w:t>
      </w:r>
    </w:p>
    <w:p>
      <w:pPr>
        <w:spacing w:line="360" w:lineRule="auto"/>
        <w:rPr>
          <w:rFonts w:ascii="Times New Roman" w:hAnsi="Times New Roman" w:cs="Times New Roman"/>
          <w:i/>
          <w:sz w:val="24"/>
        </w:rPr>
      </w:pPr>
      <m:oMathPara>
        <m:oMath>
          <m:r>
            <m:rPr/>
            <w:rPr>
              <w:rFonts w:ascii="Cambria Math" w:hAnsi="Cambria Math" w:cs="Times New Roman"/>
              <w:sz w:val="24"/>
            </w:rPr>
            <m:t>H=</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t>
              </m:r>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rPr>
          <w:rFonts w:ascii="Times New Roman" w:hAnsi="Times New Roman" w:cs="Times New Roman"/>
          <w:sz w:val="24"/>
        </w:rPr>
      </w:pPr>
      <m:oMathPara>
        <m:oMath>
          <m:r>
            <m:rPr/>
            <w:rPr>
              <w:rFonts w:ascii="Cambria Math" w:hAnsi="Cambria Math" w:cs="Times New Roman"/>
              <w:sz w:val="24"/>
            </w:rPr>
            <m:t>β=</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r>
                <m:rPr/>
                <w:rPr>
                  <w:rFonts w:ascii="Cambria Math" w:hAnsi="Cambria Math" w:cs="Times New Roman"/>
                  <w:sz w:val="24"/>
                </w:rPr>
                <m:t>×m</m:t>
              </m:r>
              <m:ctrlPr>
                <w:rPr>
                  <w:rFonts w:ascii="Cambria Math" w:hAnsi="Cambria Math" w:cs="Times New Roman"/>
                  <w:i/>
                  <w:sz w:val="24"/>
                </w:rPr>
              </m:ctrlPr>
            </m:sub>
          </m:sSub>
          <m:r>
            <m:rPr/>
            <w:rPr>
              <w:rFonts w:ascii="Cambria Math" w:hAnsi="Cambria Math" w:cs="Times New Roman"/>
              <w:sz w:val="24"/>
            </w:rPr>
            <m:t>, O=</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m:t>
              </m:r>
              <m:ctrlPr>
                <w:rPr>
                  <w:rFonts w:ascii="Cambria Math" w:hAnsi="Cambria Math" w:cs="Times New Roman"/>
                  <w:i/>
                  <w:sz w:val="24"/>
                </w:rPr>
              </m:ctrlPr>
            </m:sub>
          </m:sSub>
        </m:oMath>
      </m:oMathPara>
    </w:p>
    <w:p>
      <w:pPr>
        <w:spacing w:line="360" w:lineRule="auto"/>
        <w:ind w:firstLine="480"/>
        <w:rPr>
          <w:rFonts w:ascii="Times New Roman" w:hAnsi="Times New Roman" w:cs="Times New Roman"/>
          <w:sz w:val="24"/>
        </w:rPr>
      </w:pPr>
      <w:r>
        <w:rPr>
          <w:rFonts w:ascii="Times New Roman" w:hAnsi="Times New Roman" w:cs="Times New Roman"/>
          <w:sz w:val="24"/>
        </w:rPr>
        <w:t xml:space="preserve">For minimizing </w:t>
      </w:r>
      <m:oMath>
        <m:d>
          <m:dPr>
            <m:begChr m:val="‖"/>
            <m:endChr m:val="‖"/>
            <m:ctrlPr>
              <w:rPr>
                <w:rFonts w:ascii="Cambria Math" w:hAnsi="Cambria Math" w:cs="Times New Roman"/>
                <w:i/>
                <w:sz w:val="24"/>
              </w:rPr>
            </m:ctrlPr>
          </m:dPr>
          <m:e>
            <m:r>
              <m:rPr/>
              <w:rPr>
                <w:rFonts w:ascii="Cambria Math" w:hAnsi="Cambria Math" w:cs="Times New Roman"/>
                <w:sz w:val="24"/>
              </w:rPr>
              <m:t>O−T</m:t>
            </m:r>
            <m:ctrlPr>
              <w:rPr>
                <w:rFonts w:ascii="Cambria Math" w:hAnsi="Cambria Math" w:cs="Times New Roman"/>
                <w:i/>
                <w:sz w:val="24"/>
              </w:rPr>
            </m:ctrlPr>
          </m:e>
        </m:d>
      </m:oMath>
      <w:r>
        <w:rPr>
          <w:rFonts w:ascii="Times New Roman" w:hAnsi="Times New Roman" w:cs="Times New Roman"/>
          <w:sz w:val="24"/>
        </w:rPr>
        <w:t xml:space="preserve"> in ELM model,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needed to be assigned randomly without considering the input data. Therefore, this model now became a linear one, using the Moore-Penrose (MP) generalization of H, denoted as </w:t>
      </w:r>
      <m:oMath>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oMath>
      <w:r>
        <w:rPr>
          <w:rFonts w:ascii="Times New Roman" w:hAnsi="Times New Roman" w:cs="Times New Roman"/>
          <w:sz w:val="24"/>
        </w:rPr>
        <w:t xml:space="preserve"> (Chen et al., 2016).</w:t>
      </w:r>
    </w:p>
    <w:p>
      <w:pPr>
        <w:spacing w:line="360" w:lineRule="auto"/>
        <w:ind w:firstLine="480"/>
        <w:rPr>
          <w:rFonts w:ascii="Times New Roman" w:hAnsi="Times New Roman" w:cs="Times New Roman"/>
          <w:sz w:val="24"/>
        </w:rPr>
      </w:pPr>
      <w:r>
        <w:rPr>
          <w:rFonts w:ascii="Times New Roman" w:hAnsi="Times New Roman" w:cs="Times New Roman"/>
          <w:sz w:val="24"/>
        </w:rPr>
        <w:t xml:space="preserve">Therefore, the output weight </w:t>
      </w:r>
      <m:oMath>
        <m:r>
          <m:rPr/>
          <w:rPr>
            <w:rFonts w:ascii="Cambria Math" w:hAnsi="Cambria Math" w:cs="Times New Roman"/>
            <w:sz w:val="24"/>
          </w:rPr>
          <m:t>β</m:t>
        </m:r>
      </m:oMath>
      <w:r>
        <w:rPr>
          <w:rFonts w:ascii="Times New Roman" w:hAnsi="Times New Roman" w:cs="Times New Roman"/>
          <w:sz w:val="24"/>
        </w:rPr>
        <w:t xml:space="preserve"> will be produced by the algorithm below after transformation, which finishes the ELM model:</w:t>
      </w:r>
    </w:p>
    <w:p>
      <w:pPr>
        <w:spacing w:line="360" w:lineRule="auto"/>
        <w:rPr>
          <w:rFonts w:ascii="Times New Roman" w:hAnsi="Times New Roman" w:cs="Times New Roman"/>
          <w:i/>
          <w:sz w:val="24"/>
        </w:rPr>
      </w:pPr>
      <m:oMathPara>
        <m:oMath>
          <m:r>
            <m:rPr/>
            <w:rPr>
              <w:rFonts w:ascii="Cambria Math" w:hAnsi="Cambria Math" w:cs="Times New Roman"/>
              <w:sz w:val="24"/>
            </w:rPr>
            <m:t>β=</m:t>
          </m:r>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Τ</m:t>
          </m:r>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Kernel extreme learning machine (KELM) is a Kernel approach to ELM. Multiple variations of KELM are used in previous research, such as multiple KELM (Liu et al., 2015), hybrid KELM (Lv et al., 2020). Variations of kernels also exist, such as the radial basis function (RBF) kernel (Iosifidis et al., 2015), exponential radial basis function (ERBF) kernel (</w:t>
      </w:r>
      <w:r>
        <w:rPr>
          <w:rFonts w:ascii="Times New Roman" w:hAnsi="Times New Roman" w:cs="Times New Roman"/>
          <w:color w:val="222222"/>
          <w:sz w:val="24"/>
          <w:shd w:val="clear" w:color="auto" w:fill="FFFFFF"/>
        </w:rPr>
        <w:t>Madheswaran &amp; Dhas, 2015</w:t>
      </w:r>
      <w:r>
        <w:rPr>
          <w:rFonts w:ascii="Times New Roman" w:hAnsi="Times New Roman" w:cs="Times New Roman"/>
          <w:sz w:val="24"/>
        </w:rPr>
        <w:t xml:space="preserve">). In this research, the RBF kernel is used. This kernel is added to the ELM model making it more accurate in testing data. It is a popular kernel used in multiple areas. The RBF kernel can be defined as: </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K</m:t>
              </m:r>
              <m:ctrlPr>
                <w:rPr>
                  <w:rFonts w:ascii="Cambria Math" w:hAnsi="Cambria Math" w:cs="Times New Roman"/>
                  <w:i/>
                  <w:sz w:val="24"/>
                </w:rPr>
              </m:ctrlPr>
            </m:e>
            <m:sub>
              <m:r>
                <m:rPr/>
                <w:rPr>
                  <w:rFonts w:ascii="Cambria Math" w:hAnsi="Cambria Math" w:cs="Times New Roman"/>
                  <w:sz w:val="24"/>
                </w:rPr>
                <m:t>RBF</m:t>
              </m:r>
              <m:ctrlPr>
                <w:rPr>
                  <w:rFonts w:ascii="Cambria Math" w:hAnsi="Cambria Math" w:cs="Times New Roman"/>
                  <w:i/>
                  <w:sz w:val="24"/>
                </w:rPr>
              </m:ctrlPr>
            </m:sub>
          </m:sSub>
          <m:d>
            <m:dPr>
              <m:ctrlPr>
                <w:rPr>
                  <w:rFonts w:ascii="Cambria Math" w:hAnsi="Cambria Math" w:cs="Times New Roman"/>
                  <w:i/>
                  <w:sz w:val="24"/>
                </w:rPr>
              </m:ctrlPr>
            </m:dPr>
            <m:e>
              <m:r>
                <m:rPr>
                  <m:nor/>
                  <m:sty m:val="b"/>
                </m:rPr>
                <w:rPr>
                  <w:rFonts w:ascii="Times New Roman" w:hAnsi="Times New Roman" w:cs="Times New Roman"/>
                  <w:b/>
                  <w:bCs/>
                  <w:sz w:val="24"/>
                </w:rPr>
                <m:t>x</m:t>
              </m:r>
              <m:r>
                <m:rPr/>
                <w:rPr>
                  <w:rFonts w:ascii="Cambria Math" w:hAnsi="Cambria Math" w:cs="Times New Roman"/>
                  <w:sz w:val="24"/>
                </w:rPr>
                <m:t xml:space="preserve">, </m:t>
              </m:r>
              <m:r>
                <m:rPr>
                  <m:nor/>
                  <m:sty m:val="b"/>
                </m:rPr>
                <w:rPr>
                  <w:rFonts w:ascii="Times New Roman" w:hAnsi="Times New Roman" w:cs="Times New Roman"/>
                  <w:b/>
                  <w:bCs/>
                  <w:sz w:val="24"/>
                </w:rPr>
                <m:t>x'</m:t>
              </m:r>
              <m:ctrlPr>
                <w:rPr>
                  <w:rFonts w:ascii="Cambria Math" w:hAnsi="Cambria Math" w:cs="Times New Roman"/>
                  <w:i/>
                  <w:sz w:val="24"/>
                </w:rPr>
              </m:ctrlPr>
            </m:e>
          </m:d>
          <m:r>
            <m:rPr/>
            <w:rPr>
              <w:rFonts w:ascii="Cambria Math" w:hAnsi="Cambria Math" w:cs="Times New Roman"/>
              <w:sz w:val="24"/>
            </w:rPr>
            <m:t>=</m:t>
          </m:r>
          <m:r>
            <m:rPr>
              <m:sty m:val="p"/>
            </m:rPr>
            <w:rPr>
              <w:rFonts w:ascii="Cambria Math" w:hAnsi="Cambria Math" w:cs="Times New Roman"/>
              <w:sz w:val="24"/>
            </w:rPr>
            <m:t>exp⁡</m:t>
          </m:r>
          <m:r>
            <m:rPr/>
            <w:rPr>
              <w:rFonts w:ascii="Cambria Math" w:hAnsi="Cambria Math" w:cs="Times New Roman"/>
              <w:sz w:val="24"/>
            </w:rPr>
            <m:t>[−</m:t>
          </m:r>
          <m:r>
            <m:rPr/>
            <w:rPr>
              <w:rFonts w:ascii="Cambria Math" w:hAnsi="Cambria Math" w:cs="Times New Roman"/>
              <w:sz w:val="24"/>
              <w:lang w:val="el-GR"/>
            </w:rPr>
            <m:t>γ</m:t>
          </m:r>
          <m:sSup>
            <m:sSupPr>
              <m:ctrlPr>
                <w:rPr>
                  <w:rFonts w:ascii="Cambria Math" w:hAnsi="Cambria Math" w:cs="Times New Roman"/>
                  <w:i/>
                  <w:sz w:val="24"/>
                  <w:lang w:val="el-GR"/>
                </w:rPr>
              </m:ctrlPr>
            </m:sSupPr>
            <m:e>
              <m:d>
                <m:dPr>
                  <m:begChr m:val="‖"/>
                  <m:endChr m:val="‖"/>
                  <m:ctrlPr>
                    <w:rPr>
                      <w:rFonts w:ascii="Cambria Math" w:hAnsi="Cambria Math" w:cs="Times New Roman"/>
                      <w:i/>
                      <w:sz w:val="24"/>
                      <w:lang w:val="el-GR"/>
                    </w:rPr>
                  </m:ctrlPr>
                </m:dPr>
                <m:e>
                  <m:r>
                    <m:rPr>
                      <m:nor/>
                      <m:sty m:val="b"/>
                    </m:rPr>
                    <w:rPr>
                      <w:rFonts w:ascii="Times New Roman" w:hAnsi="Times New Roman" w:cs="Times New Roman"/>
                      <w:b/>
                      <w:bCs/>
                      <w:sz w:val="24"/>
                    </w:rPr>
                    <m:t>x-x'</m:t>
                  </m:r>
                  <m:ctrlPr>
                    <w:rPr>
                      <w:rFonts w:ascii="Cambria Math" w:hAnsi="Cambria Math" w:cs="Times New Roman"/>
                      <w:i/>
                      <w:sz w:val="24"/>
                      <w:lang w:val="el-GR"/>
                    </w:rPr>
                  </m:ctrlPr>
                </m:e>
              </m:d>
              <m:ctrlPr>
                <w:rPr>
                  <w:rFonts w:ascii="Cambria Math" w:hAnsi="Cambria Math" w:cs="Times New Roman"/>
                  <w:i/>
                  <w:sz w:val="24"/>
                  <w:lang w:val="el-GR"/>
                </w:rPr>
              </m:ctrlPr>
            </m:e>
            <m:sup>
              <m:r>
                <m:rPr/>
                <w:rPr>
                  <w:rFonts w:ascii="Cambria Math" w:hAnsi="Cambria Math" w:cs="Times New Roman"/>
                  <w:sz w:val="24"/>
                </w:rPr>
                <m:t>2</m:t>
              </m:r>
              <m:ctrlPr>
                <w:rPr>
                  <w:rFonts w:ascii="Cambria Math" w:hAnsi="Cambria Math" w:cs="Times New Roman"/>
                  <w:i/>
                  <w:sz w:val="24"/>
                  <w:lang w:val="el-GR"/>
                </w:rPr>
              </m:ctrlPr>
            </m:sup>
          </m:sSup>
          <m:r>
            <m:rPr/>
            <w:rPr>
              <w:rFonts w:ascii="Cambria Math" w:hAnsi="Cambria Math" w:cs="Times New Roman"/>
              <w:sz w:val="24"/>
            </w:rPr>
            <m:t>]</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lang w:val="el-GR"/>
          </w:rPr>
          <m:t>γ</m:t>
        </m:r>
      </m:oMath>
      <w:r>
        <w:rPr>
          <w:rFonts w:ascii="Times New Roman" w:hAnsi="Times New Roman" w:cs="Times New Roman"/>
          <w:sz w:val="24"/>
        </w:rPr>
        <w:t xml:space="preserve"> is the parameter that sets the spread of the kernel (Ding et al., 2021). By using such method, a more accurate prediction might be achieved.</w:t>
      </w:r>
    </w:p>
    <w:p>
      <w:pPr>
        <w:pStyle w:val="9"/>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6" w:name="_Toc114151815"/>
      <w:r>
        <w:rPr>
          <w:rFonts w:ascii="Times New Roman" w:hAnsi="Times New Roman" w:eastAsia="宋体"/>
          <w:b/>
          <w:bCs/>
          <w:color w:val="0E101A"/>
          <w:sz w:val="28"/>
          <w:szCs w:val="28"/>
        </w:rPr>
        <w:t>Empirical Study</w:t>
      </w:r>
      <w:bookmarkEnd w:id="6"/>
    </w:p>
    <w:p>
      <w:pPr>
        <w:pStyle w:val="16"/>
        <w:spacing w:before="156" w:beforeLines="50" w:line="360" w:lineRule="auto"/>
        <w:ind w:left="0" w:leftChars="0"/>
        <w:outlineLvl w:val="1"/>
        <w:rPr>
          <w:rFonts w:ascii="Times New Roman" w:hAnsi="Times New Roman" w:cs="Times New Roman"/>
          <w:b/>
          <w:bCs/>
          <w:i/>
          <w:iCs/>
          <w:sz w:val="24"/>
        </w:rPr>
      </w:pPr>
      <w:bookmarkStart w:id="7" w:name="_Toc114151816"/>
      <w:r>
        <w:rPr>
          <w:rFonts w:ascii="Times New Roman" w:hAnsi="Times New Roman" w:cs="Times New Roman"/>
          <w:b/>
          <w:bCs/>
          <w:i/>
          <w:iCs/>
          <w:sz w:val="24"/>
        </w:rPr>
        <w:t>3.1 Data collection</w:t>
      </w:r>
      <w:bookmarkEnd w:id="7"/>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29 variables ranging from various fields are selected, including: </w:t>
      </w:r>
      <w:r>
        <w:rPr>
          <w:rFonts w:ascii="Times New Roman" w:hAnsi="Times New Roman" w:cs="Times New Roman"/>
          <w:b/>
          <w:bCs/>
          <w:color w:val="202122"/>
          <w:sz w:val="24"/>
          <w:shd w:val="clear" w:color="auto" w:fill="FFFFFF"/>
        </w:rPr>
        <w:t>(1)Macroeconomic variables:</w:t>
      </w:r>
      <w:r>
        <w:rPr>
          <w:rFonts w:ascii="Times New Roman" w:hAnsi="Times New Roman" w:cs="Times New Roman"/>
          <w:color w:val="202122"/>
          <w:sz w:val="24"/>
          <w:shd w:val="clear" w:color="auto" w:fill="FFFFFF"/>
        </w:rPr>
        <w:t xml:space="preserve"> Federal </w:t>
      </w:r>
      <w:r>
        <w:rPr>
          <w:rFonts w:hint="eastAsia" w:ascii="Times New Roman" w:hAnsi="Times New Roman" w:cs="Times New Roman"/>
          <w:color w:val="202122"/>
          <w:sz w:val="24"/>
          <w:shd w:val="clear" w:color="auto" w:fill="FFFFFF"/>
        </w:rPr>
        <w:t xml:space="preserve">exchange </w:t>
      </w:r>
      <w:r>
        <w:rPr>
          <w:rFonts w:ascii="Times New Roman" w:hAnsi="Times New Roman" w:cs="Times New Roman"/>
          <w:color w:val="202122"/>
          <w:sz w:val="24"/>
          <w:shd w:val="clear" w:color="auto" w:fill="FFFFFF"/>
        </w:rPr>
        <w:t xml:space="preserve">reserve asset (FER), export value (EX), import value (IM), China money supply (CM2), China consumer price index (CCPI), industrial value added (IVA), Producer Price Index (PPI), purchasing managers' index (PMI), America consumer price index(ACPI), dollar index (DXY), America money supply (AM2), Global economic policy uncertainty (GEPU), China economic policy uncertainty (CEPU), America economic policy uncertainty (AEPU), America Economic Policy Uncertainty: News Index (AEPU-NI). </w:t>
      </w:r>
      <w:r>
        <w:rPr>
          <w:rFonts w:ascii="Times New Roman" w:hAnsi="Times New Roman" w:cs="Times New Roman"/>
          <w:b/>
          <w:bCs/>
          <w:color w:val="202122"/>
          <w:sz w:val="24"/>
          <w:shd w:val="clear" w:color="auto" w:fill="FFFFFF"/>
        </w:rPr>
        <w:t>(2) Financial assets:</w:t>
      </w:r>
      <w:r>
        <w:rPr>
          <w:rFonts w:ascii="Times New Roman" w:hAnsi="Times New Roman" w:cs="Times New Roman"/>
          <w:color w:val="202122"/>
          <w:sz w:val="24"/>
          <w:shd w:val="clear" w:color="auto" w:fill="FFFFFF"/>
        </w:rPr>
        <w:t xml:space="preserve"> West Texas Intermediate (WTI), future closing price of gold (FCPG), Dow Jones industrial average (DJIA), NASDAQ Composite Index (NASDAQ), The S&amp;P 500 index (S&amp;P), S&amp;P 500 Volatility Index (VIX), Shenzhen composite index (SZCOMP), Shanghai composite index (SHCOMP). </w:t>
      </w:r>
      <w:r>
        <w:rPr>
          <w:rFonts w:ascii="Times New Roman" w:hAnsi="Times New Roman" w:cs="Times New Roman"/>
          <w:b/>
          <w:bCs/>
          <w:color w:val="202122"/>
          <w:sz w:val="24"/>
          <w:shd w:val="clear" w:color="auto" w:fill="FFFFFF"/>
        </w:rPr>
        <w:t>(3) Sentimental index</w:t>
      </w:r>
      <w:r>
        <w:rPr>
          <w:rFonts w:ascii="Times New Roman" w:hAnsi="Times New Roman" w:cs="Times New Roman"/>
          <w:color w:val="202122"/>
          <w:sz w:val="24"/>
          <w:shd w:val="clear" w:color="auto" w:fill="FFFFFF"/>
        </w:rPr>
        <w:t xml:space="preserve">: University of Michigan consumer sentiment index (MCSI), average searching number in Google Trends (GT), average searching number in Baidu index (BI). </w:t>
      </w:r>
      <w:r>
        <w:rPr>
          <w:rFonts w:ascii="Times New Roman" w:hAnsi="Times New Roman" w:cs="Times New Roman"/>
          <w:b/>
          <w:bCs/>
          <w:color w:val="202122"/>
          <w:sz w:val="24"/>
          <w:shd w:val="clear" w:color="auto" w:fill="FFFFFF"/>
        </w:rPr>
        <w:t>(4)</w:t>
      </w:r>
      <w:bookmarkStart w:id="8" w:name="OLE_LINK4"/>
      <w:r>
        <w:rPr>
          <w:rFonts w:ascii="Times New Roman" w:hAnsi="Times New Roman" w:cs="Times New Roman"/>
          <w:b/>
          <w:bCs/>
          <w:color w:val="202122"/>
          <w:sz w:val="24"/>
          <w:shd w:val="clear" w:color="auto" w:fill="FFFFFF"/>
        </w:rPr>
        <w:t xml:space="preserve"> Other composite indicators</w:t>
      </w:r>
      <w:bookmarkEnd w:id="8"/>
      <w:r>
        <w:rPr>
          <w:rFonts w:ascii="Times New Roman" w:hAnsi="Times New Roman" w:cs="Times New Roman"/>
          <w:color w:val="202122"/>
          <w:sz w:val="24"/>
          <w:shd w:val="clear" w:color="auto" w:fill="FFFFFF"/>
        </w:rPr>
        <w:t>: China composite leading indicator (CLI_China), global composite leading indicator (CLI_Global), America composite leading indicator (CLI_US).</w:t>
      </w:r>
    </w:p>
    <w:p>
      <w:pPr>
        <w:pStyle w:val="2"/>
        <w:keepNext/>
        <w:spacing w:before="312" w:beforeLines="10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Selected variables within four categories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Category</w:t>
            </w:r>
          </w:p>
        </w:tc>
        <w:tc>
          <w:tcPr>
            <w:tcW w:w="5466"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Detailed variables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Macroeconomic variables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FER, EX, IM, CM2, CCPI, IVA, PPI, PMI, ACPI, DXY, AM2, GEPU, CEPU, AEPU, AEPU-NI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Financial assets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WTI, FCPG, DJIA, NASDAQ, S&amp;P, VIX, SZCOMP, SHCOMP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Sentimental index</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MCSI, GT, BI(3)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Other Composite indicators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CLI_China, CLI_Global, CLI_US(3)</w:t>
            </w:r>
          </w:p>
        </w:tc>
      </w:tr>
    </w:tbl>
    <w:p>
      <w:pPr>
        <w:spacing w:before="156" w:beforeLines="50"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In total, fifteen macroeconomic variables, eight financial asset variables, three sentimental variables, and three other composite indicators are chosen. The monthly data of GT and BI are obtained from google trends (https://trends.google.com/trends/) and the Baidu index (https://index.baidu.com/v2/index.html), respectively. MCSI is obtained from Fred economic data (https://fred.stlouisfed.org/series/UMCSENT), CLI_China, CLI_Global, and CLI_US are obtained from OEDC (https://data.oecd.org/leadind/composite-leading-indicator-cli.htm), other variables are obtained from the Wind Database (http://www.wind.com.cn/).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The data were selected from January 2011</w:t>
      </w:r>
      <w:r>
        <w:rPr>
          <w:rFonts w:hint="eastAsia" w:ascii="Times New Roman" w:hAnsi="Times New Roman" w:cs="Times New Roman"/>
          <w:color w:val="202122"/>
          <w:sz w:val="24"/>
          <w:shd w:val="clear" w:color="auto" w:fill="FFFFFF"/>
        </w:rPr>
        <w:t xml:space="preserve"> </w:t>
      </w:r>
      <w:r>
        <w:rPr>
          <w:rFonts w:ascii="Times New Roman" w:hAnsi="Times New Roman" w:cs="Times New Roman"/>
          <w:color w:val="202122"/>
          <w:sz w:val="24"/>
          <w:shd w:val="clear" w:color="auto" w:fill="FFFFFF"/>
        </w:rPr>
        <w:t xml:space="preserve">to June 2022, separated into an in-sample subset and an out-of-sample subset. The in-sample subset contains the former 80% of the data, while the out-of-sample subset contains the rest of the 20%. Thus, 1) the in-sample subset is used for model training with the data from January 2011 to February 2020. 2) the out-sample subset is used for testing with the data from March 2020 to June 2022. </w:t>
      </w:r>
    </w:p>
    <w:p>
      <w:pPr>
        <w:spacing w:line="360" w:lineRule="auto"/>
        <w:ind w:firstLine="420"/>
        <w:rPr>
          <w:rFonts w:ascii="Times New Roman" w:hAnsi="Times New Roman" w:cs="Times New Roman"/>
          <w:color w:val="202122"/>
          <w:sz w:val="24"/>
          <w:shd w:val="clear" w:color="auto" w:fill="FFFFFF"/>
        </w:rPr>
      </w:pPr>
      <w:r>
        <w:rPr>
          <w:rFonts w:hint="eastAsia" w:ascii="Times New Roman" w:hAnsi="Times New Roman" w:cs="Times New Roman"/>
          <w:color w:val="202122"/>
          <w:sz w:val="24"/>
          <w:shd w:val="clear" w:color="auto" w:fill="FFFFFF"/>
        </w:rPr>
        <w:t>Five</w:t>
      </w:r>
      <w:r>
        <w:rPr>
          <w:rFonts w:ascii="Times New Roman" w:hAnsi="Times New Roman" w:cs="Times New Roman"/>
          <w:color w:val="202122"/>
          <w:sz w:val="24"/>
          <w:shd w:val="clear" w:color="auto" w:fill="FFFFFF"/>
        </w:rPr>
        <w:t xml:space="preserve"> seed words are selected for GT and BI</w:t>
      </w:r>
      <w:r>
        <w:rPr>
          <w:rFonts w:hint="eastAsia" w:ascii="Times New Roman" w:hAnsi="Times New Roman" w:cs="Times New Roman"/>
          <w:color w:val="202122"/>
          <w:sz w:val="24"/>
          <w:shd w:val="clear" w:color="auto" w:fill="FFFFFF"/>
        </w:rPr>
        <w:t xml:space="preserve">, which are: </w:t>
      </w:r>
      <w:r>
        <w:rPr>
          <w:rFonts w:ascii="Times New Roman" w:hAnsi="Times New Roman" w:cs="Times New Roman"/>
          <w:color w:val="202122"/>
          <w:sz w:val="24"/>
          <w:shd w:val="clear" w:color="auto" w:fill="FFFFFF"/>
        </w:rPr>
        <w:t xml:space="preserve">RMB to US dollar exchange rate, RMB exchange rate, RMB to US dollar, Dollar RMB exchange rate, and Dollar renminbi exchange. </w:t>
      </w:r>
      <w:r>
        <w:rPr>
          <w:rFonts w:hint="eastAsia" w:ascii="Times New Roman" w:hAnsi="Times New Roman" w:cs="Times New Roman"/>
          <w:color w:val="202122"/>
          <w:sz w:val="24"/>
          <w:shd w:val="clear" w:color="auto" w:fill="FFFFFF"/>
        </w:rPr>
        <w:t xml:space="preserve">In this cast, </w:t>
      </w:r>
      <w:r>
        <w:rPr>
          <w:rFonts w:ascii="Times New Roman" w:hAnsi="Times New Roman" w:cs="Times New Roman"/>
          <w:color w:val="202122"/>
          <w:sz w:val="24"/>
          <w:shd w:val="clear" w:color="auto" w:fill="FFFFFF"/>
        </w:rPr>
        <w:t>GT is used to represent public opinions in the US, while BI is used to represent public opinions in China</w:t>
      </w:r>
      <w:r>
        <w:rPr>
          <w:rFonts w:hint="eastAsia" w:ascii="Times New Roman" w:hAnsi="Times New Roman" w:cs="Times New Roman"/>
          <w:color w:val="202122"/>
          <w:sz w:val="24"/>
          <w:shd w:val="clear" w:color="auto" w:fill="FFFFFF"/>
        </w:rPr>
        <w:t>. Moreover, t</w:t>
      </w:r>
      <w:r>
        <w:rPr>
          <w:rFonts w:ascii="Times New Roman" w:hAnsi="Times New Roman" w:cs="Times New Roman"/>
          <w:color w:val="202122"/>
          <w:sz w:val="24"/>
          <w:shd w:val="clear" w:color="auto" w:fill="FFFFFF"/>
        </w:rPr>
        <w:t xml:space="preserve">he average monthly </w:t>
      </w:r>
      <w:r>
        <w:rPr>
          <w:rFonts w:hint="eastAsia" w:ascii="Times New Roman" w:hAnsi="Times New Roman" w:cs="Times New Roman"/>
          <w:color w:val="202122"/>
          <w:sz w:val="24"/>
          <w:shd w:val="clear" w:color="auto" w:fill="FFFFFF"/>
        </w:rPr>
        <w:t xml:space="preserve">searching </w:t>
      </w:r>
      <w:r>
        <w:rPr>
          <w:rFonts w:ascii="Times New Roman" w:hAnsi="Times New Roman" w:cs="Times New Roman"/>
          <w:color w:val="202122"/>
          <w:sz w:val="24"/>
          <w:shd w:val="clear" w:color="auto" w:fill="FFFFFF"/>
        </w:rPr>
        <w:t>volume is used to represent the overall public opinions toward the exchange rate in different periods.</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A logarithmic transformation is applied to the variables that contain data </w:t>
      </w:r>
      <w:r>
        <w:rPr>
          <w:rFonts w:hint="eastAsia" w:ascii="Times New Roman" w:hAnsi="Times New Roman" w:cs="Times New Roman"/>
          <w:color w:val="202122"/>
          <w:sz w:val="24"/>
          <w:shd w:val="clear" w:color="auto" w:fill="FFFFFF"/>
        </w:rPr>
        <w:t>greater</w:t>
      </w:r>
      <w:r>
        <w:rPr>
          <w:rFonts w:ascii="Times New Roman" w:hAnsi="Times New Roman" w:cs="Times New Roman"/>
          <w:color w:val="202122"/>
          <w:sz w:val="24"/>
          <w:shd w:val="clear" w:color="auto" w:fill="FFFFFF"/>
        </w:rPr>
        <w:t xml:space="preserve"> than 100</w:t>
      </w:r>
      <w:r>
        <w:rPr>
          <w:rFonts w:hint="eastAsia" w:ascii="Times New Roman" w:hAnsi="Times New Roman" w:cs="Times New Roman"/>
          <w:color w:val="202122"/>
          <w:sz w:val="24"/>
          <w:shd w:val="clear" w:color="auto" w:fill="FFFFFF"/>
        </w:rPr>
        <w:t>, which are:</w:t>
      </w:r>
      <w:r>
        <w:rPr>
          <w:rFonts w:ascii="Times New Roman" w:hAnsi="Times New Roman" w:cs="Times New Roman"/>
          <w:color w:val="202122"/>
          <w:sz w:val="24"/>
          <w:shd w:val="clear" w:color="auto" w:fill="FFFFFF"/>
        </w:rPr>
        <w:t xml:space="preserve"> FER, EX, CM2, AM2, FCPG, DJIA, NASDAQ, S&amp;P, SZCOMP, SHCOMP, BI.</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 The statistical properties of the exchange rate and selected variables are represented in Table 2. The data distributions of CLI_China and PPI are relatively asymmetric since the absolute skew are the greatest, while M2 and WTI tend to be symmetric distributions. For kurtosis, since the value of CEPU is greater than 3, the data distribution is mesokurtic, while the other variables are platykurtic distributed. </w:t>
      </w:r>
    </w:p>
    <w:p>
      <w:pPr>
        <w:pStyle w:val="2"/>
        <w:keepNext/>
        <w:spacing w:before="312" w:beforeLines="10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color w:val="202122"/>
          <w:shd w:val="clear" w:color="auto" w:fill="FFFFFF"/>
        </w:rPr>
        <w:t>Statistical properties of variables</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782"/>
        <w:gridCol w:w="1040"/>
        <w:gridCol w:w="1016"/>
        <w:gridCol w:w="925"/>
        <w:gridCol w:w="1298"/>
        <w:gridCol w:w="879"/>
        <w:gridCol w:w="1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Variables</w:t>
            </w:r>
          </w:p>
        </w:tc>
        <w:tc>
          <w:tcPr>
            <w:tcW w:w="483" w:type="pct"/>
            <w:vAlign w:val="center"/>
          </w:tcPr>
          <w:p>
            <w:pPr>
              <w:jc w:val="center"/>
              <w:rPr>
                <w:rFonts w:ascii="Times New Roman" w:hAnsi="Times New Roman" w:cs="Times New Roman"/>
                <w:b/>
                <w:bCs/>
              </w:rPr>
            </w:pPr>
            <w:r>
              <w:rPr>
                <w:rFonts w:ascii="Times New Roman" w:hAnsi="Times New Roman" w:cs="Times New Roman"/>
                <w:b/>
                <w:bCs/>
              </w:rPr>
              <w:t>mean</w:t>
            </w:r>
          </w:p>
        </w:tc>
        <w:tc>
          <w:tcPr>
            <w:tcW w:w="608" w:type="pct"/>
            <w:vAlign w:val="center"/>
          </w:tcPr>
          <w:p>
            <w:pPr>
              <w:jc w:val="center"/>
              <w:rPr>
                <w:rFonts w:ascii="Times New Roman" w:hAnsi="Times New Roman" w:cs="Times New Roman"/>
                <w:b/>
                <w:bCs/>
              </w:rPr>
            </w:pPr>
            <w:r>
              <w:rPr>
                <w:rFonts w:ascii="Times New Roman" w:hAnsi="Times New Roman" w:cs="Times New Roman"/>
                <w:b/>
                <w:bCs/>
              </w:rPr>
              <w:t>Standard deviation</w:t>
            </w:r>
          </w:p>
        </w:tc>
        <w:tc>
          <w:tcPr>
            <w:tcW w:w="615" w:type="pct"/>
            <w:vAlign w:val="center"/>
          </w:tcPr>
          <w:p>
            <w:pPr>
              <w:jc w:val="center"/>
              <w:rPr>
                <w:rFonts w:ascii="Times New Roman" w:hAnsi="Times New Roman" w:cs="Times New Roman"/>
                <w:b/>
                <w:bCs/>
              </w:rPr>
            </w:pPr>
            <w:r>
              <w:rPr>
                <w:rFonts w:ascii="Times New Roman" w:hAnsi="Times New Roman" w:cs="Times New Roman"/>
                <w:b/>
                <w:bCs/>
              </w:rPr>
              <w:t>skewness</w:t>
            </w:r>
          </w:p>
        </w:tc>
        <w:tc>
          <w:tcPr>
            <w:tcW w:w="537" w:type="pct"/>
            <w:vAlign w:val="center"/>
          </w:tcPr>
          <w:p>
            <w:pPr>
              <w:jc w:val="center"/>
              <w:rPr>
                <w:rFonts w:ascii="Times New Roman" w:hAnsi="Times New Roman" w:cs="Times New Roman"/>
                <w:b/>
                <w:bCs/>
              </w:rPr>
            </w:pPr>
            <w:r>
              <w:rPr>
                <w:rFonts w:ascii="Times New Roman" w:hAnsi="Times New Roman" w:cs="Times New Roman"/>
                <w:b/>
                <w:bCs/>
              </w:rPr>
              <w:t>kurtosis</w:t>
            </w:r>
          </w:p>
        </w:tc>
        <w:tc>
          <w:tcPr>
            <w:tcW w:w="728" w:type="pct"/>
            <w:vAlign w:val="center"/>
          </w:tcPr>
          <w:p>
            <w:pPr>
              <w:jc w:val="center"/>
              <w:rPr>
                <w:rFonts w:ascii="Times New Roman" w:hAnsi="Times New Roman" w:cs="Times New Roman"/>
                <w:b/>
                <w:bCs/>
              </w:rPr>
            </w:pPr>
            <w:r>
              <w:rPr>
                <w:rFonts w:ascii="Times New Roman" w:hAnsi="Times New Roman" w:cs="Times New Roman"/>
                <w:b/>
                <w:bCs/>
              </w:rPr>
              <w:t>Jarque-bera</w:t>
            </w:r>
          </w:p>
        </w:tc>
        <w:tc>
          <w:tcPr>
            <w:tcW w:w="522" w:type="pct"/>
            <w:vAlign w:val="center"/>
          </w:tcPr>
          <w:p>
            <w:pPr>
              <w:jc w:val="center"/>
              <w:rPr>
                <w:rFonts w:ascii="Times New Roman" w:hAnsi="Times New Roman" w:cs="Times New Roman"/>
                <w:b/>
                <w:bCs/>
              </w:rPr>
            </w:pPr>
            <w:r>
              <w:rPr>
                <w:rFonts w:ascii="Times New Roman" w:hAnsi="Times New Roman" w:cs="Times New Roman"/>
                <w:b/>
                <w:bCs/>
              </w:rPr>
              <w:t>P-value</w:t>
            </w:r>
          </w:p>
        </w:tc>
        <w:tc>
          <w:tcPr>
            <w:tcW w:w="757" w:type="pct"/>
            <w:vAlign w:val="center"/>
          </w:tcPr>
          <w:p>
            <w:pPr>
              <w:jc w:val="center"/>
              <w:rPr>
                <w:rFonts w:ascii="Times New Roman" w:hAnsi="Times New Roman" w:cs="Times New Roman"/>
                <w:b/>
                <w:bCs/>
              </w:rPr>
            </w:pPr>
            <w:r>
              <w:rPr>
                <w:rFonts w:ascii="Times New Roman" w:hAnsi="Times New Roman" w:cs="Times New Roman"/>
                <w:b/>
                <w:bCs/>
              </w:rPr>
              <w:t>Observation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FER</w:t>
            </w:r>
          </w:p>
        </w:tc>
        <w:tc>
          <w:tcPr>
            <w:tcW w:w="483" w:type="pct"/>
            <w:vAlign w:val="center"/>
          </w:tcPr>
          <w:p>
            <w:pPr>
              <w:jc w:val="center"/>
              <w:rPr>
                <w:rFonts w:ascii="Times New Roman" w:hAnsi="Times New Roman" w:cs="Times New Roman"/>
              </w:rPr>
            </w:pPr>
            <w:r>
              <w:rPr>
                <w:rFonts w:ascii="Times New Roman" w:hAnsi="Times New Roman" w:cs="Times New Roman"/>
              </w:rPr>
              <w:t>10.41</w:t>
            </w:r>
          </w:p>
        </w:tc>
        <w:tc>
          <w:tcPr>
            <w:tcW w:w="608" w:type="pct"/>
            <w:vAlign w:val="center"/>
          </w:tcPr>
          <w:p>
            <w:pPr>
              <w:jc w:val="center"/>
              <w:rPr>
                <w:rFonts w:ascii="Times New Roman" w:hAnsi="Times New Roman" w:cs="Times New Roman"/>
              </w:rPr>
            </w:pPr>
            <w:r>
              <w:rPr>
                <w:rFonts w:ascii="Times New Roman" w:hAnsi="Times New Roman" w:cs="Times New Roman"/>
              </w:rPr>
              <w:t>0.09</w:t>
            </w:r>
          </w:p>
        </w:tc>
        <w:tc>
          <w:tcPr>
            <w:tcW w:w="615" w:type="pct"/>
            <w:vAlign w:val="center"/>
          </w:tcPr>
          <w:p>
            <w:pPr>
              <w:jc w:val="center"/>
              <w:rPr>
                <w:rFonts w:ascii="Times New Roman" w:hAnsi="Times New Roman" w:cs="Times New Roman"/>
              </w:rPr>
            </w:pPr>
            <w:r>
              <w:rPr>
                <w:rFonts w:ascii="Times New Roman" w:hAnsi="Times New Roman" w:cs="Times New Roman"/>
              </w:rPr>
              <w:t>0.28</w:t>
            </w:r>
          </w:p>
        </w:tc>
        <w:tc>
          <w:tcPr>
            <w:tcW w:w="537" w:type="pct"/>
            <w:vAlign w:val="center"/>
          </w:tcPr>
          <w:p>
            <w:pPr>
              <w:jc w:val="center"/>
              <w:rPr>
                <w:rFonts w:ascii="Times New Roman" w:hAnsi="Times New Roman" w:cs="Times New Roman"/>
              </w:rPr>
            </w:pPr>
            <w:r>
              <w:rPr>
                <w:rFonts w:ascii="Times New Roman" w:hAnsi="Times New Roman" w:cs="Times New Roman"/>
              </w:rPr>
              <w:t>2.59</w:t>
            </w:r>
          </w:p>
        </w:tc>
        <w:tc>
          <w:tcPr>
            <w:tcW w:w="728" w:type="pct"/>
            <w:vAlign w:val="center"/>
          </w:tcPr>
          <w:p>
            <w:pPr>
              <w:jc w:val="center"/>
              <w:rPr>
                <w:rFonts w:ascii="Times New Roman" w:hAnsi="Times New Roman" w:cs="Times New Roman"/>
              </w:rPr>
            </w:pPr>
            <w:r>
              <w:rPr>
                <w:rFonts w:ascii="Times New Roman" w:hAnsi="Times New Roman" w:cs="Times New Roman"/>
              </w:rPr>
              <w:t>2.22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EX</w:t>
            </w:r>
          </w:p>
        </w:tc>
        <w:tc>
          <w:tcPr>
            <w:tcW w:w="483" w:type="pct"/>
            <w:vAlign w:val="center"/>
          </w:tcPr>
          <w:p>
            <w:pPr>
              <w:jc w:val="center"/>
              <w:rPr>
                <w:rFonts w:ascii="Times New Roman" w:hAnsi="Times New Roman" w:cs="Times New Roman"/>
              </w:rPr>
            </w:pPr>
            <w:r>
              <w:rPr>
                <w:rFonts w:ascii="Times New Roman" w:hAnsi="Times New Roman" w:cs="Times New Roman"/>
              </w:rPr>
              <w:t>7.52</w:t>
            </w:r>
          </w:p>
        </w:tc>
        <w:tc>
          <w:tcPr>
            <w:tcW w:w="608" w:type="pct"/>
            <w:vAlign w:val="center"/>
          </w:tcPr>
          <w:p>
            <w:pPr>
              <w:jc w:val="center"/>
              <w:rPr>
                <w:rFonts w:ascii="Times New Roman" w:hAnsi="Times New Roman" w:cs="Times New Roman"/>
              </w:rPr>
            </w:pPr>
            <w:r>
              <w:rPr>
                <w:rFonts w:ascii="Times New Roman" w:hAnsi="Times New Roman" w:cs="Times New Roman"/>
              </w:rPr>
              <w:t>0.16</w:t>
            </w:r>
          </w:p>
        </w:tc>
        <w:tc>
          <w:tcPr>
            <w:tcW w:w="615" w:type="pct"/>
            <w:vAlign w:val="center"/>
          </w:tcPr>
          <w:p>
            <w:pPr>
              <w:jc w:val="center"/>
              <w:rPr>
                <w:rFonts w:ascii="Times New Roman" w:hAnsi="Times New Roman" w:cs="Times New Roman"/>
              </w:rPr>
            </w:pPr>
            <w:r>
              <w:rPr>
                <w:rFonts w:ascii="Times New Roman" w:hAnsi="Times New Roman" w:cs="Times New Roman"/>
              </w:rPr>
              <w:t>0.26</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7.38</w:t>
            </w:r>
          </w:p>
        </w:tc>
        <w:tc>
          <w:tcPr>
            <w:tcW w:w="522" w:type="pct"/>
            <w:vAlign w:val="center"/>
          </w:tcPr>
          <w:p>
            <w:pPr>
              <w:jc w:val="center"/>
              <w:rPr>
                <w:rFonts w:ascii="Times New Roman" w:hAnsi="Times New Roman" w:cs="Times New Roman"/>
              </w:rPr>
            </w:pPr>
            <w:r>
              <w:rPr>
                <w:rFonts w:ascii="Times New Roman" w:hAnsi="Times New Roman" w:cs="Times New Roman"/>
              </w:rPr>
              <w:t>0.03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IM</w:t>
            </w:r>
          </w:p>
        </w:tc>
        <w:tc>
          <w:tcPr>
            <w:tcW w:w="483" w:type="pct"/>
            <w:vAlign w:val="center"/>
          </w:tcPr>
          <w:p>
            <w:pPr>
              <w:jc w:val="center"/>
              <w:rPr>
                <w:rFonts w:ascii="Times New Roman" w:hAnsi="Times New Roman" w:cs="Times New Roman"/>
              </w:rPr>
            </w:pPr>
            <w:r>
              <w:rPr>
                <w:rFonts w:ascii="Times New Roman" w:hAnsi="Times New Roman" w:cs="Times New Roman"/>
              </w:rPr>
              <w:t>7.34</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0.31</w:t>
            </w:r>
          </w:p>
        </w:tc>
        <w:tc>
          <w:tcPr>
            <w:tcW w:w="537" w:type="pct"/>
            <w:vAlign w:val="center"/>
          </w:tcPr>
          <w:p>
            <w:pPr>
              <w:jc w:val="center"/>
              <w:rPr>
                <w:rFonts w:ascii="Times New Roman" w:hAnsi="Times New Roman" w:cs="Times New Roman"/>
              </w:rPr>
            </w:pPr>
            <w:r>
              <w:rPr>
                <w:rFonts w:ascii="Times New Roman" w:hAnsi="Times New Roman" w:cs="Times New Roman"/>
              </w:rPr>
              <w:t>1.79</w:t>
            </w:r>
          </w:p>
        </w:tc>
        <w:tc>
          <w:tcPr>
            <w:tcW w:w="728" w:type="pct"/>
            <w:vAlign w:val="center"/>
          </w:tcPr>
          <w:p>
            <w:pPr>
              <w:jc w:val="center"/>
              <w:rPr>
                <w:rFonts w:ascii="Times New Roman" w:hAnsi="Times New Roman" w:cs="Times New Roman"/>
              </w:rPr>
            </w:pPr>
            <w:r>
              <w:rPr>
                <w:rFonts w:ascii="Times New Roman" w:hAnsi="Times New Roman" w:cs="Times New Roman"/>
              </w:rPr>
              <w:t>8.45</w:t>
            </w:r>
          </w:p>
        </w:tc>
        <w:tc>
          <w:tcPr>
            <w:tcW w:w="522" w:type="pct"/>
            <w:vAlign w:val="center"/>
          </w:tcPr>
          <w:p>
            <w:pPr>
              <w:jc w:val="center"/>
              <w:rPr>
                <w:rFonts w:ascii="Times New Roman" w:hAnsi="Times New Roman" w:cs="Times New Roman"/>
              </w:rPr>
            </w:pPr>
            <w:r>
              <w:rPr>
                <w:rFonts w:ascii="Times New Roman" w:hAnsi="Times New Roman" w:cs="Times New Roman"/>
              </w:rPr>
              <w:t>0.14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M2</w:t>
            </w:r>
          </w:p>
        </w:tc>
        <w:tc>
          <w:tcPr>
            <w:tcW w:w="483" w:type="pct"/>
            <w:vAlign w:val="center"/>
          </w:tcPr>
          <w:p>
            <w:pPr>
              <w:jc w:val="center"/>
              <w:rPr>
                <w:rFonts w:ascii="Times New Roman" w:hAnsi="Times New Roman" w:cs="Times New Roman"/>
              </w:rPr>
            </w:pPr>
            <w:r>
              <w:rPr>
                <w:rFonts w:ascii="Times New Roman" w:hAnsi="Times New Roman" w:cs="Times New Roman"/>
              </w:rPr>
              <w:t>14.07</w:t>
            </w:r>
          </w:p>
        </w:tc>
        <w:tc>
          <w:tcPr>
            <w:tcW w:w="608" w:type="pct"/>
            <w:vAlign w:val="center"/>
          </w:tcPr>
          <w:p>
            <w:pPr>
              <w:jc w:val="center"/>
              <w:rPr>
                <w:rFonts w:ascii="Times New Roman" w:hAnsi="Times New Roman" w:cs="Times New Roman"/>
              </w:rPr>
            </w:pPr>
            <w:r>
              <w:rPr>
                <w:rFonts w:ascii="Times New Roman" w:hAnsi="Times New Roman" w:cs="Times New Roman"/>
              </w:rPr>
              <w:t>0.29</w:t>
            </w:r>
          </w:p>
        </w:tc>
        <w:tc>
          <w:tcPr>
            <w:tcW w:w="615" w:type="pct"/>
            <w:vAlign w:val="center"/>
          </w:tcPr>
          <w:p>
            <w:pPr>
              <w:jc w:val="center"/>
              <w:rPr>
                <w:rFonts w:ascii="Times New Roman" w:hAnsi="Times New Roman" w:cs="Times New Roman"/>
              </w:rPr>
            </w:pPr>
            <w:r>
              <w:rPr>
                <w:rFonts w:ascii="Times New Roman" w:hAnsi="Times New Roman" w:cs="Times New Roman"/>
              </w:rPr>
              <w:t>0.02</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5.36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w:t>
            </w:r>
          </w:p>
        </w:tc>
        <w:tc>
          <w:tcPr>
            <w:tcW w:w="483" w:type="pct"/>
            <w:vAlign w:val="center"/>
          </w:tcPr>
          <w:p>
            <w:pPr>
              <w:jc w:val="center"/>
              <w:rPr>
                <w:rFonts w:ascii="Times New Roman" w:hAnsi="Times New Roman" w:cs="Times New Roman"/>
              </w:rPr>
            </w:pPr>
            <w:r>
              <w:rPr>
                <w:rFonts w:ascii="Times New Roman" w:hAnsi="Times New Roman" w:cs="Times New Roman"/>
              </w:rPr>
              <w:t>2.55</w:t>
            </w:r>
          </w:p>
        </w:tc>
        <w:tc>
          <w:tcPr>
            <w:tcW w:w="608" w:type="pct"/>
            <w:vAlign w:val="center"/>
          </w:tcPr>
          <w:p>
            <w:pPr>
              <w:jc w:val="center"/>
              <w:rPr>
                <w:rFonts w:ascii="Times New Roman" w:hAnsi="Times New Roman" w:cs="Times New Roman"/>
              </w:rPr>
            </w:pPr>
            <w:r>
              <w:rPr>
                <w:rFonts w:ascii="Times New Roman" w:hAnsi="Times New Roman" w:cs="Times New Roman"/>
              </w:rPr>
              <w:t>1.29</w:t>
            </w:r>
          </w:p>
        </w:tc>
        <w:tc>
          <w:tcPr>
            <w:tcW w:w="615" w:type="pct"/>
            <w:vAlign w:val="center"/>
          </w:tcPr>
          <w:p>
            <w:pPr>
              <w:jc w:val="center"/>
              <w:rPr>
                <w:rFonts w:ascii="Times New Roman" w:hAnsi="Times New Roman" w:cs="Times New Roman"/>
              </w:rPr>
            </w:pPr>
            <w:r>
              <w:rPr>
                <w:rFonts w:ascii="Times New Roman" w:hAnsi="Times New Roman" w:cs="Times New Roman"/>
              </w:rPr>
              <w:t>0.46</w:t>
            </w:r>
          </w:p>
        </w:tc>
        <w:tc>
          <w:tcPr>
            <w:tcW w:w="537" w:type="pct"/>
            <w:vAlign w:val="center"/>
          </w:tcPr>
          <w:p>
            <w:pPr>
              <w:jc w:val="center"/>
              <w:rPr>
                <w:rFonts w:ascii="Times New Roman" w:hAnsi="Times New Roman" w:cs="Times New Roman"/>
              </w:rPr>
            </w:pPr>
            <w:r>
              <w:rPr>
                <w:rFonts w:ascii="Times New Roman" w:hAnsi="Times New Roman" w:cs="Times New Roman"/>
              </w:rPr>
              <w:t>1.86</w:t>
            </w:r>
          </w:p>
        </w:tc>
        <w:tc>
          <w:tcPr>
            <w:tcW w:w="728" w:type="pct"/>
            <w:vAlign w:val="center"/>
          </w:tcPr>
          <w:p>
            <w:pPr>
              <w:jc w:val="center"/>
              <w:rPr>
                <w:rFonts w:ascii="Times New Roman" w:hAnsi="Times New Roman" w:cs="Times New Roman"/>
              </w:rPr>
            </w:pPr>
            <w:r>
              <w:rPr>
                <w:rFonts w:ascii="Times New Roman" w:hAnsi="Times New Roman" w:cs="Times New Roman"/>
              </w:rPr>
              <w:t>9.82</w:t>
            </w:r>
          </w:p>
        </w:tc>
        <w:tc>
          <w:tcPr>
            <w:tcW w:w="522" w:type="pct"/>
            <w:vAlign w:val="center"/>
          </w:tcPr>
          <w:p>
            <w:pPr>
              <w:jc w:val="center"/>
              <w:rPr>
                <w:rFonts w:ascii="Times New Roman" w:hAnsi="Times New Roman" w:cs="Times New Roman"/>
              </w:rPr>
            </w:pPr>
            <w:r>
              <w:rPr>
                <w:rFonts w:ascii="Times New Roman" w:hAnsi="Times New Roman" w:cs="Times New Roman"/>
              </w:rPr>
              <w:t>0.32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CPI_US</w:t>
            </w:r>
          </w:p>
        </w:tc>
        <w:tc>
          <w:tcPr>
            <w:tcW w:w="483" w:type="pct"/>
            <w:vAlign w:val="center"/>
          </w:tcPr>
          <w:p>
            <w:pPr>
              <w:jc w:val="center"/>
              <w:rPr>
                <w:rFonts w:ascii="Times New Roman" w:hAnsi="Times New Roman" w:cs="Times New Roman"/>
              </w:rPr>
            </w:pPr>
            <w:r>
              <w:rPr>
                <w:rFonts w:ascii="Times New Roman" w:hAnsi="Times New Roman" w:cs="Times New Roman"/>
              </w:rPr>
              <w:t>1.80</w:t>
            </w:r>
          </w:p>
        </w:tc>
        <w:tc>
          <w:tcPr>
            <w:tcW w:w="608" w:type="pct"/>
            <w:vAlign w:val="center"/>
          </w:tcPr>
          <w:p>
            <w:pPr>
              <w:jc w:val="center"/>
              <w:rPr>
                <w:rFonts w:ascii="Times New Roman" w:hAnsi="Times New Roman" w:cs="Times New Roman"/>
              </w:rPr>
            </w:pPr>
            <w:r>
              <w:rPr>
                <w:rFonts w:ascii="Times New Roman" w:hAnsi="Times New Roman" w:cs="Times New Roman"/>
              </w:rPr>
              <w:t>0.89</w:t>
            </w:r>
          </w:p>
        </w:tc>
        <w:tc>
          <w:tcPr>
            <w:tcW w:w="615" w:type="pct"/>
            <w:vAlign w:val="center"/>
          </w:tcPr>
          <w:p>
            <w:pPr>
              <w:jc w:val="center"/>
              <w:rPr>
                <w:rFonts w:ascii="Times New Roman" w:hAnsi="Times New Roman" w:cs="Times New Roman"/>
              </w:rPr>
            </w:pPr>
            <w:r>
              <w:rPr>
                <w:rFonts w:ascii="Times New Roman" w:hAnsi="Times New Roman" w:cs="Times New Roman"/>
              </w:rPr>
              <w:t>0.48</w:t>
            </w:r>
          </w:p>
        </w:tc>
        <w:tc>
          <w:tcPr>
            <w:tcW w:w="537" w:type="pct"/>
            <w:vAlign w:val="center"/>
          </w:tcPr>
          <w:p>
            <w:pPr>
              <w:jc w:val="center"/>
              <w:rPr>
                <w:rFonts w:ascii="Times New Roman" w:hAnsi="Times New Roman" w:cs="Times New Roman"/>
              </w:rPr>
            </w:pPr>
            <w:r>
              <w:rPr>
                <w:rFonts w:ascii="Times New Roman" w:hAnsi="Times New Roman" w:cs="Times New Roman"/>
              </w:rPr>
              <w:t>1.88</w:t>
            </w:r>
          </w:p>
        </w:tc>
        <w:tc>
          <w:tcPr>
            <w:tcW w:w="728" w:type="pct"/>
            <w:vAlign w:val="center"/>
          </w:tcPr>
          <w:p>
            <w:pPr>
              <w:jc w:val="center"/>
              <w:rPr>
                <w:rFonts w:ascii="Times New Roman" w:hAnsi="Times New Roman" w:cs="Times New Roman"/>
              </w:rPr>
            </w:pPr>
            <w:r>
              <w:rPr>
                <w:rFonts w:ascii="Times New Roman" w:hAnsi="Times New Roman" w:cs="Times New Roman"/>
              </w:rPr>
              <w:t>9.94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IVA</w:t>
            </w:r>
          </w:p>
        </w:tc>
        <w:tc>
          <w:tcPr>
            <w:tcW w:w="483" w:type="pct"/>
            <w:vAlign w:val="center"/>
          </w:tcPr>
          <w:p>
            <w:pPr>
              <w:jc w:val="center"/>
              <w:rPr>
                <w:rFonts w:ascii="Times New Roman" w:hAnsi="Times New Roman" w:cs="Times New Roman"/>
              </w:rPr>
            </w:pPr>
            <w:r>
              <w:rPr>
                <w:rFonts w:ascii="Times New Roman" w:hAnsi="Times New Roman" w:cs="Times New Roman"/>
              </w:rPr>
              <w:t>7.93</w:t>
            </w:r>
          </w:p>
        </w:tc>
        <w:tc>
          <w:tcPr>
            <w:tcW w:w="608" w:type="pct"/>
            <w:vAlign w:val="center"/>
          </w:tcPr>
          <w:p>
            <w:pPr>
              <w:jc w:val="center"/>
              <w:rPr>
                <w:rFonts w:ascii="Times New Roman" w:hAnsi="Times New Roman" w:cs="Times New Roman"/>
              </w:rPr>
            </w:pPr>
            <w:r>
              <w:rPr>
                <w:rFonts w:ascii="Times New Roman" w:hAnsi="Times New Roman" w:cs="Times New Roman"/>
              </w:rPr>
              <w:t>3.61</w:t>
            </w:r>
          </w:p>
        </w:tc>
        <w:tc>
          <w:tcPr>
            <w:tcW w:w="615" w:type="pct"/>
            <w:vAlign w:val="center"/>
          </w:tcPr>
          <w:p>
            <w:pPr>
              <w:jc w:val="center"/>
              <w:rPr>
                <w:rFonts w:ascii="Times New Roman" w:hAnsi="Times New Roman" w:cs="Times New Roman"/>
              </w:rPr>
            </w:pPr>
            <w:r>
              <w:rPr>
                <w:rFonts w:ascii="Times New Roman" w:hAnsi="Times New Roman" w:cs="Times New Roman"/>
              </w:rPr>
              <w:t>0.17</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6.62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PPI</w:t>
            </w:r>
          </w:p>
        </w:tc>
        <w:tc>
          <w:tcPr>
            <w:tcW w:w="483" w:type="pct"/>
            <w:vAlign w:val="center"/>
          </w:tcPr>
          <w:p>
            <w:pPr>
              <w:jc w:val="center"/>
              <w:rPr>
                <w:rFonts w:ascii="Times New Roman" w:hAnsi="Times New Roman" w:cs="Times New Roman"/>
              </w:rPr>
            </w:pPr>
            <w:r>
              <w:rPr>
                <w:rFonts w:ascii="Times New Roman" w:hAnsi="Times New Roman" w:cs="Times New Roman"/>
              </w:rPr>
              <w:t>0.39</w:t>
            </w:r>
          </w:p>
        </w:tc>
        <w:tc>
          <w:tcPr>
            <w:tcW w:w="608" w:type="pct"/>
            <w:vAlign w:val="center"/>
          </w:tcPr>
          <w:p>
            <w:pPr>
              <w:jc w:val="center"/>
              <w:rPr>
                <w:rFonts w:ascii="Times New Roman" w:hAnsi="Times New Roman" w:cs="Times New Roman"/>
              </w:rPr>
            </w:pPr>
            <w:r>
              <w:rPr>
                <w:rFonts w:ascii="Times New Roman" w:hAnsi="Times New Roman" w:cs="Times New Roman"/>
              </w:rPr>
              <w:t>4.02</w:t>
            </w:r>
          </w:p>
        </w:tc>
        <w:tc>
          <w:tcPr>
            <w:tcW w:w="615" w:type="pct"/>
            <w:vAlign w:val="center"/>
          </w:tcPr>
          <w:p>
            <w:pPr>
              <w:jc w:val="center"/>
              <w:rPr>
                <w:rFonts w:ascii="Times New Roman" w:hAnsi="Times New Roman" w:cs="Times New Roman"/>
              </w:rPr>
            </w:pPr>
            <w:r>
              <w:rPr>
                <w:rFonts w:ascii="Times New Roman" w:hAnsi="Times New Roman" w:cs="Times New Roman"/>
              </w:rPr>
              <w:t>0.76</w:t>
            </w:r>
          </w:p>
        </w:tc>
        <w:tc>
          <w:tcPr>
            <w:tcW w:w="537" w:type="pct"/>
            <w:vAlign w:val="center"/>
          </w:tcPr>
          <w:p>
            <w:pPr>
              <w:jc w:val="center"/>
              <w:rPr>
                <w:rFonts w:ascii="Times New Roman" w:hAnsi="Times New Roman" w:cs="Times New Roman"/>
              </w:rPr>
            </w:pPr>
            <w:r>
              <w:rPr>
                <w:rFonts w:ascii="Times New Roman" w:hAnsi="Times New Roman" w:cs="Times New Roman"/>
              </w:rPr>
              <w:t>2.58</w:t>
            </w:r>
          </w:p>
        </w:tc>
        <w:tc>
          <w:tcPr>
            <w:tcW w:w="728" w:type="pct"/>
            <w:vAlign w:val="center"/>
          </w:tcPr>
          <w:p>
            <w:pPr>
              <w:jc w:val="center"/>
              <w:rPr>
                <w:rFonts w:ascii="Times New Roman" w:hAnsi="Times New Roman" w:cs="Times New Roman"/>
              </w:rPr>
            </w:pPr>
            <w:r>
              <w:rPr>
                <w:rFonts w:ascii="Times New Roman" w:hAnsi="Times New Roman" w:cs="Times New Roman"/>
              </w:rPr>
              <w:t>11.29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PMI</w:t>
            </w:r>
          </w:p>
        </w:tc>
        <w:tc>
          <w:tcPr>
            <w:tcW w:w="483" w:type="pct"/>
            <w:vAlign w:val="center"/>
          </w:tcPr>
          <w:p>
            <w:pPr>
              <w:jc w:val="center"/>
              <w:rPr>
                <w:rFonts w:ascii="Times New Roman" w:hAnsi="Times New Roman" w:cs="Times New Roman"/>
              </w:rPr>
            </w:pPr>
            <w:r>
              <w:rPr>
                <w:rFonts w:ascii="Times New Roman" w:hAnsi="Times New Roman" w:cs="Times New Roman"/>
              </w:rPr>
              <w:t>50.67</w:t>
            </w:r>
          </w:p>
        </w:tc>
        <w:tc>
          <w:tcPr>
            <w:tcW w:w="608" w:type="pct"/>
            <w:vAlign w:val="center"/>
          </w:tcPr>
          <w:p>
            <w:pPr>
              <w:jc w:val="center"/>
              <w:rPr>
                <w:rFonts w:ascii="Times New Roman" w:hAnsi="Times New Roman" w:cs="Times New Roman"/>
              </w:rPr>
            </w:pPr>
            <w:r>
              <w:rPr>
                <w:rFonts w:ascii="Times New Roman" w:hAnsi="Times New Roman" w:cs="Times New Roman"/>
              </w:rPr>
              <w:t>0.93</w:t>
            </w:r>
          </w:p>
        </w:tc>
        <w:tc>
          <w:tcPr>
            <w:tcW w:w="615" w:type="pct"/>
            <w:vAlign w:val="center"/>
          </w:tcPr>
          <w:p>
            <w:pPr>
              <w:jc w:val="center"/>
              <w:rPr>
                <w:rFonts w:ascii="Times New Roman" w:hAnsi="Times New Roman" w:cs="Times New Roman"/>
              </w:rPr>
            </w:pPr>
            <w:r>
              <w:rPr>
                <w:rFonts w:ascii="Times New Roman" w:hAnsi="Times New Roman" w:cs="Times New Roman"/>
              </w:rPr>
              <w:t>0.42</w:t>
            </w:r>
          </w:p>
        </w:tc>
        <w:tc>
          <w:tcPr>
            <w:tcW w:w="537" w:type="pct"/>
            <w:vAlign w:val="center"/>
          </w:tcPr>
          <w:p>
            <w:pPr>
              <w:jc w:val="center"/>
              <w:rPr>
                <w:rFonts w:ascii="Times New Roman" w:hAnsi="Times New Roman" w:cs="Times New Roman"/>
              </w:rPr>
            </w:pPr>
            <w:r>
              <w:rPr>
                <w:rFonts w:ascii="Times New Roman" w:hAnsi="Times New Roman" w:cs="Times New Roman"/>
              </w:rPr>
              <w:t>1.90</w:t>
            </w:r>
          </w:p>
        </w:tc>
        <w:tc>
          <w:tcPr>
            <w:tcW w:w="728" w:type="pct"/>
            <w:vAlign w:val="center"/>
          </w:tcPr>
          <w:p>
            <w:pPr>
              <w:jc w:val="center"/>
              <w:rPr>
                <w:rFonts w:ascii="Times New Roman" w:hAnsi="Times New Roman" w:cs="Times New Roman"/>
              </w:rPr>
            </w:pPr>
            <w:r>
              <w:rPr>
                <w:rFonts w:ascii="Times New Roman" w:hAnsi="Times New Roman" w:cs="Times New Roman"/>
              </w:rPr>
              <w:t>8.68</w:t>
            </w:r>
          </w:p>
        </w:tc>
        <w:tc>
          <w:tcPr>
            <w:tcW w:w="522" w:type="pct"/>
            <w:vAlign w:val="center"/>
          </w:tcPr>
          <w:p>
            <w:pPr>
              <w:jc w:val="center"/>
              <w:rPr>
                <w:rFonts w:ascii="Times New Roman" w:hAnsi="Times New Roman" w:cs="Times New Roman"/>
              </w:rPr>
            </w:pPr>
            <w:r>
              <w:rPr>
                <w:rFonts w:ascii="Times New Roman" w:hAnsi="Times New Roman" w:cs="Times New Roman"/>
              </w:rPr>
              <w:t>0.82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DXY</w:t>
            </w:r>
          </w:p>
        </w:tc>
        <w:tc>
          <w:tcPr>
            <w:tcW w:w="483" w:type="pct"/>
            <w:vAlign w:val="center"/>
          </w:tcPr>
          <w:p>
            <w:pPr>
              <w:jc w:val="center"/>
              <w:rPr>
                <w:rFonts w:ascii="Times New Roman" w:hAnsi="Times New Roman" w:cs="Times New Roman"/>
              </w:rPr>
            </w:pPr>
            <w:r>
              <w:rPr>
                <w:rFonts w:ascii="Times New Roman" w:hAnsi="Times New Roman" w:cs="Times New Roman"/>
              </w:rPr>
              <w:t>89.17</w:t>
            </w:r>
          </w:p>
        </w:tc>
        <w:tc>
          <w:tcPr>
            <w:tcW w:w="608" w:type="pct"/>
            <w:vAlign w:val="center"/>
          </w:tcPr>
          <w:p>
            <w:pPr>
              <w:jc w:val="center"/>
              <w:rPr>
                <w:rFonts w:ascii="Times New Roman" w:hAnsi="Times New Roman" w:cs="Times New Roman"/>
              </w:rPr>
            </w:pPr>
            <w:r>
              <w:rPr>
                <w:rFonts w:ascii="Times New Roman" w:hAnsi="Times New Roman" w:cs="Times New Roman"/>
              </w:rPr>
              <w:t>8.42</w:t>
            </w:r>
          </w:p>
        </w:tc>
        <w:tc>
          <w:tcPr>
            <w:tcW w:w="615" w:type="pct"/>
            <w:vAlign w:val="center"/>
          </w:tcPr>
          <w:p>
            <w:pPr>
              <w:jc w:val="center"/>
              <w:rPr>
                <w:rFonts w:ascii="Times New Roman" w:hAnsi="Times New Roman" w:cs="Times New Roman"/>
              </w:rPr>
            </w:pPr>
            <w:r>
              <w:rPr>
                <w:rFonts w:ascii="Times New Roman" w:hAnsi="Times New Roman" w:cs="Times New Roman"/>
              </w:rPr>
              <w:t>-0.27</w:t>
            </w:r>
          </w:p>
        </w:tc>
        <w:tc>
          <w:tcPr>
            <w:tcW w:w="537" w:type="pct"/>
            <w:vAlign w:val="center"/>
          </w:tcPr>
          <w:p>
            <w:pPr>
              <w:jc w:val="center"/>
              <w:rPr>
                <w:rFonts w:ascii="Times New Roman" w:hAnsi="Times New Roman" w:cs="Times New Roman"/>
              </w:rPr>
            </w:pPr>
            <w:r>
              <w:rPr>
                <w:rFonts w:ascii="Times New Roman" w:hAnsi="Times New Roman" w:cs="Times New Roman"/>
              </w:rPr>
              <w:t>2.55</w:t>
            </w:r>
          </w:p>
        </w:tc>
        <w:tc>
          <w:tcPr>
            <w:tcW w:w="728" w:type="pct"/>
            <w:vAlign w:val="center"/>
          </w:tcPr>
          <w:p>
            <w:pPr>
              <w:jc w:val="center"/>
              <w:rPr>
                <w:rFonts w:ascii="Times New Roman" w:hAnsi="Times New Roman" w:cs="Times New Roman"/>
              </w:rPr>
            </w:pPr>
            <w:r>
              <w:rPr>
                <w:rFonts w:ascii="Times New Roman" w:hAnsi="Times New Roman" w:cs="Times New Roman"/>
              </w:rPr>
              <w:t>2.25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WTI</w:t>
            </w:r>
          </w:p>
        </w:tc>
        <w:tc>
          <w:tcPr>
            <w:tcW w:w="483" w:type="pct"/>
            <w:vAlign w:val="center"/>
          </w:tcPr>
          <w:p>
            <w:pPr>
              <w:jc w:val="center"/>
              <w:rPr>
                <w:rFonts w:ascii="Times New Roman" w:hAnsi="Times New Roman" w:cs="Times New Roman"/>
              </w:rPr>
            </w:pPr>
            <w:r>
              <w:rPr>
                <w:rFonts w:ascii="Times New Roman" w:hAnsi="Times New Roman" w:cs="Times New Roman"/>
              </w:rPr>
              <w:t>71.55</w:t>
            </w:r>
          </w:p>
        </w:tc>
        <w:tc>
          <w:tcPr>
            <w:tcW w:w="608" w:type="pct"/>
            <w:vAlign w:val="center"/>
          </w:tcPr>
          <w:p>
            <w:pPr>
              <w:jc w:val="center"/>
              <w:rPr>
                <w:rFonts w:ascii="Times New Roman" w:hAnsi="Times New Roman" w:cs="Times New Roman"/>
              </w:rPr>
            </w:pPr>
            <w:r>
              <w:rPr>
                <w:rFonts w:ascii="Times New Roman" w:hAnsi="Times New Roman" w:cs="Times New Roman"/>
              </w:rPr>
              <w:t>22.82</w:t>
            </w:r>
          </w:p>
        </w:tc>
        <w:tc>
          <w:tcPr>
            <w:tcW w:w="615" w:type="pct"/>
            <w:vAlign w:val="center"/>
          </w:tcPr>
          <w:p>
            <w:pPr>
              <w:jc w:val="center"/>
              <w:rPr>
                <w:rFonts w:ascii="Times New Roman" w:hAnsi="Times New Roman" w:cs="Times New Roman"/>
              </w:rPr>
            </w:pPr>
            <w:r>
              <w:rPr>
                <w:rFonts w:ascii="Times New Roman" w:hAnsi="Times New Roman" w:cs="Times New Roman"/>
              </w:rPr>
              <w:t>0.01</w:t>
            </w:r>
          </w:p>
        </w:tc>
        <w:tc>
          <w:tcPr>
            <w:tcW w:w="537" w:type="pct"/>
            <w:vAlign w:val="center"/>
          </w:tcPr>
          <w:p>
            <w:pPr>
              <w:jc w:val="center"/>
              <w:rPr>
                <w:rFonts w:ascii="Times New Roman" w:hAnsi="Times New Roman" w:cs="Times New Roman"/>
              </w:rPr>
            </w:pPr>
            <w:r>
              <w:rPr>
                <w:rFonts w:ascii="Times New Roman" w:hAnsi="Times New Roman" w:cs="Times New Roman"/>
              </w:rPr>
              <w:t>2.46</w:t>
            </w:r>
          </w:p>
        </w:tc>
        <w:tc>
          <w:tcPr>
            <w:tcW w:w="728" w:type="pct"/>
            <w:vAlign w:val="center"/>
          </w:tcPr>
          <w:p>
            <w:pPr>
              <w:jc w:val="center"/>
              <w:rPr>
                <w:rFonts w:ascii="Times New Roman" w:hAnsi="Times New Roman" w:cs="Times New Roman"/>
              </w:rPr>
            </w:pPr>
            <w:r>
              <w:rPr>
                <w:rFonts w:ascii="Times New Roman" w:hAnsi="Times New Roman" w:cs="Times New Roman"/>
              </w:rPr>
              <w:t>1.28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COMEX</w:t>
            </w:r>
          </w:p>
        </w:tc>
        <w:tc>
          <w:tcPr>
            <w:tcW w:w="483" w:type="pct"/>
            <w:vAlign w:val="center"/>
          </w:tcPr>
          <w:p>
            <w:pPr>
              <w:jc w:val="center"/>
              <w:rPr>
                <w:rFonts w:ascii="Times New Roman" w:hAnsi="Times New Roman" w:cs="Times New Roman"/>
              </w:rPr>
            </w:pPr>
            <w:r>
              <w:rPr>
                <w:rFonts w:ascii="Times New Roman" w:hAnsi="Times New Roman" w:cs="Times New Roman"/>
              </w:rPr>
              <w:t>7.21</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0.40</w:t>
            </w:r>
          </w:p>
        </w:tc>
        <w:tc>
          <w:tcPr>
            <w:tcW w:w="537" w:type="pct"/>
            <w:vAlign w:val="center"/>
          </w:tcPr>
          <w:p>
            <w:pPr>
              <w:jc w:val="center"/>
              <w:rPr>
                <w:rFonts w:ascii="Times New Roman" w:hAnsi="Times New Roman" w:cs="Times New Roman"/>
              </w:rPr>
            </w:pPr>
            <w:r>
              <w:rPr>
                <w:rFonts w:ascii="Times New Roman" w:hAnsi="Times New Roman" w:cs="Times New Roman"/>
              </w:rPr>
              <w:t>2.02</w:t>
            </w:r>
          </w:p>
        </w:tc>
        <w:tc>
          <w:tcPr>
            <w:tcW w:w="728" w:type="pct"/>
            <w:vAlign w:val="center"/>
          </w:tcPr>
          <w:p>
            <w:pPr>
              <w:jc w:val="center"/>
              <w:rPr>
                <w:rFonts w:ascii="Times New Roman" w:hAnsi="Times New Roman" w:cs="Times New Roman"/>
              </w:rPr>
            </w:pPr>
            <w:r>
              <w:rPr>
                <w:rFonts w:ascii="Times New Roman" w:hAnsi="Times New Roman" w:cs="Times New Roman"/>
              </w:rPr>
              <w:t>7.21</w:t>
            </w:r>
          </w:p>
        </w:tc>
        <w:tc>
          <w:tcPr>
            <w:tcW w:w="522" w:type="pct"/>
            <w:vAlign w:val="center"/>
          </w:tcPr>
          <w:p>
            <w:pPr>
              <w:jc w:val="center"/>
              <w:rPr>
                <w:rFonts w:ascii="Times New Roman" w:hAnsi="Times New Roman" w:cs="Times New Roman"/>
              </w:rPr>
            </w:pPr>
            <w:r>
              <w:rPr>
                <w:rFonts w:ascii="Times New Roman" w:hAnsi="Times New Roman" w:cs="Times New Roman"/>
              </w:rPr>
              <w:t>0.46</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DJIA</w:t>
            </w:r>
          </w:p>
        </w:tc>
        <w:tc>
          <w:tcPr>
            <w:tcW w:w="483" w:type="pct"/>
            <w:vAlign w:val="center"/>
          </w:tcPr>
          <w:p>
            <w:pPr>
              <w:jc w:val="center"/>
              <w:rPr>
                <w:rFonts w:ascii="Times New Roman" w:hAnsi="Times New Roman" w:cs="Times New Roman"/>
              </w:rPr>
            </w:pPr>
            <w:r>
              <w:rPr>
                <w:rFonts w:ascii="Times New Roman" w:hAnsi="Times New Roman" w:cs="Times New Roman"/>
              </w:rPr>
              <w:t>9.78</w:t>
            </w:r>
          </w:p>
        </w:tc>
        <w:tc>
          <w:tcPr>
            <w:tcW w:w="608" w:type="pct"/>
            <w:vAlign w:val="center"/>
          </w:tcPr>
          <w:p>
            <w:pPr>
              <w:jc w:val="center"/>
              <w:rPr>
                <w:rFonts w:ascii="Times New Roman" w:hAnsi="Times New Roman" w:cs="Times New Roman"/>
              </w:rPr>
            </w:pPr>
            <w:r>
              <w:rPr>
                <w:rFonts w:ascii="Times New Roman" w:hAnsi="Times New Roman" w:cs="Times New Roman"/>
              </w:rPr>
              <w:t>0.27</w:t>
            </w:r>
          </w:p>
        </w:tc>
        <w:tc>
          <w:tcPr>
            <w:tcW w:w="615" w:type="pct"/>
            <w:vAlign w:val="center"/>
          </w:tcPr>
          <w:p>
            <w:pPr>
              <w:jc w:val="center"/>
              <w:rPr>
                <w:rFonts w:ascii="Times New Roman" w:hAnsi="Times New Roman" w:cs="Times New Roman"/>
              </w:rPr>
            </w:pPr>
            <w:r>
              <w:rPr>
                <w:rFonts w:ascii="Times New Roman" w:hAnsi="Times New Roman" w:cs="Times New Roman"/>
              </w:rPr>
              <w:t>-0.16</w:t>
            </w:r>
          </w:p>
        </w:tc>
        <w:tc>
          <w:tcPr>
            <w:tcW w:w="537" w:type="pct"/>
            <w:vAlign w:val="center"/>
          </w:tcPr>
          <w:p>
            <w:pPr>
              <w:jc w:val="center"/>
              <w:rPr>
                <w:rFonts w:ascii="Times New Roman" w:hAnsi="Times New Roman" w:cs="Times New Roman"/>
              </w:rPr>
            </w:pPr>
            <w:r>
              <w:rPr>
                <w:rFonts w:ascii="Times New Roman" w:hAnsi="Times New Roman" w:cs="Times New Roman"/>
              </w:rPr>
              <w:t>1.80</w:t>
            </w:r>
          </w:p>
        </w:tc>
        <w:tc>
          <w:tcPr>
            <w:tcW w:w="728" w:type="pct"/>
            <w:vAlign w:val="center"/>
          </w:tcPr>
          <w:p>
            <w:pPr>
              <w:jc w:val="center"/>
              <w:rPr>
                <w:rFonts w:ascii="Times New Roman" w:hAnsi="Times New Roman" w:cs="Times New Roman"/>
              </w:rPr>
            </w:pPr>
            <w:r>
              <w:rPr>
                <w:rFonts w:ascii="Times New Roman" w:hAnsi="Times New Roman" w:cs="Times New Roman"/>
              </w:rPr>
              <w:t>6.94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NASDAQ</w:t>
            </w:r>
          </w:p>
        </w:tc>
        <w:tc>
          <w:tcPr>
            <w:tcW w:w="483" w:type="pct"/>
            <w:vAlign w:val="center"/>
          </w:tcPr>
          <w:p>
            <w:pPr>
              <w:jc w:val="center"/>
              <w:rPr>
                <w:rFonts w:ascii="Times New Roman" w:hAnsi="Times New Roman" w:cs="Times New Roman"/>
              </w:rPr>
            </w:pPr>
            <w:r>
              <w:rPr>
                <w:rFonts w:ascii="Times New Roman" w:hAnsi="Times New Roman" w:cs="Times New Roman"/>
              </w:rPr>
              <w:t>8.46</w:t>
            </w:r>
          </w:p>
        </w:tc>
        <w:tc>
          <w:tcPr>
            <w:tcW w:w="608" w:type="pct"/>
            <w:vAlign w:val="center"/>
          </w:tcPr>
          <w:p>
            <w:pPr>
              <w:jc w:val="center"/>
              <w:rPr>
                <w:rFonts w:ascii="Times New Roman" w:hAnsi="Times New Roman" w:cs="Times New Roman"/>
              </w:rPr>
            </w:pPr>
            <w:r>
              <w:rPr>
                <w:rFonts w:ascii="Times New Roman" w:hAnsi="Times New Roman" w:cs="Times New Roman"/>
              </w:rPr>
              <w:t>0.37</w:t>
            </w:r>
          </w:p>
        </w:tc>
        <w:tc>
          <w:tcPr>
            <w:tcW w:w="615" w:type="pct"/>
            <w:vAlign w:val="center"/>
          </w:tcPr>
          <w:p>
            <w:pPr>
              <w:jc w:val="center"/>
              <w:rPr>
                <w:rFonts w:ascii="Times New Roman" w:hAnsi="Times New Roman" w:cs="Times New Roman"/>
              </w:rPr>
            </w:pPr>
            <w:r>
              <w:rPr>
                <w:rFonts w:ascii="Times New Roman" w:hAnsi="Times New Roman" w:cs="Times New Roman"/>
              </w:rPr>
              <w:t>-0.19</w:t>
            </w:r>
          </w:p>
        </w:tc>
        <w:tc>
          <w:tcPr>
            <w:tcW w:w="537" w:type="pct"/>
            <w:vAlign w:val="center"/>
          </w:tcPr>
          <w:p>
            <w:pPr>
              <w:jc w:val="center"/>
              <w:rPr>
                <w:rFonts w:ascii="Times New Roman" w:hAnsi="Times New Roman" w:cs="Times New Roman"/>
              </w:rPr>
            </w:pPr>
            <w:r>
              <w:rPr>
                <w:rFonts w:ascii="Times New Roman" w:hAnsi="Times New Roman" w:cs="Times New Roman"/>
              </w:rPr>
              <w:t>1.83</w:t>
            </w:r>
          </w:p>
        </w:tc>
        <w:tc>
          <w:tcPr>
            <w:tcW w:w="728" w:type="pct"/>
            <w:vAlign w:val="center"/>
          </w:tcPr>
          <w:p>
            <w:pPr>
              <w:jc w:val="center"/>
              <w:rPr>
                <w:rFonts w:ascii="Times New Roman" w:hAnsi="Times New Roman" w:cs="Times New Roman"/>
              </w:rPr>
            </w:pPr>
            <w:r>
              <w:rPr>
                <w:rFonts w:ascii="Times New Roman" w:hAnsi="Times New Roman" w:cs="Times New Roman"/>
              </w:rPr>
              <w:t>6.82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AM2</w:t>
            </w:r>
          </w:p>
        </w:tc>
        <w:tc>
          <w:tcPr>
            <w:tcW w:w="483" w:type="pct"/>
            <w:vAlign w:val="center"/>
          </w:tcPr>
          <w:p>
            <w:pPr>
              <w:jc w:val="center"/>
              <w:rPr>
                <w:rFonts w:ascii="Times New Roman" w:hAnsi="Times New Roman" w:cs="Times New Roman"/>
              </w:rPr>
            </w:pPr>
            <w:r>
              <w:rPr>
                <w:rFonts w:ascii="Times New Roman" w:hAnsi="Times New Roman" w:cs="Times New Roman"/>
              </w:rPr>
              <w:t>9.39</w:t>
            </w:r>
          </w:p>
        </w:tc>
        <w:tc>
          <w:tcPr>
            <w:tcW w:w="608" w:type="pct"/>
            <w:vAlign w:val="center"/>
          </w:tcPr>
          <w:p>
            <w:pPr>
              <w:jc w:val="center"/>
              <w:rPr>
                <w:rFonts w:ascii="Times New Roman" w:hAnsi="Times New Roman" w:cs="Times New Roman"/>
              </w:rPr>
            </w:pPr>
            <w:r>
              <w:rPr>
                <w:rFonts w:ascii="Times New Roman" w:hAnsi="Times New Roman" w:cs="Times New Roman"/>
              </w:rPr>
              <w:t>0.15</w:t>
            </w:r>
          </w:p>
        </w:tc>
        <w:tc>
          <w:tcPr>
            <w:tcW w:w="615" w:type="pct"/>
            <w:vAlign w:val="center"/>
          </w:tcPr>
          <w:p>
            <w:pPr>
              <w:jc w:val="center"/>
              <w:rPr>
                <w:rFonts w:ascii="Times New Roman" w:hAnsi="Times New Roman" w:cs="Times New Roman"/>
              </w:rPr>
            </w:pPr>
            <w:r>
              <w:rPr>
                <w:rFonts w:ascii="Times New Roman" w:hAnsi="Times New Roman" w:cs="Times New Roman"/>
              </w:rPr>
              <w:t>0.04</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4.61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S&amp;P</w:t>
            </w:r>
          </w:p>
        </w:tc>
        <w:tc>
          <w:tcPr>
            <w:tcW w:w="483" w:type="pct"/>
            <w:vAlign w:val="center"/>
          </w:tcPr>
          <w:p>
            <w:pPr>
              <w:jc w:val="center"/>
              <w:rPr>
                <w:rFonts w:ascii="Times New Roman" w:hAnsi="Times New Roman" w:cs="Times New Roman"/>
              </w:rPr>
            </w:pPr>
            <w:r>
              <w:rPr>
                <w:rFonts w:ascii="Times New Roman" w:hAnsi="Times New Roman" w:cs="Times New Roman"/>
              </w:rPr>
              <w:t>7.59</w:t>
            </w:r>
          </w:p>
        </w:tc>
        <w:tc>
          <w:tcPr>
            <w:tcW w:w="608" w:type="pct"/>
            <w:vAlign w:val="center"/>
          </w:tcPr>
          <w:p>
            <w:pPr>
              <w:jc w:val="center"/>
              <w:rPr>
                <w:rFonts w:ascii="Times New Roman" w:hAnsi="Times New Roman" w:cs="Times New Roman"/>
              </w:rPr>
            </w:pPr>
            <w:r>
              <w:rPr>
                <w:rFonts w:ascii="Times New Roman" w:hAnsi="Times New Roman" w:cs="Times New Roman"/>
              </w:rPr>
              <w:t>0.28</w:t>
            </w:r>
          </w:p>
        </w:tc>
        <w:tc>
          <w:tcPr>
            <w:tcW w:w="615" w:type="pct"/>
            <w:vAlign w:val="center"/>
          </w:tcPr>
          <w:p>
            <w:pPr>
              <w:jc w:val="center"/>
              <w:rPr>
                <w:rFonts w:ascii="Times New Roman" w:hAnsi="Times New Roman" w:cs="Times New Roman"/>
              </w:rPr>
            </w:pPr>
            <w:r>
              <w:rPr>
                <w:rFonts w:ascii="Times New Roman" w:hAnsi="Times New Roman" w:cs="Times New Roman"/>
              </w:rPr>
              <w:t>-0.20</w:t>
            </w:r>
          </w:p>
        </w:tc>
        <w:tc>
          <w:tcPr>
            <w:tcW w:w="537" w:type="pct"/>
            <w:vAlign w:val="center"/>
          </w:tcPr>
          <w:p>
            <w:pPr>
              <w:jc w:val="center"/>
              <w:rPr>
                <w:rFonts w:ascii="Times New Roman" w:hAnsi="Times New Roman" w:cs="Times New Roman"/>
              </w:rPr>
            </w:pPr>
            <w:r>
              <w:rPr>
                <w:rFonts w:ascii="Times New Roman" w:hAnsi="Times New Roman" w:cs="Times New Roman"/>
              </w:rPr>
              <w:t>1.78</w:t>
            </w:r>
          </w:p>
        </w:tc>
        <w:tc>
          <w:tcPr>
            <w:tcW w:w="728" w:type="pct"/>
            <w:vAlign w:val="center"/>
          </w:tcPr>
          <w:p>
            <w:pPr>
              <w:jc w:val="center"/>
              <w:rPr>
                <w:rFonts w:ascii="Times New Roman" w:hAnsi="Times New Roman" w:cs="Times New Roman"/>
              </w:rPr>
            </w:pPr>
            <w:r>
              <w:rPr>
                <w:rFonts w:ascii="Times New Roman" w:hAnsi="Times New Roman" w:cs="Times New Roman"/>
              </w:rPr>
              <w:t>7.43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VIX</w:t>
            </w:r>
          </w:p>
        </w:tc>
        <w:tc>
          <w:tcPr>
            <w:tcW w:w="483" w:type="pct"/>
            <w:vAlign w:val="center"/>
          </w:tcPr>
          <w:p>
            <w:pPr>
              <w:jc w:val="center"/>
              <w:rPr>
                <w:rFonts w:ascii="Times New Roman" w:hAnsi="Times New Roman" w:cs="Times New Roman"/>
              </w:rPr>
            </w:pPr>
            <w:r>
              <w:rPr>
                <w:rFonts w:ascii="Times New Roman" w:hAnsi="Times New Roman" w:cs="Times New Roman"/>
              </w:rPr>
              <w:t>16.20</w:t>
            </w:r>
          </w:p>
        </w:tc>
        <w:tc>
          <w:tcPr>
            <w:tcW w:w="608" w:type="pct"/>
            <w:vAlign w:val="center"/>
          </w:tcPr>
          <w:p>
            <w:pPr>
              <w:jc w:val="center"/>
              <w:rPr>
                <w:rFonts w:ascii="Times New Roman" w:hAnsi="Times New Roman" w:cs="Times New Roman"/>
              </w:rPr>
            </w:pPr>
            <w:r>
              <w:rPr>
                <w:rFonts w:ascii="Times New Roman" w:hAnsi="Times New Roman" w:cs="Times New Roman"/>
              </w:rPr>
              <w:t>4.82</w:t>
            </w:r>
          </w:p>
        </w:tc>
        <w:tc>
          <w:tcPr>
            <w:tcW w:w="615" w:type="pct"/>
            <w:vAlign w:val="center"/>
          </w:tcPr>
          <w:p>
            <w:pPr>
              <w:jc w:val="center"/>
              <w:rPr>
                <w:rFonts w:ascii="Times New Roman" w:hAnsi="Times New Roman" w:cs="Times New Roman"/>
              </w:rPr>
            </w:pPr>
            <w:r>
              <w:rPr>
                <w:rFonts w:ascii="Times New Roman" w:hAnsi="Times New Roman" w:cs="Times New Roman"/>
              </w:rPr>
              <w:t>0.35</w:t>
            </w:r>
          </w:p>
        </w:tc>
        <w:tc>
          <w:tcPr>
            <w:tcW w:w="537" w:type="pct"/>
            <w:vAlign w:val="center"/>
          </w:tcPr>
          <w:p>
            <w:pPr>
              <w:jc w:val="center"/>
              <w:rPr>
                <w:rFonts w:ascii="Times New Roman" w:hAnsi="Times New Roman" w:cs="Times New Roman"/>
              </w:rPr>
            </w:pPr>
            <w:r>
              <w:rPr>
                <w:rFonts w:ascii="Times New Roman" w:hAnsi="Times New Roman" w:cs="Times New Roman"/>
              </w:rPr>
              <w:t>1.97</w:t>
            </w:r>
          </w:p>
        </w:tc>
        <w:tc>
          <w:tcPr>
            <w:tcW w:w="728" w:type="pct"/>
            <w:vAlign w:val="center"/>
          </w:tcPr>
          <w:p>
            <w:pPr>
              <w:jc w:val="center"/>
              <w:rPr>
                <w:rFonts w:ascii="Times New Roman" w:hAnsi="Times New Roman" w:cs="Times New Roman"/>
              </w:rPr>
            </w:pPr>
            <w:r>
              <w:rPr>
                <w:rFonts w:ascii="Times New Roman" w:hAnsi="Times New Roman" w:cs="Times New Roman"/>
              </w:rPr>
              <w:t>7.04</w:t>
            </w:r>
          </w:p>
        </w:tc>
        <w:tc>
          <w:tcPr>
            <w:tcW w:w="522" w:type="pct"/>
            <w:vAlign w:val="center"/>
          </w:tcPr>
          <w:p>
            <w:pPr>
              <w:jc w:val="center"/>
              <w:rPr>
                <w:rFonts w:ascii="Times New Roman" w:hAnsi="Times New Roman" w:cs="Times New Roman"/>
              </w:rPr>
            </w:pPr>
            <w:r>
              <w:rPr>
                <w:rFonts w:ascii="Times New Roman" w:hAnsi="Times New Roman" w:cs="Times New Roman"/>
              </w:rPr>
              <w:t>0.21</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MCSI</w:t>
            </w:r>
          </w:p>
        </w:tc>
        <w:tc>
          <w:tcPr>
            <w:tcW w:w="483" w:type="pct"/>
            <w:vAlign w:val="center"/>
          </w:tcPr>
          <w:p>
            <w:pPr>
              <w:jc w:val="center"/>
              <w:rPr>
                <w:rFonts w:ascii="Times New Roman" w:hAnsi="Times New Roman" w:cs="Times New Roman"/>
              </w:rPr>
            </w:pPr>
            <w:r>
              <w:rPr>
                <w:rFonts w:ascii="Times New Roman" w:hAnsi="Times New Roman" w:cs="Times New Roman"/>
              </w:rPr>
              <w:t>87.13</w:t>
            </w:r>
          </w:p>
        </w:tc>
        <w:tc>
          <w:tcPr>
            <w:tcW w:w="608" w:type="pct"/>
            <w:vAlign w:val="center"/>
          </w:tcPr>
          <w:p>
            <w:pPr>
              <w:jc w:val="center"/>
              <w:rPr>
                <w:rFonts w:ascii="Times New Roman" w:hAnsi="Times New Roman" w:cs="Times New Roman"/>
              </w:rPr>
            </w:pPr>
            <w:r>
              <w:rPr>
                <w:rFonts w:ascii="Times New Roman" w:hAnsi="Times New Roman" w:cs="Times New Roman"/>
              </w:rPr>
              <w:t>10.83</w:t>
            </w:r>
          </w:p>
        </w:tc>
        <w:tc>
          <w:tcPr>
            <w:tcW w:w="615" w:type="pct"/>
            <w:vAlign w:val="center"/>
          </w:tcPr>
          <w:p>
            <w:pPr>
              <w:jc w:val="center"/>
              <w:rPr>
                <w:rFonts w:ascii="Times New Roman" w:hAnsi="Times New Roman" w:cs="Times New Roman"/>
              </w:rPr>
            </w:pPr>
            <w:r>
              <w:rPr>
                <w:rFonts w:ascii="Times New Roman" w:hAnsi="Times New Roman" w:cs="Times New Roman"/>
              </w:rPr>
              <w:t>-0.03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4.56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SZCOMP</w:t>
            </w:r>
          </w:p>
        </w:tc>
        <w:tc>
          <w:tcPr>
            <w:tcW w:w="483" w:type="pct"/>
            <w:vAlign w:val="center"/>
          </w:tcPr>
          <w:p>
            <w:pPr>
              <w:jc w:val="center"/>
              <w:rPr>
                <w:rFonts w:ascii="Times New Roman" w:hAnsi="Times New Roman" w:cs="Times New Roman"/>
              </w:rPr>
            </w:pPr>
            <w:r>
              <w:rPr>
                <w:rFonts w:ascii="Times New Roman" w:hAnsi="Times New Roman" w:cs="Times New Roman"/>
              </w:rPr>
              <w:t>9.19</w:t>
            </w:r>
          </w:p>
        </w:tc>
        <w:tc>
          <w:tcPr>
            <w:tcW w:w="608" w:type="pct"/>
            <w:vAlign w:val="center"/>
          </w:tcPr>
          <w:p>
            <w:pPr>
              <w:jc w:val="center"/>
              <w:rPr>
                <w:rFonts w:ascii="Times New Roman" w:hAnsi="Times New Roman" w:cs="Times New Roman"/>
              </w:rPr>
            </w:pPr>
            <w:r>
              <w:rPr>
                <w:rFonts w:ascii="Times New Roman" w:hAnsi="Times New Roman" w:cs="Times New Roman"/>
              </w:rPr>
              <w:t>0.17</w:t>
            </w:r>
          </w:p>
        </w:tc>
        <w:tc>
          <w:tcPr>
            <w:tcW w:w="615" w:type="pct"/>
            <w:vAlign w:val="center"/>
          </w:tcPr>
          <w:p>
            <w:pPr>
              <w:jc w:val="center"/>
              <w:rPr>
                <w:rFonts w:ascii="Times New Roman" w:hAnsi="Times New Roman" w:cs="Times New Roman"/>
              </w:rPr>
            </w:pPr>
            <w:r>
              <w:rPr>
                <w:rFonts w:ascii="Times New Roman" w:hAnsi="Times New Roman" w:cs="Times New Roman"/>
              </w:rPr>
              <w:t>0.47</w:t>
            </w:r>
          </w:p>
        </w:tc>
        <w:tc>
          <w:tcPr>
            <w:tcW w:w="537" w:type="pct"/>
            <w:vAlign w:val="center"/>
          </w:tcPr>
          <w:p>
            <w:pPr>
              <w:jc w:val="center"/>
              <w:rPr>
                <w:rFonts w:ascii="Times New Roman" w:hAnsi="Times New Roman" w:cs="Times New Roman"/>
              </w:rPr>
            </w:pPr>
            <w:r>
              <w:rPr>
                <w:rFonts w:ascii="Times New Roman" w:hAnsi="Times New Roman" w:cs="Times New Roman"/>
              </w:rPr>
              <w:t>1.98</w:t>
            </w:r>
          </w:p>
        </w:tc>
        <w:tc>
          <w:tcPr>
            <w:tcW w:w="728" w:type="pct"/>
            <w:vAlign w:val="center"/>
          </w:tcPr>
          <w:p>
            <w:pPr>
              <w:jc w:val="center"/>
              <w:rPr>
                <w:rFonts w:ascii="Times New Roman" w:hAnsi="Times New Roman" w:cs="Times New Roman"/>
              </w:rPr>
            </w:pPr>
            <w:r>
              <w:rPr>
                <w:rFonts w:ascii="Times New Roman" w:hAnsi="Times New Roman" w:cs="Times New Roman"/>
              </w:rPr>
              <w:t>8.77</w:t>
            </w:r>
          </w:p>
        </w:tc>
        <w:tc>
          <w:tcPr>
            <w:tcW w:w="522" w:type="pct"/>
            <w:vAlign w:val="center"/>
          </w:tcPr>
          <w:p>
            <w:pPr>
              <w:jc w:val="center"/>
              <w:rPr>
                <w:rFonts w:ascii="Times New Roman" w:hAnsi="Times New Roman" w:cs="Times New Roman"/>
              </w:rPr>
            </w:pPr>
            <w:r>
              <w:rPr>
                <w:rFonts w:ascii="Times New Roman" w:hAnsi="Times New Roman" w:cs="Times New Roman"/>
              </w:rPr>
              <w:t>0.53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SHCOMP</w:t>
            </w:r>
          </w:p>
        </w:tc>
        <w:tc>
          <w:tcPr>
            <w:tcW w:w="483" w:type="pct"/>
            <w:vAlign w:val="center"/>
          </w:tcPr>
          <w:p>
            <w:pPr>
              <w:jc w:val="center"/>
              <w:rPr>
                <w:rFonts w:ascii="Times New Roman" w:hAnsi="Times New Roman" w:cs="Times New Roman"/>
              </w:rPr>
            </w:pPr>
            <w:r>
              <w:rPr>
                <w:rFonts w:ascii="Times New Roman" w:hAnsi="Times New Roman" w:cs="Times New Roman"/>
              </w:rPr>
              <w:t>7.91</w:t>
            </w:r>
          </w:p>
        </w:tc>
        <w:tc>
          <w:tcPr>
            <w:tcW w:w="608" w:type="pct"/>
            <w:vAlign w:val="center"/>
          </w:tcPr>
          <w:p>
            <w:pPr>
              <w:jc w:val="center"/>
              <w:rPr>
                <w:rFonts w:ascii="Times New Roman" w:hAnsi="Times New Roman" w:cs="Times New Roman"/>
              </w:rPr>
            </w:pPr>
            <w:r>
              <w:rPr>
                <w:rFonts w:ascii="Times New Roman" w:hAnsi="Times New Roman" w:cs="Times New Roman"/>
              </w:rPr>
              <w:t>0.19</w:t>
            </w:r>
          </w:p>
        </w:tc>
        <w:tc>
          <w:tcPr>
            <w:tcW w:w="615" w:type="pct"/>
            <w:vAlign w:val="center"/>
          </w:tcPr>
          <w:p>
            <w:pPr>
              <w:jc w:val="center"/>
              <w:rPr>
                <w:rFonts w:ascii="Times New Roman" w:hAnsi="Times New Roman" w:cs="Times New Roman"/>
              </w:rPr>
            </w:pPr>
            <w:r>
              <w:rPr>
                <w:rFonts w:ascii="Times New Roman" w:hAnsi="Times New Roman" w:cs="Times New Roman"/>
              </w:rPr>
              <w:t>0.12</w:t>
            </w:r>
          </w:p>
        </w:tc>
        <w:tc>
          <w:tcPr>
            <w:tcW w:w="537" w:type="pct"/>
            <w:vAlign w:val="center"/>
          </w:tcPr>
          <w:p>
            <w:pPr>
              <w:jc w:val="center"/>
              <w:rPr>
                <w:rFonts w:ascii="Times New Roman" w:hAnsi="Times New Roman" w:cs="Times New Roman"/>
              </w:rPr>
            </w:pPr>
            <w:r>
              <w:rPr>
                <w:rFonts w:ascii="Times New Roman" w:hAnsi="Times New Roman" w:cs="Times New Roman"/>
              </w:rPr>
              <w:t>2.74</w:t>
            </w:r>
          </w:p>
        </w:tc>
        <w:tc>
          <w:tcPr>
            <w:tcW w:w="728" w:type="pct"/>
            <w:vAlign w:val="center"/>
          </w:tcPr>
          <w:p>
            <w:pPr>
              <w:jc w:val="center"/>
              <w:rPr>
                <w:rFonts w:ascii="Times New Roman" w:hAnsi="Times New Roman" w:cs="Times New Roman"/>
              </w:rPr>
            </w:pPr>
            <w:r>
              <w:rPr>
                <w:rFonts w:ascii="Times New Roman" w:hAnsi="Times New Roman" w:cs="Times New Roman"/>
              </w:rPr>
              <w:t>0.57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GEPU</w:t>
            </w:r>
          </w:p>
        </w:tc>
        <w:tc>
          <w:tcPr>
            <w:tcW w:w="483" w:type="pct"/>
            <w:vAlign w:val="center"/>
          </w:tcPr>
          <w:p>
            <w:pPr>
              <w:jc w:val="center"/>
              <w:rPr>
                <w:rFonts w:ascii="Times New Roman" w:hAnsi="Times New Roman" w:cs="Times New Roman"/>
              </w:rPr>
            </w:pPr>
            <w:r>
              <w:rPr>
                <w:rFonts w:ascii="Times New Roman" w:hAnsi="Times New Roman" w:cs="Times New Roman"/>
              </w:rPr>
              <w:t>5.03</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0.33</w:t>
            </w:r>
          </w:p>
        </w:tc>
        <w:tc>
          <w:tcPr>
            <w:tcW w:w="537" w:type="pct"/>
            <w:vAlign w:val="center"/>
          </w:tcPr>
          <w:p>
            <w:pPr>
              <w:jc w:val="center"/>
              <w:rPr>
                <w:rFonts w:ascii="Times New Roman" w:hAnsi="Times New Roman" w:cs="Times New Roman"/>
              </w:rPr>
            </w:pPr>
            <w:r>
              <w:rPr>
                <w:rFonts w:ascii="Times New Roman" w:hAnsi="Times New Roman" w:cs="Times New Roman"/>
              </w:rPr>
              <w:t>2.30</w:t>
            </w:r>
          </w:p>
        </w:tc>
        <w:tc>
          <w:tcPr>
            <w:tcW w:w="728" w:type="pct"/>
            <w:vAlign w:val="center"/>
          </w:tcPr>
          <w:p>
            <w:pPr>
              <w:jc w:val="center"/>
              <w:rPr>
                <w:rFonts w:ascii="Times New Roman" w:hAnsi="Times New Roman" w:cs="Times New Roman"/>
              </w:rPr>
            </w:pPr>
            <w:r>
              <w:rPr>
                <w:rFonts w:ascii="Times New Roman" w:hAnsi="Times New Roman" w:cs="Times New Roman"/>
              </w:rPr>
              <w:t>4.31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CEPU</w:t>
            </w:r>
          </w:p>
        </w:tc>
        <w:tc>
          <w:tcPr>
            <w:tcW w:w="483" w:type="pct"/>
            <w:vAlign w:val="center"/>
          </w:tcPr>
          <w:p>
            <w:pPr>
              <w:jc w:val="center"/>
              <w:rPr>
                <w:rFonts w:ascii="Times New Roman" w:hAnsi="Times New Roman" w:cs="Times New Roman"/>
              </w:rPr>
            </w:pPr>
            <w:r>
              <w:rPr>
                <w:rFonts w:ascii="Times New Roman" w:hAnsi="Times New Roman" w:cs="Times New Roman"/>
              </w:rPr>
              <w:t>5.47</w:t>
            </w:r>
          </w:p>
        </w:tc>
        <w:tc>
          <w:tcPr>
            <w:tcW w:w="608" w:type="pct"/>
            <w:vAlign w:val="center"/>
          </w:tcPr>
          <w:p>
            <w:pPr>
              <w:jc w:val="center"/>
              <w:rPr>
                <w:rFonts w:ascii="Times New Roman" w:hAnsi="Times New Roman" w:cs="Times New Roman"/>
              </w:rPr>
            </w:pPr>
            <w:r>
              <w:rPr>
                <w:rFonts w:ascii="Times New Roman" w:hAnsi="Times New Roman" w:cs="Times New Roman"/>
              </w:rPr>
              <w:t>0.78</w:t>
            </w:r>
          </w:p>
        </w:tc>
        <w:tc>
          <w:tcPr>
            <w:tcW w:w="615" w:type="pct"/>
            <w:vAlign w:val="center"/>
          </w:tcPr>
          <w:p>
            <w:pPr>
              <w:jc w:val="center"/>
              <w:rPr>
                <w:rFonts w:ascii="Times New Roman" w:hAnsi="Times New Roman" w:cs="Times New Roman"/>
              </w:rPr>
            </w:pPr>
            <w:r>
              <w:rPr>
                <w:rFonts w:ascii="Times New Roman" w:hAnsi="Times New Roman" w:cs="Times New Roman"/>
              </w:rPr>
              <w:t>0.63</w:t>
            </w:r>
          </w:p>
        </w:tc>
        <w:tc>
          <w:tcPr>
            <w:tcW w:w="537" w:type="pct"/>
            <w:vAlign w:val="center"/>
          </w:tcPr>
          <w:p>
            <w:pPr>
              <w:jc w:val="center"/>
              <w:rPr>
                <w:rFonts w:ascii="Times New Roman" w:hAnsi="Times New Roman" w:cs="Times New Roman"/>
              </w:rPr>
            </w:pPr>
            <w:r>
              <w:rPr>
                <w:rFonts w:ascii="Times New Roman" w:hAnsi="Times New Roman" w:cs="Times New Roman"/>
              </w:rPr>
              <w:t>3.62</w:t>
            </w:r>
          </w:p>
        </w:tc>
        <w:tc>
          <w:tcPr>
            <w:tcW w:w="728" w:type="pct"/>
            <w:vAlign w:val="center"/>
          </w:tcPr>
          <w:p>
            <w:pPr>
              <w:jc w:val="center"/>
              <w:rPr>
                <w:rFonts w:ascii="Times New Roman" w:hAnsi="Times New Roman" w:cs="Times New Roman"/>
              </w:rPr>
            </w:pPr>
            <w:r>
              <w:rPr>
                <w:rFonts w:ascii="Times New Roman" w:hAnsi="Times New Roman" w:cs="Times New Roman"/>
              </w:rPr>
              <w:t>9.20</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w:t>
            </w:r>
          </w:p>
        </w:tc>
        <w:tc>
          <w:tcPr>
            <w:tcW w:w="483" w:type="pct"/>
            <w:vAlign w:val="center"/>
          </w:tcPr>
          <w:p>
            <w:pPr>
              <w:jc w:val="center"/>
              <w:rPr>
                <w:rFonts w:ascii="Times New Roman" w:hAnsi="Times New Roman" w:cs="Times New Roman"/>
              </w:rPr>
            </w:pPr>
            <w:r>
              <w:rPr>
                <w:rFonts w:ascii="Times New Roman" w:hAnsi="Times New Roman" w:cs="Times New Roman"/>
              </w:rPr>
              <w:t>4.81</w:t>
            </w:r>
          </w:p>
        </w:tc>
        <w:tc>
          <w:tcPr>
            <w:tcW w:w="608" w:type="pct"/>
            <w:vAlign w:val="center"/>
          </w:tcPr>
          <w:p>
            <w:pPr>
              <w:jc w:val="center"/>
              <w:rPr>
                <w:rFonts w:ascii="Times New Roman" w:hAnsi="Times New Roman" w:cs="Times New Roman"/>
              </w:rPr>
            </w:pPr>
            <w:r>
              <w:rPr>
                <w:rFonts w:ascii="Times New Roman" w:hAnsi="Times New Roman" w:cs="Times New Roman"/>
              </w:rPr>
              <w:t>0.26</w:t>
            </w:r>
          </w:p>
        </w:tc>
        <w:tc>
          <w:tcPr>
            <w:tcW w:w="615" w:type="pct"/>
            <w:vAlign w:val="center"/>
          </w:tcPr>
          <w:p>
            <w:pPr>
              <w:jc w:val="center"/>
              <w:rPr>
                <w:rFonts w:ascii="Times New Roman" w:hAnsi="Times New Roman" w:cs="Times New Roman"/>
              </w:rPr>
            </w:pPr>
            <w:r>
              <w:rPr>
                <w:rFonts w:ascii="Times New Roman" w:hAnsi="Times New Roman" w:cs="Times New Roman"/>
              </w:rPr>
              <w:t>0.49</w:t>
            </w:r>
          </w:p>
        </w:tc>
        <w:tc>
          <w:tcPr>
            <w:tcW w:w="537" w:type="pct"/>
            <w:vAlign w:val="center"/>
          </w:tcPr>
          <w:p>
            <w:pPr>
              <w:jc w:val="center"/>
              <w:rPr>
                <w:rFonts w:ascii="Times New Roman" w:hAnsi="Times New Roman" w:cs="Times New Roman"/>
              </w:rPr>
            </w:pPr>
            <w:r>
              <w:rPr>
                <w:rFonts w:ascii="Times New Roman" w:hAnsi="Times New Roman" w:cs="Times New Roman"/>
              </w:rPr>
              <w:t>1.81</w:t>
            </w:r>
          </w:p>
        </w:tc>
        <w:tc>
          <w:tcPr>
            <w:tcW w:w="728" w:type="pct"/>
            <w:vAlign w:val="center"/>
          </w:tcPr>
          <w:p>
            <w:pPr>
              <w:jc w:val="center"/>
              <w:rPr>
                <w:rFonts w:ascii="Times New Roman" w:hAnsi="Times New Roman" w:cs="Times New Roman"/>
              </w:rPr>
            </w:pPr>
            <w:r>
              <w:rPr>
                <w:rFonts w:ascii="Times New Roman" w:hAnsi="Times New Roman" w:cs="Times New Roman"/>
              </w:rPr>
              <w:t>10.70</w:t>
            </w:r>
          </w:p>
        </w:tc>
        <w:tc>
          <w:tcPr>
            <w:tcW w:w="522" w:type="pct"/>
            <w:vAlign w:val="center"/>
          </w:tcPr>
          <w:p>
            <w:pPr>
              <w:jc w:val="center"/>
              <w:rPr>
                <w:rFonts w:ascii="Times New Roman" w:hAnsi="Times New Roman" w:cs="Times New Roman"/>
              </w:rPr>
            </w:pPr>
            <w:r>
              <w:rPr>
                <w:rFonts w:ascii="Times New Roman" w:hAnsi="Times New Roman" w:cs="Times New Roman"/>
              </w:rPr>
              <w:t>0.04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AEPU-NI</w:t>
            </w:r>
          </w:p>
        </w:tc>
        <w:tc>
          <w:tcPr>
            <w:tcW w:w="483" w:type="pct"/>
            <w:vAlign w:val="center"/>
          </w:tcPr>
          <w:p>
            <w:pPr>
              <w:jc w:val="center"/>
              <w:rPr>
                <w:rFonts w:ascii="Times New Roman" w:hAnsi="Times New Roman" w:cs="Times New Roman"/>
              </w:rPr>
            </w:pPr>
            <w:r>
              <w:rPr>
                <w:rFonts w:ascii="Times New Roman" w:hAnsi="Times New Roman" w:cs="Times New Roman"/>
              </w:rPr>
              <w:t>4.92</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0.29</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6.98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CLI_China</w:t>
            </w:r>
          </w:p>
        </w:tc>
        <w:tc>
          <w:tcPr>
            <w:tcW w:w="483" w:type="pct"/>
            <w:vAlign w:val="center"/>
          </w:tcPr>
          <w:p>
            <w:pPr>
              <w:jc w:val="center"/>
              <w:rPr>
                <w:rFonts w:ascii="Times New Roman" w:hAnsi="Times New Roman" w:cs="Times New Roman"/>
              </w:rPr>
            </w:pPr>
            <w:r>
              <w:rPr>
                <w:rFonts w:ascii="Times New Roman" w:hAnsi="Times New Roman" w:cs="Times New Roman"/>
              </w:rPr>
              <w:t>99.92</w:t>
            </w:r>
          </w:p>
        </w:tc>
        <w:tc>
          <w:tcPr>
            <w:tcW w:w="608" w:type="pct"/>
            <w:vAlign w:val="center"/>
          </w:tcPr>
          <w:p>
            <w:pPr>
              <w:jc w:val="center"/>
              <w:rPr>
                <w:rFonts w:ascii="Times New Roman" w:hAnsi="Times New Roman" w:cs="Times New Roman"/>
              </w:rPr>
            </w:pPr>
            <w:r>
              <w:rPr>
                <w:rFonts w:ascii="Times New Roman" w:hAnsi="Times New Roman" w:cs="Times New Roman"/>
              </w:rPr>
              <w:t>0.95</w:t>
            </w:r>
          </w:p>
        </w:tc>
        <w:tc>
          <w:tcPr>
            <w:tcW w:w="615" w:type="pct"/>
            <w:vAlign w:val="center"/>
          </w:tcPr>
          <w:p>
            <w:pPr>
              <w:jc w:val="center"/>
              <w:rPr>
                <w:rFonts w:ascii="Times New Roman" w:hAnsi="Times New Roman" w:cs="Times New Roman"/>
              </w:rPr>
            </w:pPr>
            <w:r>
              <w:rPr>
                <w:rFonts w:ascii="Times New Roman" w:hAnsi="Times New Roman" w:cs="Times New Roman"/>
              </w:rPr>
              <w:t>0.80</w:t>
            </w:r>
          </w:p>
        </w:tc>
        <w:tc>
          <w:tcPr>
            <w:tcW w:w="537" w:type="pct"/>
            <w:vAlign w:val="center"/>
          </w:tcPr>
          <w:p>
            <w:pPr>
              <w:jc w:val="center"/>
              <w:rPr>
                <w:rFonts w:ascii="Times New Roman" w:hAnsi="Times New Roman" w:cs="Times New Roman"/>
              </w:rPr>
            </w:pPr>
            <w:r>
              <w:rPr>
                <w:rFonts w:ascii="Times New Roman" w:hAnsi="Times New Roman" w:cs="Times New Roman"/>
              </w:rPr>
              <w:t>2.84</w:t>
            </w:r>
          </w:p>
        </w:tc>
        <w:tc>
          <w:tcPr>
            <w:tcW w:w="728" w:type="pct"/>
            <w:vAlign w:val="center"/>
          </w:tcPr>
          <w:p>
            <w:pPr>
              <w:jc w:val="center"/>
              <w:rPr>
                <w:rFonts w:ascii="Times New Roman" w:hAnsi="Times New Roman" w:cs="Times New Roman"/>
              </w:rPr>
            </w:pPr>
            <w:r>
              <w:rPr>
                <w:rFonts w:ascii="Times New Roman" w:hAnsi="Times New Roman" w:cs="Times New Roman"/>
              </w:rPr>
              <w:t>11.87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CLI_US</w:t>
            </w:r>
          </w:p>
        </w:tc>
        <w:tc>
          <w:tcPr>
            <w:tcW w:w="483" w:type="pct"/>
            <w:vAlign w:val="center"/>
          </w:tcPr>
          <w:p>
            <w:pPr>
              <w:jc w:val="center"/>
              <w:rPr>
                <w:rFonts w:ascii="Times New Roman" w:hAnsi="Times New Roman" w:cs="Times New Roman"/>
              </w:rPr>
            </w:pPr>
            <w:r>
              <w:rPr>
                <w:rFonts w:ascii="Times New Roman" w:hAnsi="Times New Roman" w:cs="Times New Roman"/>
              </w:rPr>
              <w:t>100.00</w:t>
            </w:r>
          </w:p>
        </w:tc>
        <w:tc>
          <w:tcPr>
            <w:tcW w:w="608" w:type="pct"/>
            <w:vAlign w:val="center"/>
          </w:tcPr>
          <w:p>
            <w:pPr>
              <w:jc w:val="center"/>
              <w:rPr>
                <w:rFonts w:ascii="Times New Roman" w:hAnsi="Times New Roman" w:cs="Times New Roman"/>
              </w:rPr>
            </w:pPr>
            <w:r>
              <w:rPr>
                <w:rFonts w:ascii="Times New Roman" w:hAnsi="Times New Roman" w:cs="Times New Roman"/>
              </w:rPr>
              <w:t>0.61</w:t>
            </w:r>
          </w:p>
        </w:tc>
        <w:tc>
          <w:tcPr>
            <w:tcW w:w="615" w:type="pct"/>
            <w:vAlign w:val="center"/>
          </w:tcPr>
          <w:p>
            <w:pPr>
              <w:jc w:val="center"/>
              <w:rPr>
                <w:rFonts w:ascii="Times New Roman" w:hAnsi="Times New Roman" w:cs="Times New Roman"/>
              </w:rPr>
            </w:pPr>
            <w:r>
              <w:rPr>
                <w:rFonts w:ascii="Times New Roman" w:hAnsi="Times New Roman" w:cs="Times New Roman"/>
              </w:rPr>
              <w:t>0.53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9.69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CLI_Global</w:t>
            </w:r>
          </w:p>
        </w:tc>
        <w:tc>
          <w:tcPr>
            <w:tcW w:w="483" w:type="pct"/>
            <w:vAlign w:val="center"/>
          </w:tcPr>
          <w:p>
            <w:pPr>
              <w:jc w:val="center"/>
              <w:rPr>
                <w:rFonts w:ascii="Times New Roman" w:hAnsi="Times New Roman" w:cs="Times New Roman"/>
              </w:rPr>
            </w:pPr>
            <w:r>
              <w:rPr>
                <w:rFonts w:ascii="Times New Roman" w:hAnsi="Times New Roman" w:cs="Times New Roman"/>
              </w:rPr>
              <w:t>100.07</w:t>
            </w:r>
          </w:p>
        </w:tc>
        <w:tc>
          <w:tcPr>
            <w:tcW w:w="608" w:type="pct"/>
            <w:vAlign w:val="center"/>
          </w:tcPr>
          <w:p>
            <w:pPr>
              <w:jc w:val="center"/>
              <w:rPr>
                <w:rFonts w:ascii="Times New Roman" w:hAnsi="Times New Roman" w:cs="Times New Roman"/>
              </w:rPr>
            </w:pPr>
            <w:r>
              <w:rPr>
                <w:rFonts w:ascii="Times New Roman" w:hAnsi="Times New Roman" w:cs="Times New Roman"/>
              </w:rPr>
              <w:t>0.58</w:t>
            </w:r>
          </w:p>
        </w:tc>
        <w:tc>
          <w:tcPr>
            <w:tcW w:w="615" w:type="pct"/>
            <w:vAlign w:val="center"/>
          </w:tcPr>
          <w:p>
            <w:pPr>
              <w:jc w:val="center"/>
              <w:rPr>
                <w:rFonts w:ascii="Times New Roman" w:hAnsi="Times New Roman" w:cs="Times New Roman"/>
              </w:rPr>
            </w:pPr>
            <w:r>
              <w:rPr>
                <w:rFonts w:ascii="Times New Roman" w:hAnsi="Times New Roman" w:cs="Times New Roman"/>
              </w:rPr>
              <w:t>0.37</w:t>
            </w:r>
          </w:p>
        </w:tc>
        <w:tc>
          <w:tcPr>
            <w:tcW w:w="537" w:type="pct"/>
            <w:vAlign w:val="center"/>
          </w:tcPr>
          <w:p>
            <w:pPr>
              <w:jc w:val="center"/>
              <w:rPr>
                <w:rFonts w:ascii="Times New Roman" w:hAnsi="Times New Roman" w:cs="Times New Roman"/>
              </w:rPr>
            </w:pPr>
            <w:r>
              <w:rPr>
                <w:rFonts w:ascii="Times New Roman" w:hAnsi="Times New Roman" w:cs="Times New Roman"/>
              </w:rPr>
              <w:t>1.60</w:t>
            </w:r>
          </w:p>
        </w:tc>
        <w:tc>
          <w:tcPr>
            <w:tcW w:w="728" w:type="pct"/>
            <w:vAlign w:val="center"/>
          </w:tcPr>
          <w:p>
            <w:pPr>
              <w:jc w:val="center"/>
              <w:rPr>
                <w:rFonts w:ascii="Times New Roman" w:hAnsi="Times New Roman" w:cs="Times New Roman"/>
              </w:rPr>
            </w:pPr>
            <w:r>
              <w:rPr>
                <w:rFonts w:ascii="Times New Roman" w:hAnsi="Times New Roman" w:cs="Times New Roman"/>
              </w:rPr>
              <w:t>11.43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BI</w:t>
            </w:r>
          </w:p>
        </w:tc>
        <w:tc>
          <w:tcPr>
            <w:tcW w:w="483" w:type="pct"/>
            <w:vAlign w:val="center"/>
          </w:tcPr>
          <w:p>
            <w:pPr>
              <w:jc w:val="center"/>
              <w:rPr>
                <w:rFonts w:ascii="Times New Roman" w:hAnsi="Times New Roman" w:cs="Times New Roman"/>
              </w:rPr>
            </w:pPr>
            <w:r>
              <w:rPr>
                <w:rFonts w:ascii="Times New Roman" w:hAnsi="Times New Roman" w:cs="Times New Roman"/>
              </w:rPr>
              <w:t>8.33</w:t>
            </w:r>
          </w:p>
        </w:tc>
        <w:tc>
          <w:tcPr>
            <w:tcW w:w="608" w:type="pct"/>
            <w:vAlign w:val="center"/>
          </w:tcPr>
          <w:p>
            <w:pPr>
              <w:jc w:val="center"/>
              <w:rPr>
                <w:rFonts w:ascii="Times New Roman" w:hAnsi="Times New Roman" w:cs="Times New Roman"/>
              </w:rPr>
            </w:pPr>
            <w:r>
              <w:rPr>
                <w:rFonts w:ascii="Times New Roman" w:hAnsi="Times New Roman" w:cs="Times New Roman"/>
              </w:rPr>
              <w:t>0.64</w:t>
            </w:r>
          </w:p>
        </w:tc>
        <w:tc>
          <w:tcPr>
            <w:tcW w:w="615" w:type="pct"/>
            <w:vAlign w:val="center"/>
          </w:tcPr>
          <w:p>
            <w:pPr>
              <w:jc w:val="center"/>
              <w:rPr>
                <w:rFonts w:ascii="Times New Roman" w:hAnsi="Times New Roman" w:cs="Times New Roman"/>
              </w:rPr>
            </w:pPr>
            <w:r>
              <w:rPr>
                <w:rFonts w:ascii="Times New Roman" w:hAnsi="Times New Roman" w:cs="Times New Roman"/>
              </w:rPr>
              <w:t>0.21</w:t>
            </w:r>
          </w:p>
        </w:tc>
        <w:tc>
          <w:tcPr>
            <w:tcW w:w="537" w:type="pct"/>
            <w:vAlign w:val="center"/>
          </w:tcPr>
          <w:p>
            <w:pPr>
              <w:jc w:val="center"/>
              <w:rPr>
                <w:rFonts w:ascii="Times New Roman" w:hAnsi="Times New Roman" w:cs="Times New Roman"/>
              </w:rPr>
            </w:pPr>
            <w:r>
              <w:rPr>
                <w:rFonts w:ascii="Times New Roman" w:hAnsi="Times New Roman" w:cs="Times New Roman"/>
              </w:rPr>
              <w:t>2.23</w:t>
            </w:r>
          </w:p>
        </w:tc>
        <w:tc>
          <w:tcPr>
            <w:tcW w:w="728" w:type="pct"/>
            <w:vAlign w:val="center"/>
          </w:tcPr>
          <w:p>
            <w:pPr>
              <w:jc w:val="center"/>
              <w:rPr>
                <w:rFonts w:ascii="Times New Roman" w:hAnsi="Times New Roman" w:cs="Times New Roman"/>
              </w:rPr>
            </w:pPr>
            <w:r>
              <w:rPr>
                <w:rFonts w:ascii="Times New Roman" w:hAnsi="Times New Roman" w:cs="Times New Roman"/>
              </w:rPr>
              <w:t>3.45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GT</w:t>
            </w:r>
          </w:p>
        </w:tc>
        <w:tc>
          <w:tcPr>
            <w:tcW w:w="483" w:type="pct"/>
            <w:vAlign w:val="center"/>
          </w:tcPr>
          <w:p>
            <w:pPr>
              <w:jc w:val="center"/>
              <w:rPr>
                <w:rFonts w:ascii="Times New Roman" w:hAnsi="Times New Roman" w:cs="Times New Roman"/>
              </w:rPr>
            </w:pPr>
            <w:r>
              <w:rPr>
                <w:rFonts w:ascii="Times New Roman" w:hAnsi="Times New Roman" w:cs="Times New Roman"/>
              </w:rPr>
              <w:t>42.07</w:t>
            </w:r>
          </w:p>
        </w:tc>
        <w:tc>
          <w:tcPr>
            <w:tcW w:w="608" w:type="pct"/>
            <w:vAlign w:val="center"/>
          </w:tcPr>
          <w:p>
            <w:pPr>
              <w:jc w:val="center"/>
              <w:rPr>
                <w:rFonts w:ascii="Times New Roman" w:hAnsi="Times New Roman" w:cs="Times New Roman"/>
              </w:rPr>
            </w:pPr>
            <w:r>
              <w:rPr>
                <w:rFonts w:ascii="Times New Roman" w:hAnsi="Times New Roman" w:cs="Times New Roman"/>
              </w:rPr>
              <w:t>11.10</w:t>
            </w:r>
          </w:p>
        </w:tc>
        <w:tc>
          <w:tcPr>
            <w:tcW w:w="615" w:type="pct"/>
            <w:vAlign w:val="center"/>
          </w:tcPr>
          <w:p>
            <w:pPr>
              <w:jc w:val="center"/>
              <w:rPr>
                <w:rFonts w:ascii="Times New Roman" w:hAnsi="Times New Roman" w:cs="Times New Roman"/>
              </w:rPr>
            </w:pPr>
            <w:r>
              <w:rPr>
                <w:rFonts w:ascii="Times New Roman" w:hAnsi="Times New Roman" w:cs="Times New Roman"/>
              </w:rPr>
              <w:t>0.44</w:t>
            </w:r>
          </w:p>
        </w:tc>
        <w:tc>
          <w:tcPr>
            <w:tcW w:w="537" w:type="pct"/>
            <w:vAlign w:val="center"/>
          </w:tcPr>
          <w:p>
            <w:pPr>
              <w:jc w:val="center"/>
              <w:rPr>
                <w:rFonts w:ascii="Times New Roman" w:hAnsi="Times New Roman" w:cs="Times New Roman"/>
              </w:rPr>
            </w:pPr>
            <w:r>
              <w:rPr>
                <w:rFonts w:ascii="Times New Roman" w:hAnsi="Times New Roman" w:cs="Times New Roman"/>
              </w:rPr>
              <w:t>2.32</w:t>
            </w:r>
          </w:p>
        </w:tc>
        <w:tc>
          <w:tcPr>
            <w:tcW w:w="728" w:type="pct"/>
            <w:vAlign w:val="center"/>
          </w:tcPr>
          <w:p>
            <w:pPr>
              <w:jc w:val="center"/>
              <w:rPr>
                <w:rFonts w:ascii="Times New Roman" w:hAnsi="Times New Roman" w:cs="Times New Roman"/>
              </w:rPr>
            </w:pPr>
            <w:r>
              <w:rPr>
                <w:rFonts w:ascii="Times New Roman" w:hAnsi="Times New Roman" w:cs="Times New Roman"/>
              </w:rPr>
              <w:t>5.67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bl>
    <w:p>
      <w:pPr>
        <w:rPr>
          <w:rFonts w:ascii="Times New Roman" w:hAnsi="Times New Roman" w:cs="Times New Roman"/>
        </w:rPr>
      </w:pP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sz w:val="24"/>
        </w:rPr>
        <w:t>L</w:t>
      </w:r>
      <w:r>
        <w:rPr>
          <w:rFonts w:hint="eastAsia" w:ascii="Times New Roman" w:hAnsi="Times New Roman" w:cs="Times New Roman"/>
          <w:sz w:val="24"/>
        </w:rPr>
        <w:t>ASSO</w:t>
      </w:r>
      <w:r>
        <w:rPr>
          <w:rFonts w:ascii="Times New Roman" w:hAnsi="Times New Roman" w:cs="Times New Roman"/>
          <w:sz w:val="24"/>
        </w:rPr>
        <w:t xml:space="preserve"> is used to select variables. Former 80% of data (</w:t>
      </w:r>
      <w:r>
        <w:rPr>
          <w:rFonts w:ascii="Times New Roman" w:hAnsi="Times New Roman" w:cs="Times New Roman"/>
          <w:color w:val="202122"/>
          <w:sz w:val="24"/>
          <w:shd w:val="clear" w:color="auto" w:fill="FFFFFF"/>
        </w:rPr>
        <w:t xml:space="preserve">from January 2011 to February 2020) are used to select variables. As a penalty is added to the residual sum of square, some variables’ coefficients shrink to zero, which can be illustrated in Figure 4. Eventually, six variables are selected: FER, DXY, S&amp;P, GEPU, CEPU, and BI. </w:t>
      </w:r>
    </w:p>
    <w:p>
      <w:pPr>
        <w:spacing w:line="360" w:lineRule="auto"/>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drawing>
          <wp:inline distT="0" distB="0" distL="0" distR="0">
            <wp:extent cx="5274310" cy="381952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9"/>
                    <a:stretch>
                      <a:fillRect/>
                    </a:stretch>
                  </pic:blipFill>
                  <pic:spPr>
                    <a:xfrm>
                      <a:off x="0" y="0"/>
                      <a:ext cx="5274310" cy="3819525"/>
                    </a:xfrm>
                    <a:prstGeom prst="rect">
                      <a:avLst/>
                    </a:prstGeom>
                  </pic:spPr>
                </pic:pic>
              </a:graphicData>
            </a:graphic>
          </wp:inline>
        </w:drawing>
      </w: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The coefficients of different variables for LASSO</w:t>
      </w:r>
    </w:p>
    <w:p/>
    <w:p>
      <w:pPr>
        <w:pStyle w:val="16"/>
        <w:spacing w:before="156" w:beforeLines="50" w:line="360" w:lineRule="auto"/>
        <w:ind w:left="0" w:leftChars="0"/>
        <w:outlineLvl w:val="1"/>
        <w:rPr>
          <w:rFonts w:ascii="Times New Roman" w:hAnsi="Times New Roman" w:cs="Times New Roman"/>
          <w:b/>
          <w:bCs/>
          <w:i/>
          <w:iCs/>
          <w:sz w:val="24"/>
        </w:rPr>
      </w:pPr>
      <w:bookmarkStart w:id="9" w:name="_Toc114151817"/>
      <w:r>
        <w:rPr>
          <w:rFonts w:ascii="Times New Roman" w:hAnsi="Times New Roman" w:cs="Times New Roman"/>
          <w:b/>
          <w:bCs/>
          <w:i/>
          <w:iCs/>
          <w:sz w:val="24"/>
        </w:rPr>
        <w:t>3.2 Evaluation Criteria</w:t>
      </w:r>
      <w:bookmarkEnd w:id="9"/>
    </w:p>
    <w:p>
      <w:pPr>
        <w:spacing w:line="360" w:lineRule="auto"/>
        <w:ind w:firstLine="420"/>
        <w:rPr>
          <w:rFonts w:ascii="Times New Roman" w:hAnsi="Times New Roman" w:cs="Times New Roman"/>
          <w:sz w:val="24"/>
        </w:rPr>
      </w:pPr>
      <w:r>
        <w:rPr>
          <w:rFonts w:ascii="Times New Roman" w:hAnsi="Times New Roman" w:cs="Times New Roman"/>
          <w:sz w:val="24"/>
        </w:rPr>
        <w:t xml:space="preserve">Five machine learning approaches are used to make comparisons, including SVR, ELM, LSTM, BiLSTM, and KELM to find a model with strong predictive power. </w:t>
      </w:r>
    </w:p>
    <w:p>
      <w:pPr>
        <w:spacing w:line="360" w:lineRule="auto"/>
        <w:ind w:firstLine="420"/>
        <w:rPr>
          <w:rFonts w:ascii="Times New Roman" w:hAnsi="Times New Roman" w:cs="Times New Roman"/>
          <w:sz w:val="24"/>
        </w:rPr>
      </w:pPr>
      <w:r>
        <w:rPr>
          <w:rFonts w:ascii="Times New Roman" w:hAnsi="Times New Roman" w:cs="Times New Roman"/>
          <w:sz w:val="24"/>
        </w:rPr>
        <w:t>Meanwhile, three methods are used to evaluate the level of forecasting accuracy, including MAE, RMSE. Here are the following formulas:</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t>MAE=</w:t>
      </w:r>
      <m:oMath>
        <m:f>
          <m:fPr>
            <m:ctrlPr>
              <w:rPr>
                <w:rFonts w:ascii="Cambria Math" w:hAnsi="Cambria Math" w:cs="Times New Roman"/>
                <w:i/>
                <w:sz w:val="24"/>
              </w:rPr>
            </m:ctrlPr>
          </m:fPr>
          <m:num>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d>
                  <m:dPr>
                    <m:begChr m:val="|"/>
                    <m:endChr m:val="|"/>
                    <m:ctrlPr>
                      <w:rPr>
                        <w:rFonts w:ascii="Cambria Math" w:hAnsi="Cambria Math" w:cs="Times New Roman"/>
                        <w:i/>
                        <w:sz w:val="24"/>
                      </w:rPr>
                    </m:ctrlPr>
                  </m:dPr>
                  <m:e>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ctrlPr>
                          <w:rPr>
                            <w:rFonts w:ascii="Cambria Math" w:hAnsi="Cambria Math" w:cs="Times New Roman"/>
                            <w:i/>
                            <w:sz w:val="24"/>
                          </w:rPr>
                        </m:ctrlPr>
                      </m:e>
                    </m:ac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oMath>
    </w:p>
    <w:p>
      <w:pPr>
        <w:spacing w:line="360" w:lineRule="auto"/>
        <w:jc w:val="center"/>
        <w:rPr>
          <w:rFonts w:ascii="Times New Roman" w:hAnsi="Times New Roman" w:cs="Times New Roman"/>
          <w:sz w:val="24"/>
        </w:rPr>
      </w:pPr>
      <w:r>
        <w:rPr>
          <w:rFonts w:ascii="Times New Roman" w:hAnsi="Times New Roman" w:eastAsia="宋体" w:cs="Times New Roman"/>
          <w:sz w:val="24"/>
        </w:rPr>
        <w:t>RMSE=</w:t>
      </w:r>
      <m:oMath>
        <m:rad>
          <m:radPr>
            <m:degHide m:val="1"/>
            <m:ctrlPr>
              <w:rPr>
                <w:rFonts w:ascii="Cambria Math" w:hAnsi="Cambria Math" w:cs="Times New Roman"/>
                <w:i/>
                <w:sz w:val="24"/>
              </w:rPr>
            </m:ctrlPr>
          </m:radPr>
          <m:deg>
            <m:ctrlPr>
              <w:rPr>
                <w:rFonts w:ascii="Cambria Math" w:hAnsi="Cambria Math" w:cs="Times New Roman"/>
                <w:i/>
                <w:sz w:val="24"/>
              </w:rPr>
            </m:ctrlPr>
          </m:deg>
          <m:e>
            <m:f>
              <m:fPr>
                <m:ctrlPr>
                  <w:rPr>
                    <w:rFonts w:ascii="Cambria Math" w:hAnsi="Cambria Math" w:cs="Times New Roman"/>
                    <w:i/>
                    <w:sz w:val="24"/>
                  </w:rPr>
                </m:ctrlPr>
              </m:fPr>
              <m:num>
                <m:r>
                  <m:rPr/>
                  <w:rPr>
                    <w:rFonts w:ascii="Cambria Math" w:hAnsi="Cambria Math" w:eastAsia="宋体" w:cs="Times New Roman"/>
                    <w:sz w:val="24"/>
                  </w:rPr>
                  <m:t>1</m:t>
                </m:r>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cs="Times New Roman"/>
                        <w:i/>
                        <w:sz w:val="24"/>
                      </w:rPr>
                    </m:ctrlPr>
                  </m:e>
                  <m:sup>
                    <m:r>
                      <m:rPr/>
                      <w:rPr>
                        <w:rFonts w:ascii="Cambria Math" w:hAnsi="Cambria Math" w:eastAsia="宋体" w:cs="Times New Roman"/>
                        <w:sz w:val="24"/>
                      </w:rPr>
                      <m:t>2</m:t>
                    </m:r>
                    <m:ctrlPr>
                      <w:rPr>
                        <w:rFonts w:ascii="Cambria Math" w:hAnsi="Cambria Math" w:cs="Times New Roman"/>
                        <w:i/>
                        <w:sz w:val="24"/>
                      </w:rPr>
                    </m:ctrlPr>
                  </m:sup>
                </m:sSup>
                <m:ctrlPr>
                  <w:rPr>
                    <w:rFonts w:ascii="Cambria Math" w:hAnsi="Cambria Math" w:cs="Times New Roman"/>
                    <w:i/>
                    <w:sz w:val="24"/>
                  </w:rPr>
                </m:ctrlPr>
              </m:e>
            </m:nary>
            <m:ctrlPr>
              <w:rPr>
                <w:rFonts w:ascii="Cambria Math" w:hAnsi="Cambria Math" w:cs="Times New Roman"/>
                <w:i/>
                <w:sz w:val="24"/>
              </w:rPr>
            </m:ctrlPr>
          </m:e>
        </m:rad>
      </m:oMath>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oMath>
      <w:r>
        <w:rPr>
          <w:rFonts w:ascii="Times New Roman" w:hAnsi="Times New Roman" w:cs="Times New Roman"/>
          <w:sz w:val="24"/>
        </w:rPr>
        <w:t xml:space="preserve"> and </w:t>
      </w:r>
      <m:oMath>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acc>
      </m:oMath>
      <w:r>
        <w:rPr>
          <w:rFonts w:ascii="Times New Roman" w:hAnsi="Times New Roman" w:eastAsia="宋体" w:cs="Times New Roman"/>
          <w:sz w:val="24"/>
        </w:rPr>
        <w:t xml:space="preserve"> </w:t>
      </w:r>
      <w:r>
        <w:rPr>
          <w:rFonts w:ascii="Times New Roman" w:hAnsi="Times New Roman" w:cs="Times New Roman"/>
          <w:sz w:val="24"/>
        </w:rPr>
        <w:t>stand for the actual value and forecast value at time t respectively, while n represents the number of observations. For MAE and RMSE, the smaller calculated values represent smaller errors, which means there are less deviation between the actual value and the forecast value.</w:t>
      </w:r>
    </w:p>
    <w:p>
      <w:pPr>
        <w:pStyle w:val="9"/>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10" w:name="_Toc114151818"/>
      <w:r>
        <w:rPr>
          <w:rFonts w:ascii="Times New Roman" w:hAnsi="Times New Roman" w:eastAsia="宋体"/>
          <w:b/>
          <w:bCs/>
          <w:color w:val="0E101A"/>
          <w:sz w:val="28"/>
          <w:szCs w:val="28"/>
        </w:rPr>
        <w:t>Performance comparison</w:t>
      </w:r>
      <w:bookmarkEnd w:id="10"/>
    </w:p>
    <w:p>
      <w:pPr>
        <w:pStyle w:val="16"/>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4.1 Forecasting Performance</w:t>
      </w:r>
    </w:p>
    <w:p>
      <w:pPr>
        <w:spacing w:line="360" w:lineRule="auto"/>
        <w:ind w:firstLine="420"/>
        <w:rPr>
          <w:rFonts w:ascii="Times New Roman" w:hAnsi="Times New Roman" w:cs="Times New Roman"/>
          <w:sz w:val="24"/>
        </w:rPr>
      </w:pPr>
      <w:r>
        <w:rPr>
          <w:rFonts w:ascii="Times New Roman" w:hAnsi="Times New Roman" w:cs="Times New Roman"/>
          <w:sz w:val="24"/>
        </w:rPr>
        <w:t>This section discusses the forecasting accuracy of five machine learning approaches and LASSO-combining approaches. 1 step forecasting, 3 step forecasting, and 6 step forecasting on each of the models to are performed. Results from adapting 29 variables and LASSO selection models are compared.</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3: Evaluated performance of 1-step forecasting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rPr>
                <w:rFonts w:ascii="Times New Roman" w:hAnsi="Times New Roman" w:cs="Times New Roman"/>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eastAsia="細明體" w:cs="Times New Roman"/>
                <w:color w:val="000000"/>
                <w:kern w:val="0"/>
                <w:szCs w:val="21"/>
              </w:rPr>
              <w:t>0.264</w:t>
            </w:r>
          </w:p>
        </w:tc>
        <w:tc>
          <w:tcPr>
            <w:tcW w:w="2766" w:type="dxa"/>
          </w:tcPr>
          <w:p>
            <w:pPr>
              <w:jc w:val="center"/>
              <w:rPr>
                <w:rFonts w:ascii="Times New Roman" w:hAnsi="Times New Roman" w:cs="Times New Roman"/>
              </w:rPr>
            </w:pPr>
            <w:r>
              <w:rPr>
                <w:rFonts w:ascii="Times New Roman" w:hAnsi="Times New Roman" w:eastAsia="細明體" w:cs="Times New Roman"/>
                <w:color w:val="000000"/>
                <w:kern w:val="0"/>
                <w:szCs w:val="21"/>
              </w:rPr>
              <w:t>0.322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eastAsia="細明體" w:cs="Times New Roman"/>
                <w:color w:val="000000"/>
                <w:kern w:val="0"/>
                <w:szCs w:val="21"/>
              </w:rPr>
              <w:t>0.180</w:t>
            </w:r>
          </w:p>
        </w:tc>
        <w:tc>
          <w:tcPr>
            <w:tcW w:w="2766"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0.2</w:t>
            </w:r>
            <w:r>
              <w:rPr>
                <w:rFonts w:ascii="Times New Roman" w:hAnsi="Times New Roman" w:eastAsia="宋体" w:cs="Times New Roman"/>
                <w:color w:val="000000"/>
                <w:kern w:val="0"/>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0.337</w:t>
            </w:r>
          </w:p>
        </w:tc>
        <w:tc>
          <w:tcPr>
            <w:tcW w:w="2766"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0.388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b/>
                <w:bCs/>
              </w:rPr>
            </w:pPr>
            <w:r>
              <w:rPr>
                <w:rFonts w:ascii="Times New Roman" w:hAnsi="Times New Roman" w:eastAsia="細明體" w:cs="Times New Roman"/>
                <w:b/>
                <w:bCs/>
                <w:color w:val="000000"/>
                <w:kern w:val="0"/>
                <w:szCs w:val="21"/>
              </w:rPr>
              <w:t>0.102</w:t>
            </w:r>
          </w:p>
        </w:tc>
        <w:tc>
          <w:tcPr>
            <w:tcW w:w="2766" w:type="dxa"/>
          </w:tcPr>
          <w:p>
            <w:pPr>
              <w:jc w:val="center"/>
              <w:rPr>
                <w:rFonts w:ascii="Times New Roman" w:hAnsi="Times New Roman" w:cs="Times New Roman"/>
                <w:b/>
                <w:bCs/>
              </w:rPr>
            </w:pPr>
            <w:r>
              <w:rPr>
                <w:rFonts w:ascii="Times New Roman" w:hAnsi="Times New Roman" w:eastAsia="細明體" w:cs="Times New Roman"/>
                <w:b/>
                <w:bCs/>
                <w:color w:val="000000"/>
                <w:kern w:val="0"/>
                <w:szCs w:val="21"/>
              </w:rPr>
              <w:t>0.132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eastAsia="細明體" w:cs="Times New Roman"/>
                <w:color w:val="000000"/>
                <w:kern w:val="0"/>
                <w:szCs w:val="21"/>
              </w:rPr>
              <w:t>0.252</w:t>
            </w:r>
          </w:p>
        </w:tc>
        <w:tc>
          <w:tcPr>
            <w:tcW w:w="2766"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0.277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color w:val="000000"/>
                <w:szCs w:val="21"/>
              </w:rPr>
              <w:t>0.190</w:t>
            </w:r>
          </w:p>
        </w:tc>
        <w:tc>
          <w:tcPr>
            <w:tcW w:w="2766" w:type="dxa"/>
          </w:tcPr>
          <w:p>
            <w:pPr>
              <w:jc w:val="center"/>
              <w:rPr>
                <w:rFonts w:ascii="Times New Roman" w:hAnsi="Times New Roman" w:cs="Times New Roman"/>
              </w:rPr>
            </w:pPr>
            <w:r>
              <w:rPr>
                <w:rFonts w:ascii="Times New Roman" w:hAnsi="Times New Roman" w:cs="Times New Roman"/>
                <w:color w:val="000000"/>
                <w:szCs w:val="21"/>
              </w:rPr>
              <w:t>0.227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color w:val="000000"/>
                <w:szCs w:val="21"/>
              </w:rPr>
              <w:t>0.164</w:t>
            </w:r>
          </w:p>
        </w:tc>
        <w:tc>
          <w:tcPr>
            <w:tcW w:w="2766" w:type="dxa"/>
          </w:tcPr>
          <w:p>
            <w:pPr>
              <w:jc w:val="center"/>
              <w:rPr>
                <w:rFonts w:ascii="Times New Roman" w:hAnsi="Times New Roman" w:cs="Times New Roman"/>
              </w:rPr>
            </w:pPr>
            <w:r>
              <w:rPr>
                <w:rFonts w:ascii="Times New Roman" w:hAnsi="Times New Roman" w:cs="Times New Roman"/>
                <w:color w:val="000000"/>
                <w:szCs w:val="21"/>
              </w:rPr>
              <w:t>0.208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color w:val="000000"/>
                <w:szCs w:val="21"/>
              </w:rPr>
              <w:t>0.107</w:t>
            </w:r>
          </w:p>
        </w:tc>
        <w:tc>
          <w:tcPr>
            <w:tcW w:w="2766" w:type="dxa"/>
          </w:tcPr>
          <w:p>
            <w:pPr>
              <w:jc w:val="center"/>
              <w:rPr>
                <w:rFonts w:ascii="Times New Roman" w:hAnsi="Times New Roman" w:cs="Times New Roman"/>
              </w:rPr>
            </w:pPr>
            <w:r>
              <w:rPr>
                <w:rFonts w:ascii="Times New Roman" w:hAnsi="Times New Roman" w:cs="Times New Roman"/>
                <w:color w:val="000000"/>
                <w:szCs w:val="21"/>
              </w:rPr>
              <w:t>0.151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color w:val="000000"/>
                <w:szCs w:val="21"/>
              </w:rPr>
              <w:t>0.051</w:t>
            </w:r>
          </w:p>
        </w:tc>
        <w:tc>
          <w:tcPr>
            <w:tcW w:w="2766" w:type="dxa"/>
          </w:tcPr>
          <w:p>
            <w:pPr>
              <w:jc w:val="center"/>
              <w:rPr>
                <w:rFonts w:ascii="Times New Roman" w:hAnsi="Times New Roman" w:cs="Times New Roman"/>
                <w:b/>
                <w:bCs/>
              </w:rPr>
            </w:pPr>
            <w:r>
              <w:rPr>
                <w:rFonts w:ascii="Times New Roman" w:hAnsi="Times New Roman" w:cs="Times New Roman"/>
                <w:b/>
                <w:bCs/>
                <w:color w:val="000000"/>
                <w:szCs w:val="21"/>
              </w:rPr>
              <w:t>0.072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color w:val="000000"/>
                <w:szCs w:val="21"/>
              </w:rPr>
              <w:t>0.095</w:t>
            </w:r>
          </w:p>
        </w:tc>
        <w:tc>
          <w:tcPr>
            <w:tcW w:w="2766" w:type="dxa"/>
          </w:tcPr>
          <w:p>
            <w:pPr>
              <w:jc w:val="center"/>
              <w:rPr>
                <w:rFonts w:ascii="Times New Roman" w:hAnsi="Times New Roman" w:cs="Times New Roman"/>
              </w:rPr>
            </w:pPr>
            <w:r>
              <w:rPr>
                <w:rFonts w:ascii="Times New Roman" w:hAnsi="Times New Roman" w:cs="Times New Roman"/>
                <w:color w:val="000000"/>
                <w:szCs w:val="21"/>
              </w:rPr>
              <w:t>0.125</w:t>
            </w:r>
          </w:p>
        </w:tc>
      </w:tr>
    </w:tbl>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rPr>
        <w:t xml:space="preserve">Table 3 illustrates the forecasting </w:t>
      </w:r>
      <w:r>
        <w:rPr>
          <w:rFonts w:hint="eastAsia" w:ascii="Times New Roman" w:hAnsi="Times New Roman" w:cs="Times New Roman"/>
          <w:sz w:val="24"/>
        </w:rPr>
        <w:t xml:space="preserve">error </w:t>
      </w:r>
      <w:r>
        <w:rPr>
          <w:rFonts w:ascii="Times New Roman" w:hAnsi="Times New Roman" w:cs="Times New Roman"/>
          <w:sz w:val="24"/>
        </w:rPr>
        <w:t>on 1-step forecasting. The table shows t</w:t>
      </w:r>
      <w:r>
        <w:rPr>
          <w:rFonts w:hint="eastAsia" w:ascii="Times New Roman" w:hAnsi="Times New Roman" w:cs="Times New Roman"/>
          <w:sz w:val="24"/>
          <w:szCs w:val="32"/>
        </w:rPr>
        <w:t xml:space="preserve">hat LASSO enhances the forecasting accuracy effectively since the calculated value has greatly </w:t>
      </w:r>
      <w:r>
        <w:rPr>
          <w:rFonts w:ascii="Times New Roman" w:hAnsi="Times New Roman" w:cs="Times New Roman"/>
          <w:sz w:val="24"/>
          <w:szCs w:val="32"/>
        </w:rPr>
        <w:t>shrunk</w:t>
      </w:r>
      <w:r>
        <w:rPr>
          <w:rFonts w:hint="eastAsia" w:ascii="Times New Roman" w:hAnsi="Times New Roman" w:cs="Times New Roman"/>
          <w:sz w:val="24"/>
          <w:szCs w:val="32"/>
        </w:rPr>
        <w:t xml:space="preserve"> for </w:t>
      </w:r>
      <w:r>
        <w:rPr>
          <w:rFonts w:ascii="Times New Roman" w:hAnsi="Times New Roman" w:cs="Times New Roman"/>
          <w:sz w:val="24"/>
          <w:szCs w:val="32"/>
        </w:rPr>
        <w:t>LASSO selection models than pure neural network models</w:t>
      </w:r>
      <w:r>
        <w:rPr>
          <w:rFonts w:hint="eastAsia" w:ascii="Times New Roman" w:hAnsi="Times New Roman" w:cs="Times New Roman"/>
          <w:sz w:val="24"/>
          <w:szCs w:val="32"/>
        </w:rPr>
        <w:t>.</w:t>
      </w:r>
      <w:r>
        <w:rPr>
          <w:rFonts w:ascii="Times New Roman" w:hAnsi="Times New Roman" w:cs="Times New Roman"/>
          <w:sz w:val="24"/>
          <w:szCs w:val="32"/>
        </w:rPr>
        <w:t xml:space="preserve"> </w:t>
      </w:r>
      <w:r>
        <w:rPr>
          <w:rFonts w:ascii="Times New Roman" w:hAnsi="Times New Roman" w:cs="Times New Roman"/>
          <w:sz w:val="24"/>
        </w:rPr>
        <w:t>Moreover, the result illustrates that</w:t>
      </w:r>
      <w:r>
        <w:rPr>
          <w:rFonts w:hint="eastAsia" w:ascii="Times New Roman" w:hAnsi="Times New Roman" w:cs="Times New Roman"/>
          <w:sz w:val="24"/>
          <w:szCs w:val="32"/>
        </w:rPr>
        <w:t xml:space="preserve"> LASSO-BiLSTM has the smallest </w:t>
      </w:r>
      <w:r>
        <w:rPr>
          <w:rFonts w:ascii="Times New Roman" w:hAnsi="Times New Roman" w:cs="Times New Roman"/>
          <w:sz w:val="24"/>
          <w:szCs w:val="32"/>
        </w:rPr>
        <w:t>error</w:t>
      </w:r>
      <w:r>
        <w:rPr>
          <w:rFonts w:hint="eastAsia" w:ascii="Times New Roman" w:hAnsi="Times New Roman" w:cs="Times New Roman"/>
          <w:sz w:val="24"/>
          <w:szCs w:val="32"/>
        </w:rPr>
        <w:t xml:space="preserve"> under MAE and RMSE criteria</w:t>
      </w:r>
      <w:r>
        <w:rPr>
          <w:rFonts w:ascii="Times New Roman" w:hAnsi="Times New Roman" w:cs="Times New Roman"/>
          <w:sz w:val="24"/>
          <w:szCs w:val="32"/>
        </w:rPr>
        <w:t>, which are 0.</w:t>
      </w:r>
      <w:r>
        <w:rPr>
          <w:rFonts w:hint="eastAsia" w:ascii="Times New Roman" w:hAnsi="Times New Roman" w:cs="Times New Roman"/>
          <w:sz w:val="24"/>
          <w:szCs w:val="32"/>
        </w:rPr>
        <w:t>0</w:t>
      </w:r>
      <w:r>
        <w:rPr>
          <w:rFonts w:ascii="Times New Roman" w:hAnsi="Times New Roman" w:cs="Times New Roman"/>
          <w:sz w:val="24"/>
          <w:szCs w:val="32"/>
        </w:rPr>
        <w:t>51 and 0.</w:t>
      </w:r>
      <w:r>
        <w:rPr>
          <w:rFonts w:hint="eastAsia" w:ascii="Times New Roman" w:hAnsi="Times New Roman" w:cs="Times New Roman"/>
          <w:sz w:val="24"/>
          <w:szCs w:val="32"/>
        </w:rPr>
        <w:t>0</w:t>
      </w:r>
      <w:r>
        <w:rPr>
          <w:rFonts w:ascii="Times New Roman" w:hAnsi="Times New Roman" w:cs="Times New Roman"/>
          <w:sz w:val="24"/>
          <w:szCs w:val="32"/>
        </w:rPr>
        <w:t>72</w:t>
      </w:r>
      <w:r>
        <w:rPr>
          <w:rFonts w:hint="eastAsia" w:ascii="Times New Roman" w:hAnsi="Times New Roman" w:cs="Times New Roman"/>
          <w:sz w:val="24"/>
          <w:szCs w:val="32"/>
        </w:rPr>
        <w:t>.</w:t>
      </w:r>
      <w:r>
        <w:rPr>
          <w:rFonts w:ascii="Times New Roman" w:hAnsi="Times New Roman" w:cs="Times New Roman"/>
          <w:sz w:val="24"/>
          <w:szCs w:val="32"/>
        </w:rPr>
        <w:t xml:space="preserve"> This demonstrates that LASSO-BiLSTM would be the best model.</w:t>
      </w:r>
    </w:p>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We continue looking at the results on 3-steps forecasting and 6-steps forecasting. Table 4 demonstrates the model performance errors in 3-steps forecasting, where table 5 shows the errors for 6-steps forecasting.</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4: Evaluated performance of 3-steps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0.278</w:t>
            </w:r>
          </w:p>
        </w:tc>
        <w:tc>
          <w:tcPr>
            <w:tcW w:w="2766" w:type="dxa"/>
          </w:tcPr>
          <w:p>
            <w:pPr>
              <w:jc w:val="center"/>
              <w:rPr>
                <w:rFonts w:ascii="Times New Roman" w:hAnsi="Times New Roman" w:cs="Times New Roman"/>
              </w:rPr>
            </w:pPr>
            <w:r>
              <w:rPr>
                <w:rFonts w:ascii="Times New Roman" w:hAnsi="Times New Roman" w:cs="Times New Roman"/>
              </w:rPr>
              <w:t>0.418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0.265</w:t>
            </w:r>
          </w:p>
        </w:tc>
        <w:tc>
          <w:tcPr>
            <w:tcW w:w="2766" w:type="dxa"/>
          </w:tcPr>
          <w:p>
            <w:pPr>
              <w:jc w:val="center"/>
              <w:rPr>
                <w:rFonts w:ascii="Times New Roman" w:hAnsi="Times New Roman" w:cs="Times New Roman"/>
              </w:rPr>
            </w:pPr>
            <w:r>
              <w:rPr>
                <w:rFonts w:ascii="Times New Roman" w:hAnsi="Times New Roman" w:cs="Times New Roman"/>
              </w:rPr>
              <w:t>0.321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0.334</w:t>
            </w:r>
          </w:p>
        </w:tc>
        <w:tc>
          <w:tcPr>
            <w:tcW w:w="2766" w:type="dxa"/>
          </w:tcPr>
          <w:p>
            <w:pPr>
              <w:jc w:val="center"/>
              <w:rPr>
                <w:rFonts w:ascii="Times New Roman" w:hAnsi="Times New Roman" w:cs="Times New Roman"/>
              </w:rPr>
            </w:pPr>
            <w:r>
              <w:rPr>
                <w:rFonts w:ascii="Times New Roman" w:hAnsi="Times New Roman" w:cs="Times New Roman"/>
              </w:rPr>
              <w:t>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0.186</w:t>
            </w:r>
          </w:p>
        </w:tc>
        <w:tc>
          <w:tcPr>
            <w:tcW w:w="2766" w:type="dxa"/>
          </w:tcPr>
          <w:p>
            <w:pPr>
              <w:jc w:val="center"/>
              <w:rPr>
                <w:rFonts w:ascii="Times New Roman" w:hAnsi="Times New Roman" w:cs="Times New Roman"/>
              </w:rPr>
            </w:pPr>
            <w:r>
              <w:rPr>
                <w:rFonts w:ascii="Times New Roman" w:hAnsi="Times New Roman" w:cs="Times New Roman"/>
              </w:rPr>
              <w:t>0.245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0.240</w:t>
            </w:r>
          </w:p>
        </w:tc>
        <w:tc>
          <w:tcPr>
            <w:tcW w:w="2766" w:type="dxa"/>
          </w:tcPr>
          <w:p>
            <w:pPr>
              <w:jc w:val="center"/>
              <w:rPr>
                <w:rFonts w:ascii="Times New Roman" w:hAnsi="Times New Roman" w:cs="Times New Roman"/>
              </w:rPr>
            </w:pPr>
            <w:r>
              <w:rPr>
                <w:rFonts w:ascii="Times New Roman" w:hAnsi="Times New Roman" w:cs="Times New Roman"/>
              </w:rPr>
              <w:t>0.260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0.221</w:t>
            </w:r>
          </w:p>
        </w:tc>
        <w:tc>
          <w:tcPr>
            <w:tcW w:w="2766" w:type="dxa"/>
          </w:tcPr>
          <w:p>
            <w:pPr>
              <w:jc w:val="center"/>
              <w:rPr>
                <w:rFonts w:ascii="Times New Roman" w:hAnsi="Times New Roman" w:cs="Times New Roman"/>
              </w:rPr>
            </w:pPr>
            <w:r>
              <w:rPr>
                <w:rFonts w:ascii="Times New Roman" w:hAnsi="Times New Roman" w:cs="Times New Roman"/>
              </w:rPr>
              <w:t>0.284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0.183</w:t>
            </w:r>
          </w:p>
        </w:tc>
        <w:tc>
          <w:tcPr>
            <w:tcW w:w="2766" w:type="dxa"/>
          </w:tcPr>
          <w:p>
            <w:pPr>
              <w:jc w:val="center"/>
              <w:rPr>
                <w:rFonts w:ascii="Times New Roman" w:hAnsi="Times New Roman" w:cs="Times New Roman"/>
              </w:rPr>
            </w:pPr>
            <w:r>
              <w:rPr>
                <w:rFonts w:ascii="Times New Roman" w:hAnsi="Times New Roman" w:cs="Times New Roman"/>
              </w:rPr>
              <w:t>0.218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0.147</w:t>
            </w:r>
          </w:p>
        </w:tc>
        <w:tc>
          <w:tcPr>
            <w:tcW w:w="2766" w:type="dxa"/>
          </w:tcPr>
          <w:p>
            <w:pPr>
              <w:jc w:val="center"/>
              <w:rPr>
                <w:rFonts w:ascii="Times New Roman" w:hAnsi="Times New Roman" w:cs="Times New Roman"/>
              </w:rPr>
            </w:pPr>
            <w:r>
              <w:rPr>
                <w:rFonts w:ascii="Times New Roman" w:hAnsi="Times New Roman" w:cs="Times New Roman"/>
              </w:rPr>
              <w:t>0.195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0.127</w:t>
            </w:r>
          </w:p>
        </w:tc>
        <w:tc>
          <w:tcPr>
            <w:tcW w:w="2766" w:type="dxa"/>
          </w:tcPr>
          <w:p>
            <w:pPr>
              <w:jc w:val="center"/>
              <w:rPr>
                <w:rFonts w:ascii="Times New Roman" w:hAnsi="Times New Roman" w:cs="Times New Roman"/>
                <w:b/>
                <w:bCs/>
              </w:rPr>
            </w:pPr>
            <w:r>
              <w:rPr>
                <w:rFonts w:ascii="Times New Roman" w:hAnsi="Times New Roman" w:cs="Times New Roman"/>
                <w:b/>
                <w:bCs/>
              </w:rPr>
              <w:t>0.147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0.146</w:t>
            </w:r>
          </w:p>
        </w:tc>
        <w:tc>
          <w:tcPr>
            <w:tcW w:w="2766" w:type="dxa"/>
          </w:tcPr>
          <w:p>
            <w:pPr>
              <w:jc w:val="center"/>
              <w:rPr>
                <w:rFonts w:ascii="Times New Roman" w:hAnsi="Times New Roman" w:cs="Times New Roman"/>
              </w:rPr>
            </w:pPr>
            <w:r>
              <w:rPr>
                <w:rFonts w:ascii="Times New Roman" w:hAnsi="Times New Roman" w:cs="Times New Roman"/>
              </w:rPr>
              <w:t>0.169</w:t>
            </w:r>
          </w:p>
        </w:tc>
      </w:tr>
    </w:tbl>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5: Evaluated performance of 6-steps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0.465</w:t>
            </w:r>
          </w:p>
        </w:tc>
        <w:tc>
          <w:tcPr>
            <w:tcW w:w="2766" w:type="dxa"/>
          </w:tcPr>
          <w:p>
            <w:pPr>
              <w:jc w:val="center"/>
              <w:rPr>
                <w:rFonts w:ascii="Times New Roman" w:hAnsi="Times New Roman" w:cs="Times New Roman"/>
              </w:rPr>
            </w:pPr>
            <w:r>
              <w:rPr>
                <w:rFonts w:ascii="Times New Roman" w:hAnsi="Times New Roman" w:cs="Times New Roman"/>
              </w:rPr>
              <w:t>0.671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0.252</w:t>
            </w:r>
          </w:p>
        </w:tc>
        <w:tc>
          <w:tcPr>
            <w:tcW w:w="2766" w:type="dxa"/>
          </w:tcPr>
          <w:p>
            <w:pPr>
              <w:jc w:val="center"/>
              <w:rPr>
                <w:rFonts w:ascii="Times New Roman" w:hAnsi="Times New Roman" w:cs="Times New Roman"/>
              </w:rPr>
            </w:pPr>
            <w:r>
              <w:rPr>
                <w:rFonts w:ascii="Times New Roman" w:hAnsi="Times New Roman" w:cs="Times New Roman"/>
              </w:rPr>
              <w:t>0.283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0.325</w:t>
            </w:r>
          </w:p>
        </w:tc>
        <w:tc>
          <w:tcPr>
            <w:tcW w:w="2766" w:type="dxa"/>
          </w:tcPr>
          <w:p>
            <w:pPr>
              <w:jc w:val="center"/>
              <w:rPr>
                <w:rFonts w:ascii="Times New Roman" w:hAnsi="Times New Roman" w:cs="Times New Roman"/>
              </w:rPr>
            </w:pPr>
            <w:r>
              <w:rPr>
                <w:rFonts w:ascii="Times New Roman" w:hAnsi="Times New Roman" w:cs="Times New Roman"/>
              </w:rPr>
              <w:t>0.356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0.333</w:t>
            </w:r>
          </w:p>
        </w:tc>
        <w:tc>
          <w:tcPr>
            <w:tcW w:w="2766" w:type="dxa"/>
          </w:tcPr>
          <w:p>
            <w:pPr>
              <w:jc w:val="center"/>
              <w:rPr>
                <w:rFonts w:ascii="Times New Roman" w:hAnsi="Times New Roman" w:cs="Times New Roman"/>
              </w:rPr>
            </w:pPr>
            <w:r>
              <w:rPr>
                <w:rFonts w:ascii="Times New Roman" w:hAnsi="Times New Roman" w:cs="Times New Roman"/>
              </w:rPr>
              <w:t>0.363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0.275</w:t>
            </w:r>
          </w:p>
        </w:tc>
        <w:tc>
          <w:tcPr>
            <w:tcW w:w="2766" w:type="dxa"/>
          </w:tcPr>
          <w:p>
            <w:pPr>
              <w:jc w:val="center"/>
              <w:rPr>
                <w:rFonts w:ascii="Times New Roman" w:hAnsi="Times New Roman" w:cs="Times New Roman"/>
              </w:rPr>
            </w:pPr>
            <w:r>
              <w:rPr>
                <w:rFonts w:ascii="Times New Roman" w:hAnsi="Times New Roman" w:cs="Times New Roman"/>
              </w:rPr>
              <w:t>0.297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0.211</w:t>
            </w:r>
          </w:p>
        </w:tc>
        <w:tc>
          <w:tcPr>
            <w:tcW w:w="2766" w:type="dxa"/>
          </w:tcPr>
          <w:p>
            <w:pPr>
              <w:jc w:val="center"/>
              <w:rPr>
                <w:rFonts w:ascii="Times New Roman" w:hAnsi="Times New Roman" w:cs="Times New Roman"/>
              </w:rPr>
            </w:pPr>
            <w:r>
              <w:rPr>
                <w:rFonts w:ascii="Times New Roman" w:hAnsi="Times New Roman" w:cs="Times New Roman"/>
              </w:rPr>
              <w:t>0.293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0.212</w:t>
            </w:r>
          </w:p>
        </w:tc>
        <w:tc>
          <w:tcPr>
            <w:tcW w:w="2766" w:type="dxa"/>
          </w:tcPr>
          <w:p>
            <w:pPr>
              <w:jc w:val="center"/>
              <w:rPr>
                <w:rFonts w:ascii="Times New Roman" w:hAnsi="Times New Roman" w:cs="Times New Roman"/>
              </w:rPr>
            </w:pPr>
            <w:r>
              <w:rPr>
                <w:rFonts w:ascii="Times New Roman" w:hAnsi="Times New Roman" w:cs="Times New Roman"/>
              </w:rPr>
              <w:t>0.248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0.237</w:t>
            </w:r>
          </w:p>
        </w:tc>
        <w:tc>
          <w:tcPr>
            <w:tcW w:w="2766" w:type="dxa"/>
          </w:tcPr>
          <w:p>
            <w:pPr>
              <w:jc w:val="center"/>
              <w:rPr>
                <w:rFonts w:ascii="Times New Roman" w:hAnsi="Times New Roman" w:cs="Times New Roman"/>
              </w:rPr>
            </w:pPr>
            <w:r>
              <w:rPr>
                <w:rFonts w:ascii="Times New Roman" w:hAnsi="Times New Roman" w:cs="Times New Roman"/>
              </w:rPr>
              <w:t>0.287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0.189</w:t>
            </w:r>
          </w:p>
        </w:tc>
        <w:tc>
          <w:tcPr>
            <w:tcW w:w="2766" w:type="dxa"/>
          </w:tcPr>
          <w:p>
            <w:pPr>
              <w:jc w:val="center"/>
              <w:rPr>
                <w:rFonts w:ascii="Times New Roman" w:hAnsi="Times New Roman" w:cs="Times New Roman"/>
                <w:b/>
                <w:bCs/>
              </w:rPr>
            </w:pPr>
            <w:r>
              <w:rPr>
                <w:rFonts w:ascii="Times New Roman" w:hAnsi="Times New Roman" w:cs="Times New Roman"/>
                <w:b/>
                <w:bCs/>
              </w:rPr>
              <w:t>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0.226</w:t>
            </w:r>
          </w:p>
        </w:tc>
        <w:tc>
          <w:tcPr>
            <w:tcW w:w="2766" w:type="dxa"/>
          </w:tcPr>
          <w:p>
            <w:pPr>
              <w:jc w:val="center"/>
              <w:rPr>
                <w:rFonts w:ascii="Times New Roman" w:hAnsi="Times New Roman" w:cs="Times New Roman"/>
              </w:rPr>
            </w:pPr>
            <w:r>
              <w:rPr>
                <w:rFonts w:ascii="Times New Roman" w:hAnsi="Times New Roman" w:cs="Times New Roman"/>
              </w:rPr>
              <w:t>0.236</w:t>
            </w:r>
          </w:p>
        </w:tc>
      </w:tr>
    </w:tbl>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 xml:space="preserve">As shown in table 4 and 5, </w:t>
      </w:r>
      <w:r>
        <w:rPr>
          <w:rFonts w:hint="eastAsia" w:ascii="Times New Roman" w:hAnsi="Times New Roman" w:cs="Times New Roman"/>
          <w:sz w:val="24"/>
          <w:szCs w:val="32"/>
        </w:rPr>
        <w:t>in</w:t>
      </w:r>
      <w:r>
        <w:rPr>
          <w:rFonts w:ascii="Times New Roman" w:hAnsi="Times New Roman" w:cs="Times New Roman"/>
          <w:sz w:val="24"/>
          <w:szCs w:val="32"/>
        </w:rPr>
        <w:t xml:space="preserve"> both 3-steps forecasting and 6-steps forecasting, LASSO-BiLSTM always has the lowest error. Moreover, the error for LASSO </w:t>
      </w:r>
      <w:r>
        <w:rPr>
          <w:rFonts w:hint="eastAsia" w:ascii="Times New Roman" w:hAnsi="Times New Roman" w:cs="Times New Roman"/>
          <w:sz w:val="24"/>
          <w:szCs w:val="32"/>
        </w:rPr>
        <w:t>selection</w:t>
      </w:r>
      <w:r>
        <w:rPr>
          <w:rFonts w:ascii="Times New Roman" w:hAnsi="Times New Roman" w:cs="Times New Roman"/>
          <w:sz w:val="24"/>
          <w:szCs w:val="32"/>
        </w:rPr>
        <w:t xml:space="preserve"> models is a much lower than pure neural network model. Therefore, LASSO selection is effective at exchange rate prediction. The multi-step forecasting accurately verified the results from 1-step forecasting.</w:t>
      </w:r>
    </w:p>
    <w:p>
      <w:pPr>
        <w:spacing w:before="156" w:beforeLines="50" w:line="360" w:lineRule="auto"/>
        <w:ind w:firstLine="420"/>
        <w:rPr>
          <w:rFonts w:hint="eastAsia" w:ascii="Times New Roman" w:hAnsi="Times New Roman" w:cs="Times New Roman" w:eastAsiaTheme="minorEastAsia"/>
          <w:sz w:val="24"/>
          <w:szCs w:val="32"/>
          <w:lang w:val="en-US" w:eastAsia="zh-CN"/>
        </w:rPr>
      </w:pPr>
      <w:r>
        <w:rPr>
          <w:rFonts w:ascii="Times New Roman" w:hAnsi="Times New Roman" w:cs="Times New Roman"/>
          <w:sz w:val="24"/>
          <w:szCs w:val="32"/>
        </w:rPr>
        <w:t>Figure 5, as shown below, demonstrates the real exchange rate and the predicted exchange rate in 1-step forecasting for all models. Graphically seen, LASSO-BiLSTM has the most accurate prediction</w:t>
      </w:r>
      <w:r>
        <w:rPr>
          <w:rFonts w:hint="eastAsia" w:ascii="Times New Roman" w:hAnsi="Times New Roman" w:cs="Times New Roman"/>
          <w:sz w:val="24"/>
          <w:szCs w:val="32"/>
          <w:lang w:val="en-US" w:eastAsia="zh-CN"/>
        </w:rPr>
        <w:t>.</w:t>
      </w:r>
    </w:p>
    <w:p>
      <w:pPr>
        <w:spacing w:before="156" w:beforeLines="50" w:line="360" w:lineRule="auto"/>
        <w:jc w:val="center"/>
        <w:rPr>
          <w:rFonts w:ascii="Times New Roman" w:hAnsi="Times New Roman" w:cs="Times New Roman"/>
          <w:sz w:val="20"/>
          <w:szCs w:val="20"/>
        </w:rPr>
      </w:pPr>
      <w:r>
        <w:rPr>
          <w:rFonts w:ascii="Times New Roman" w:hAnsi="Times New Roman" w:cs="Times New Roman"/>
          <w:sz w:val="24"/>
          <w:szCs w:val="32"/>
        </w:rPr>
        <w:drawing>
          <wp:anchor distT="0" distB="0" distL="114300" distR="114300" simplePos="0" relativeHeight="251660288" behindDoc="1" locked="0" layoutInCell="1" allowOverlap="1">
            <wp:simplePos x="0" y="0"/>
            <wp:positionH relativeFrom="column">
              <wp:posOffset>-8890</wp:posOffset>
            </wp:positionH>
            <wp:positionV relativeFrom="paragraph">
              <wp:posOffset>26035</wp:posOffset>
            </wp:positionV>
            <wp:extent cx="5275580" cy="1527175"/>
            <wp:effectExtent l="0" t="0" r="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5580" cy="1527175"/>
                    </a:xfrm>
                    <a:prstGeom prst="rect">
                      <a:avLst/>
                    </a:prstGeom>
                  </pic:spPr>
                </pic:pic>
              </a:graphicData>
            </a:graphic>
          </wp:anchor>
        </w:drawing>
      </w:r>
      <w:r>
        <w:rPr>
          <w:rFonts w:hint="eastAsia" w:ascii="Times New Roman" w:hAnsi="Times New Roman" w:cs="Times New Roman"/>
          <w:sz w:val="20"/>
          <w:szCs w:val="20"/>
        </w:rPr>
        <w:t xml:space="preserve">Figure </w:t>
      </w:r>
      <w:r>
        <w:rPr>
          <w:rFonts w:ascii="Times New Roman" w:hAnsi="Times New Roman" w:cs="Times New Roman"/>
          <w:sz w:val="20"/>
          <w:szCs w:val="20"/>
        </w:rPr>
        <w:t>5</w:t>
      </w:r>
      <w:r>
        <w:rPr>
          <w:rFonts w:hint="eastAsia" w:ascii="Times New Roman" w:hAnsi="Times New Roman" w:cs="Times New Roman"/>
          <w:sz w:val="20"/>
          <w:szCs w:val="20"/>
        </w:rPr>
        <w:t>. Visualization of forecasting results</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proposed model can be used to forecast the exchange rate effectively, and outperform the benchmarks. Several important conclusions can be drawn from the performance comparison above: (1) our proposed model can outperform the benchmarks in forecasting exchange rate with MAE and RMSE; (2) the </w:t>
      </w:r>
      <w:r>
        <w:rPr>
          <w:rFonts w:ascii="Times New Roman" w:hAnsi="Times New Roman" w:cs="Times New Roman"/>
          <w:sz w:val="24"/>
          <w:szCs w:val="32"/>
        </w:rPr>
        <w:t>LASSO</w:t>
      </w:r>
      <w:r>
        <w:rPr>
          <w:rFonts w:ascii="Times New Roman" w:hAnsi="Times New Roman" w:cs="Times New Roman"/>
          <w:sz w:val="24"/>
        </w:rPr>
        <w:t xml:space="preserve">-based models generally outperforms the single models since the </w:t>
      </w:r>
      <w:r>
        <w:rPr>
          <w:rFonts w:ascii="Times New Roman" w:hAnsi="Times New Roman" w:cs="Times New Roman"/>
          <w:sz w:val="24"/>
          <w:szCs w:val="32"/>
        </w:rPr>
        <w:t xml:space="preserve">LASSO method of feature selection does reduce overfitting and thus gives a more promising result; (3) The BiLSTM-based model is generally performs better than the other models, that is BiLSTM is more suitable to deal with the high volatility and nonlinear patterns in the time series of exchange rates. (4) exchange rate fluctuations are influenced by a variety of factors, and compared with the previous study, it is the first time that the market-based variables and macroeconomic variables have been selected to predict the exchange rate of USD/CNY. The proposed model contains more information to simulate the fluctuations of exchange rate and get more accurate predictions.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Furthermore, the 29 variables have been selected from various dimensions to predict the exchange rate of USD/CNY, our result gives new implications of what variables are significantly related to the exchange rate forecast. More specifically, 6 variables have the highest relevance with the forecast, which are: FER, DXY, S&amp;P, GEPU, CEPU, and BI. </w:t>
      </w:r>
    </w:p>
    <w:p>
      <w:pPr>
        <w:spacing w:line="360" w:lineRule="auto"/>
        <w:ind w:firstLine="420"/>
        <w:rPr>
          <w:rFonts w:ascii="Times New Roman" w:hAnsi="Times New Roman" w:cs="Times New Roman"/>
          <w:sz w:val="24"/>
        </w:rPr>
      </w:pPr>
      <w:r>
        <w:rPr>
          <w:rFonts w:ascii="Times New Roman" w:hAnsi="Times New Roman" w:cs="Times New Roman"/>
          <w:sz w:val="24"/>
        </w:rPr>
        <w:t>Foreign exchange reserves (FER) are foreign assets held by the central bank, which may be in the form of foreign currency, bonds, treasury bills, and other government securities. The explicit relationship between the exchange rate and foreign exchange reserves is that as CNY depreciated, a trade surplus would occur and thus the foreign exchange reserve would be accumulated. However, in the long run, the correlation between China’s foreign exchange reserves and the exchange rate has been found positive (Narayan &amp; Smyth, 2006). The U.S. Dollar Index (DXY) is used to evaluate the value of the dollar against a basket of six foreign currencies, which are the Euro, Swiss Franc, Japanese Yen, Canadian Dollar, British Pound, and Swedish Krona. An increase in DXY means that the Dollar is gaining strength compared to the currencies of other countries, and thus the market sentiment would be influenced. Then, the transaction in the international market would further affect the exchange rate of the dollar against the CNY. Even though the interactions between DXY and the exchange rate are relatively intermediate, DXY still has a relatively significant effect on the response variable as this research shows. We induce that DXY incorporates the international market’s situations and sentiments greatly, and thus enhances forecasting accuracy. S&amp;P 500 is a stock market index that reflects the stock performance of 500 leading companies in the U.S. The overall trend of the S&amp;P 500 reflects investors’ sentiments toward the U.S. stock market and affects investors’ decisions on fund purchases since the index can be used as a benchmark. Moreover, Lilley and Rinaldi (2018) have first illustrated that S&amp;P 500 and exchange rate began to move synchronously since the financial crisis, which is tightly related to proxies’ risk preference. Based on this research, Lilley et al. (2020) have further discovered that the U.S. dollar is likely to depreciate when risk appetite is high. Since BiLSTM is highly sensitive to market sentiment, the forecasting accuracy would be relatively ideal as S&amp;P 500 is adopted. The measurement of economic policy uncertainties (EPU) incorporates three components: quantification of policy-related economic uncertainty as shown by the newspaper, index reported by the Congressional Budget Office (CBO), and the uncertainty index drawn from Federal Reserve Bank of Philadelphia's Survey of Professional Forecasters (Economic Policy Uncertainty Index, 2012). Since the newspaper-based measurement is adopted, the capture of uncertainty would incorporate textual sentiment. This shows a high consistency with BiLSTM’s characteristic, which adopts a bidirectional prediction of texts and shows high sensitivity to emotion. Other sentiment analyses have also been done based on BiLSTM (Xu et al., 2019). Moreover, since the sample data of exchange rates are selected from a long-term scale, they would be more volatile. Liming et al. (2019) illustrate that as the volatility of exchange rates increases, the positive shock of EPU would also increase. This positive feedback loop illustrates the tight positive relationship between EPU and the exchange rate under uncertainty. Thus, if two indexes show consistency, the forecasting result brought by BiLSTM would also be more accurate. Baidu Index (BI) illustrates the search volume of 5 keywords, which are: RMB to US dollar exchange rate, RMB exchange rate, RMB to US dollar, Dollar RMB exchange rate, and Dollar renminbi exchange. High search volume may reveal the public’s attention to the exchange rate and foreign exchange market over a period of time, and thus reflect the fluctuation of market sentiments. Lin et al. (2022) have found that BI is effective for the exchange rate forecast by using the BiLSTM model, which is consistent with this research’s result.</w:t>
      </w:r>
    </w:p>
    <w:p>
      <w:pPr>
        <w:pStyle w:val="16"/>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4.2 Diebold-Mariano Test</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To further verify the statistical superiority of the proposed approach, the Diebold-Mariano (DM) test is utilized (Diebold and Mariano, 2002). </w:t>
      </w:r>
      <w:r>
        <w:rPr>
          <w:rFonts w:hint="eastAsia" w:ascii="Times New Roman" w:hAnsi="Times New Roman" w:cs="Times New Roman"/>
          <w:sz w:val="24"/>
        </w:rPr>
        <w:t>T</w:t>
      </w:r>
      <w:r>
        <w:rPr>
          <w:rFonts w:ascii="Times New Roman" w:hAnsi="Times New Roman" w:cs="Times New Roman"/>
          <w:sz w:val="24"/>
        </w:rPr>
        <w:t>he DM test is performed by checking the loss differential expectation score. Where the null hypothesis (</w:t>
      </w:r>
      <m:oMath>
        <m:sSub>
          <m:sSubPr>
            <m:ctrlPr>
              <w:rPr>
                <w:rFonts w:ascii="Cambria Math" w:hAnsi="Cambria Math" w:cs="Times New Roman"/>
                <w:i/>
                <w:sz w:val="24"/>
              </w:rPr>
            </m:ctrlPr>
          </m:sSubPr>
          <m:e>
            <m:r>
              <m:rPr/>
              <w:rPr>
                <w:rFonts w:ascii="Cambria Math" w:hAnsi="Cambria Math" w:cs="Times New Roman"/>
                <w:sz w:val="24"/>
              </w:rPr>
              <m:t>H</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oMath>
      <w:r>
        <w:rPr>
          <w:rFonts w:ascii="Times New Roman" w:hAnsi="Times New Roman" w:cs="Times New Roman"/>
          <w:sz w:val="24"/>
        </w:rPr>
        <w:t xml:space="preserve">) is that the two forecasts have equal predicting accuracy. The null hypothesis can only be rejected if the significance level is lower than 10%. The loss differential is calculated according to the root mean squared error (RMSE), which is one of the errors we have tested in the model. </w:t>
      </w:r>
    </w:p>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6: Diebold-Mariano test on results performance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636"/>
        <w:gridCol w:w="637"/>
        <w:gridCol w:w="637"/>
        <w:gridCol w:w="709"/>
        <w:gridCol w:w="637"/>
        <w:gridCol w:w="959"/>
        <w:gridCol w:w="982"/>
        <w:gridCol w:w="1058"/>
        <w:gridCol w:w="1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ASSO-KELM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ASSO-BiLSTM</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3.921*</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3.490*</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3.807*</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2.108**</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5.394*</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4.291*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4.120*</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2.949*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0.732</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1.264</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.479*</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.590</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.795***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.122**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.905*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0.306</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.226*</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.322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.444**</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.432**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.746**</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.997*</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.559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.723**</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.919*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4.059*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3.185*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2.776*</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0.618</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0</w:t>
            </w:r>
            <w:r>
              <w:rPr>
                <w:rFonts w:ascii="Times New Roman" w:hAnsi="Times New Roman" w:cs="Times New Roman"/>
                <w:sz w:val="18"/>
                <w:szCs w:val="18"/>
              </w:rPr>
              <w:t>.288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.231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.815**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.248*</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.402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.755**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.931*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.117</w:t>
            </w:r>
          </w:p>
        </w:tc>
      </w:tr>
    </w:tbl>
    <w:p>
      <w:pPr>
        <w:spacing w:before="156" w:beforeLines="50" w:line="360" w:lineRule="auto"/>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xml:space="preserve"> 1% Significance Level</w:t>
      </w:r>
    </w:p>
    <w:p>
      <w:pPr>
        <w:spacing w:before="156" w:beforeLines="50" w:line="360" w:lineRule="auto"/>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5% Significance Level</w:t>
      </w:r>
    </w:p>
    <w:p>
      <w:pPr>
        <w:spacing w:before="156" w:beforeLines="50" w:line="360" w:lineRule="auto"/>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10% Significance Level</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A</w:t>
      </w:r>
      <w:r>
        <w:rPr>
          <w:rFonts w:ascii="Times New Roman" w:hAnsi="Times New Roman" w:cs="Times New Roman"/>
          <w:sz w:val="24"/>
        </w:rPr>
        <w:t>ll of the DM statistics for LASSO-BiLSTM are negative and p values are smaller than 10%, the null hypothesis is rejected. It is revealed that the LASSO-BiLSTM approach is far superior to the other benchmarks under 95% confiden</w:t>
      </w:r>
      <w:r>
        <w:rPr>
          <w:rFonts w:hint="eastAsia" w:ascii="Times New Roman" w:hAnsi="Times New Roman" w:cs="Times New Roman"/>
          <w:sz w:val="24"/>
        </w:rPr>
        <w:t>c</w:t>
      </w:r>
      <w:r>
        <w:rPr>
          <w:rFonts w:ascii="Times New Roman" w:hAnsi="Times New Roman" w:cs="Times New Roman"/>
          <w:sz w:val="24"/>
        </w:rPr>
        <w:t>e level.</w:t>
      </w:r>
    </w:p>
    <w:p>
      <w:pPr>
        <w:pStyle w:val="9"/>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11" w:name="_Toc114151819"/>
      <w:r>
        <w:rPr>
          <w:rFonts w:ascii="Times New Roman" w:hAnsi="Times New Roman" w:eastAsia="宋体"/>
          <w:b/>
          <w:bCs/>
          <w:color w:val="0E101A"/>
          <w:sz w:val="28"/>
          <w:szCs w:val="28"/>
        </w:rPr>
        <w:t>Conclusion</w:t>
      </w:r>
      <w:bookmarkEnd w:id="11"/>
    </w:p>
    <w:p>
      <w:pPr>
        <w:spacing w:line="360" w:lineRule="auto"/>
        <w:ind w:firstLine="420"/>
        <w:rPr>
          <w:rFonts w:ascii="Times New Roman" w:hAnsi="Times New Roman" w:cs="Times New Roman"/>
          <w:sz w:val="24"/>
        </w:rPr>
      </w:pPr>
      <w:r>
        <w:rPr>
          <w:rFonts w:ascii="Times New Roman" w:hAnsi="Times New Roman" w:cs="Times New Roman"/>
          <w:sz w:val="24"/>
        </w:rPr>
        <w:t xml:space="preserve">In this paper,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 indicating that LASSO-BiLSTM has the best performance and LASSO plays an important role in forecasting accurately. </w:t>
      </w:r>
      <w:r>
        <w:rPr>
          <w:rFonts w:hint="eastAsia" w:ascii="Times New Roman" w:hAnsi="Times New Roman" w:cs="Times New Roman"/>
          <w:sz w:val="24"/>
        </w:rPr>
        <w:t>Future studies can apply LASSO-BiLSTM-based ensemble learning approach in other commodity markets or financial markets.</w:t>
      </w:r>
    </w:p>
    <w:p>
      <w:pPr>
        <w:pStyle w:val="9"/>
        <w:spacing w:before="312" w:beforeLines="100" w:beforeAutospacing="0" w:afterAutospacing="0" w:line="360" w:lineRule="auto"/>
        <w:outlineLvl w:val="0"/>
        <w:rPr>
          <w:rFonts w:ascii="Times New Roman" w:hAnsi="Times New Roman" w:eastAsia="宋体"/>
          <w:b/>
          <w:bCs/>
          <w:color w:val="0E101A"/>
          <w:sz w:val="28"/>
          <w:szCs w:val="28"/>
        </w:rPr>
      </w:pPr>
      <w:bookmarkStart w:id="12" w:name="_Toc114151820"/>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bookmarkEnd w:id="12"/>
    <w:p>
      <w:pPr>
        <w:pStyle w:val="4"/>
        <w:spacing w:line="348" w:lineRule="exact"/>
        <w:jc w:val="both"/>
        <w:rPr>
          <w:rFonts w:hint="eastAsia" w:ascii="Times New Roman" w:hAnsi="Times New Roman" w:cs="Times New Roman"/>
          <w:b/>
          <w:bCs/>
          <w:sz w:val="24"/>
          <w:szCs w:val="24"/>
          <w:shd w:val="clear" w:color="auto" w:fill="FFFFFF"/>
          <w:lang w:val="en-US" w:eastAsia="zh-CN"/>
        </w:rPr>
      </w:pPr>
    </w:p>
    <w:p>
      <w:pPr>
        <w:pStyle w:val="4"/>
        <w:spacing w:line="348" w:lineRule="exact"/>
        <w:jc w:val="both"/>
        <w:rPr>
          <w:rFonts w:hint="eastAsia" w:ascii="Times New Roman" w:hAnsi="Times New Roman" w:cs="Times New Roman"/>
          <w:b/>
          <w:bCs/>
          <w:sz w:val="24"/>
          <w:szCs w:val="24"/>
          <w:shd w:val="clear" w:color="auto" w:fill="FFFFFF"/>
          <w:lang w:val="en-US" w:eastAsia="zh-CN"/>
        </w:rPr>
      </w:pPr>
    </w:p>
    <w:p>
      <w:pPr>
        <w:pStyle w:val="4"/>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cs="Times New Roman" w:eastAsiaTheme="minorEastAsia"/>
          <w:b/>
          <w:bCs/>
          <w:sz w:val="28"/>
          <w:szCs w:val="28"/>
          <w:shd w:val="clear" w:color="auto" w:fill="FFFFFF"/>
          <w:lang w:val="en-US" w:eastAsia="zh-CN"/>
        </w:rPr>
      </w:pPr>
      <w:r>
        <w:rPr>
          <w:rFonts w:hint="eastAsia" w:ascii="Times New Roman" w:hAnsi="Times New Roman" w:cs="Times New Roman"/>
          <w:b/>
          <w:bCs/>
          <w:sz w:val="28"/>
          <w:szCs w:val="28"/>
          <w:shd w:val="clear" w:color="auto" w:fill="FFFFFF"/>
          <w:lang w:val="en-US" w:eastAsia="zh-CN"/>
        </w:rPr>
        <w:t>References</w:t>
      </w:r>
    </w:p>
    <w:p>
      <w:pPr>
        <w:pStyle w:val="4"/>
        <w:keepNext w:val="0"/>
        <w:keepLines w:val="0"/>
        <w:pageBreakBefore w:val="0"/>
        <w:widowControl w:val="0"/>
        <w:kinsoku/>
        <w:wordWrap/>
        <w:overflowPunct/>
        <w:topLinePunct w:val="0"/>
        <w:autoSpaceDE/>
        <w:autoSpaceDN/>
        <w:bidi w:val="0"/>
        <w:adjustRightInd/>
        <w:snapToGrid w:val="0"/>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Aslan, M. F., Unlersen, M. F., Sabanci, K., &amp; Durdu, A. (2021). CNN-based transfer learning–BiLSTM network: A novel approach for COVID-19 infection detection. </w:t>
      </w:r>
      <w:r>
        <w:rPr>
          <w:rFonts w:ascii="Times New Roman" w:hAnsi="Times New Roman" w:cs="Times New Roman"/>
          <w:i/>
          <w:iCs/>
          <w:sz w:val="24"/>
          <w:szCs w:val="24"/>
        </w:rPr>
        <w:t>Applied Soft 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98</w:t>
      </w:r>
      <w:r>
        <w:rPr>
          <w:rFonts w:ascii="Times New Roman" w:hAnsi="Times New Roman" w:cs="Times New Roman"/>
          <w:sz w:val="24"/>
          <w:szCs w:val="24"/>
          <w:shd w:val="clear" w:color="auto" w:fill="FFFFFF"/>
        </w:rPr>
        <w:t>, 106912.</w:t>
      </w:r>
    </w:p>
    <w:p>
      <w:pPr>
        <w:pStyle w:val="4"/>
        <w:keepNext w:val="0"/>
        <w:keepLines w:val="0"/>
        <w:pageBreakBefore w:val="0"/>
        <w:widowControl w:val="0"/>
        <w:kinsoku/>
        <w:wordWrap/>
        <w:overflowPunct/>
        <w:topLinePunct w:val="0"/>
        <w:autoSpaceDE/>
        <w:autoSpaceDN/>
        <w:bidi w:val="0"/>
        <w:adjustRightInd/>
        <w:snapToGrid w:val="0"/>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Baffour, A. A., Feng, J., &amp; Taylor, E. K. (2019). A hybrid artificial neural network-GJR modeling approach to forecasting currency exchange rate volatility. Neurocomputing, 365, 285-301.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Bulut, L. (2018). Google Trends and the forecasting performance of exchange rate models. Journal of Forecasting, 37(3), 303-315.</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rPr>
      </w:pPr>
      <w:r>
        <w:rPr>
          <w:rFonts w:ascii="Times New Roman" w:hAnsi="Times New Roman" w:cs="Times New Roman"/>
          <w:sz w:val="24"/>
          <w:szCs w:val="24"/>
        </w:rPr>
        <w:t>Cashin, P., Céspedes, L. F., &amp; Sahay, R. (2004). Commodity currencies and the real exchange rate. Journal of Development Economics, 75(1), 239-268.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Chen, H. L., Wang, G., Ma, C., Cai, Z. N., Liu, W. B., &amp; Wang, S. J. (2016). An efficient hybrid kernel extreme learning machine approach for early diagnosis of Parkinson׳ s disease. </w:t>
      </w:r>
      <w:r>
        <w:rPr>
          <w:rFonts w:ascii="Times New Roman" w:hAnsi="Times New Roman" w:cs="Times New Roman"/>
          <w:i/>
          <w:iCs/>
          <w:sz w:val="24"/>
          <w:szCs w:val="24"/>
        </w:rPr>
        <w:t>Neurocomputing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184</w:t>
      </w:r>
      <w:r>
        <w:rPr>
          <w:rFonts w:ascii="Times New Roman" w:hAnsi="Times New Roman" w:cs="Times New Roman"/>
          <w:sz w:val="24"/>
          <w:szCs w:val="24"/>
          <w:shd w:val="clear" w:color="auto" w:fill="FFFFFF"/>
        </w:rPr>
        <w:t>, 131-144.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hint="eastAsia" w:ascii="Times New Roman" w:hAnsi="Times New Roman" w:cs="Times New Roman"/>
          <w:sz w:val="24"/>
          <w:szCs w:val="24"/>
          <w:shd w:val="clear" w:color="auto" w:fill="FFFFFF"/>
        </w:rPr>
        <w:t>C</w:t>
      </w:r>
      <w:r>
        <w:rPr>
          <w:rFonts w:ascii="Times New Roman" w:hAnsi="Times New Roman" w:cs="Times New Roman"/>
          <w:sz w:val="24"/>
          <w:szCs w:val="24"/>
          <w:shd w:val="clear" w:color="auto" w:fill="FFFFFF"/>
        </w:rPr>
        <w:t>hen, L., Du, Z., &amp; Hu, Z. (2019). Impact of economic policy uncertainty on exchange rate volatility of China.</w:t>
      </w:r>
      <w:r>
        <w:rPr>
          <w:rFonts w:ascii="Times New Roman" w:hAnsi="Times New Roman" w:cs="Times New Roman"/>
          <w:i/>
          <w:iCs/>
          <w:sz w:val="24"/>
          <w:szCs w:val="24"/>
          <w:shd w:val="clear" w:color="auto" w:fill="FFFFFF"/>
        </w:rPr>
        <w:t xml:space="preserve"> Finance Research Letters</w:t>
      </w:r>
      <w:r>
        <w:rPr>
          <w:rFonts w:ascii="Times New Roman" w:hAnsi="Times New Roman" w:cs="Times New Roman"/>
          <w:sz w:val="24"/>
          <w:szCs w:val="24"/>
          <w:shd w:val="clear" w:color="auto" w:fill="FFFFFF"/>
        </w:rPr>
        <w:t>. https://doi.org/10.1016/j.frl.2019.08.014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Chen, T., Xu, R., He, Y., &amp; Wang, X. (2017). Improving sentiment analysis via sentence type classification using BiLSTM-CRF and CNN. </w:t>
      </w:r>
      <w:r>
        <w:rPr>
          <w:rFonts w:ascii="Times New Roman" w:hAnsi="Times New Roman" w:cs="Times New Roman"/>
          <w:i/>
          <w:iCs/>
          <w:sz w:val="24"/>
          <w:szCs w:val="24"/>
        </w:rPr>
        <w:t>Expert Systems with Applications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72</w:t>
      </w:r>
      <w:r>
        <w:rPr>
          <w:rFonts w:ascii="Times New Roman" w:hAnsi="Times New Roman" w:cs="Times New Roman"/>
          <w:sz w:val="24"/>
          <w:szCs w:val="24"/>
          <w:shd w:val="clear" w:color="auto" w:fill="FFFFFF"/>
        </w:rPr>
        <w:t>, 221-230.</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Cortes, C., &amp; Vapnik, V. (1995). Support-vector networks. </w:t>
      </w:r>
      <w:r>
        <w:rPr>
          <w:rFonts w:ascii="Times New Roman" w:hAnsi="Times New Roman" w:cs="Times New Roman"/>
          <w:i/>
          <w:iCs/>
          <w:sz w:val="24"/>
          <w:szCs w:val="24"/>
        </w:rPr>
        <w:t>Machine learning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20</w:t>
      </w:r>
      <w:r>
        <w:rPr>
          <w:rFonts w:ascii="Times New Roman" w:hAnsi="Times New Roman" w:cs="Times New Roman"/>
          <w:sz w:val="24"/>
          <w:szCs w:val="24"/>
          <w:shd w:val="clear" w:color="auto" w:fill="FFFFFF"/>
        </w:rPr>
        <w:t>(3), 273-297.</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Datta, R. K., Sajid, S. W., Moon, M. H., &amp; Abedin, M. Z. (2021). Foreign Currency Exchange Rate Prediction Using Bidirectional Long Short Term Memory. Studies in Computational Intelligence, 213–227. https://doi.org/10.1007/978-3-030-73057-4_17</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Ding, S., Xu, X., &amp; Nie, R. (2014). Extreme learning machine and its applications. </w:t>
      </w:r>
      <w:r>
        <w:rPr>
          <w:rFonts w:ascii="Times New Roman" w:hAnsi="Times New Roman" w:cs="Times New Roman"/>
          <w:i/>
          <w:iCs/>
          <w:sz w:val="24"/>
          <w:szCs w:val="24"/>
        </w:rPr>
        <w:t>Neural Computing and Applications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25</w:t>
      </w:r>
      <w:r>
        <w:rPr>
          <w:rFonts w:ascii="Times New Roman" w:hAnsi="Times New Roman" w:cs="Times New Roman"/>
          <w:sz w:val="24"/>
          <w:szCs w:val="24"/>
          <w:shd w:val="clear" w:color="auto" w:fill="FFFFFF"/>
        </w:rPr>
        <w:t>(3), 549-556.</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Ding, S., Zhao, H., Zhang, Y., Xu, X., &amp; Nie, R. (2015). Extreme learning machine: algorithm, theory and applications. </w:t>
      </w:r>
      <w:r>
        <w:rPr>
          <w:rFonts w:ascii="Times New Roman" w:hAnsi="Times New Roman" w:cs="Times New Roman"/>
          <w:i/>
          <w:iCs/>
          <w:sz w:val="24"/>
          <w:szCs w:val="24"/>
        </w:rPr>
        <w:t>Artificial Intelligence Review</w:t>
      </w:r>
      <w:r>
        <w:rPr>
          <w:rFonts w:ascii="Times New Roman" w:hAnsi="Times New Roman" w:cs="Times New Roman"/>
          <w:sz w:val="24"/>
          <w:szCs w:val="24"/>
          <w:shd w:val="clear" w:color="auto" w:fill="FFFFFF"/>
        </w:rPr>
        <w:t>, </w:t>
      </w:r>
      <w:r>
        <w:rPr>
          <w:rFonts w:ascii="Times New Roman" w:hAnsi="Times New Roman" w:cs="Times New Roman"/>
          <w:i/>
          <w:iCs/>
          <w:sz w:val="24"/>
          <w:szCs w:val="24"/>
        </w:rPr>
        <w:t>44</w:t>
      </w:r>
      <w:r>
        <w:rPr>
          <w:rFonts w:ascii="Times New Roman" w:hAnsi="Times New Roman" w:cs="Times New Roman"/>
          <w:sz w:val="24"/>
          <w:szCs w:val="24"/>
          <w:shd w:val="clear" w:color="auto" w:fill="FFFFFF"/>
        </w:rPr>
        <w:t>(1), 103-115.</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Ding, X., Liu, J., Yang, F., &amp; Cao, J. (2021). Random radial basis function kernel-based support vector machine. </w:t>
      </w:r>
      <w:r>
        <w:rPr>
          <w:rFonts w:ascii="Times New Roman" w:hAnsi="Times New Roman" w:cs="Times New Roman"/>
          <w:i/>
          <w:iCs/>
          <w:sz w:val="24"/>
          <w:szCs w:val="24"/>
        </w:rPr>
        <w:t>Journal of the Franklin Institute</w:t>
      </w:r>
      <w:r>
        <w:rPr>
          <w:rFonts w:ascii="Times New Roman" w:hAnsi="Times New Roman" w:cs="Times New Roman"/>
          <w:sz w:val="24"/>
          <w:szCs w:val="24"/>
          <w:shd w:val="clear" w:color="auto" w:fill="FFFFFF"/>
        </w:rPr>
        <w:t>, </w:t>
      </w:r>
      <w:r>
        <w:rPr>
          <w:rFonts w:ascii="Times New Roman" w:hAnsi="Times New Roman" w:cs="Times New Roman"/>
          <w:i/>
          <w:iCs/>
          <w:sz w:val="24"/>
          <w:szCs w:val="24"/>
        </w:rPr>
        <w:t>358</w:t>
      </w:r>
      <w:r>
        <w:rPr>
          <w:rFonts w:ascii="Times New Roman" w:hAnsi="Times New Roman" w:cs="Times New Roman"/>
          <w:sz w:val="24"/>
          <w:szCs w:val="24"/>
          <w:shd w:val="clear" w:color="auto" w:fill="FFFFFF"/>
        </w:rPr>
        <w:t>(18), 10121-10140.</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Economic Policy Uncertainty Index. (2012). Policyuncertainty.com. https://www.policyuncertainty.com/</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Hameed, Z., &amp; Garcia-Zapirain, B. (2020). Sentiment classification using a single-layered BiLSTM model. </w:t>
      </w:r>
      <w:r>
        <w:rPr>
          <w:rFonts w:ascii="Times New Roman" w:hAnsi="Times New Roman" w:eastAsia="PMingLiU" w:cs="Times New Roman"/>
          <w:i/>
          <w:iCs/>
          <w:kern w:val="0"/>
          <w:sz w:val="24"/>
          <w:szCs w:val="24"/>
        </w:rPr>
        <w:t>IEEE Access</w:t>
      </w:r>
      <w:r>
        <w:rPr>
          <w:rFonts w:ascii="Times New Roman" w:hAnsi="Times New Roman" w:eastAsia="PMingLiU" w:cs="Times New Roman"/>
          <w:kern w:val="0"/>
          <w:sz w:val="24"/>
          <w:szCs w:val="24"/>
          <w:shd w:val="clear" w:color="auto" w:fill="FFFFFF"/>
        </w:rPr>
        <w:t>, </w:t>
      </w:r>
      <w:r>
        <w:rPr>
          <w:rFonts w:ascii="Times New Roman" w:hAnsi="Times New Roman" w:eastAsia="PMingLiU" w:cs="Times New Roman"/>
          <w:i/>
          <w:iCs/>
          <w:kern w:val="0"/>
          <w:sz w:val="24"/>
          <w:szCs w:val="24"/>
        </w:rPr>
        <w:t>8</w:t>
      </w:r>
      <w:r>
        <w:rPr>
          <w:rFonts w:ascii="Times New Roman" w:hAnsi="Times New Roman" w:eastAsia="PMingLiU" w:cs="Times New Roman"/>
          <w:kern w:val="0"/>
          <w:sz w:val="24"/>
          <w:szCs w:val="24"/>
          <w:shd w:val="clear" w:color="auto" w:fill="FFFFFF"/>
        </w:rPr>
        <w:t>, 73992-74001.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Henríquez, J., &amp; Kristjanpoller, W. (2019). A combined Independent Component Analysis–Neural Network model for forecasting exchange rate variation. Applied Soft Computing, 83, 105654.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Hochreiter, S., &amp; Schmidhuber, J. (1997). Long short-term memory. </w:t>
      </w:r>
      <w:r>
        <w:rPr>
          <w:rFonts w:ascii="Times New Roman" w:hAnsi="Times New Roman" w:cs="Times New Roman"/>
          <w:i/>
          <w:iCs/>
          <w:sz w:val="24"/>
          <w:szCs w:val="24"/>
        </w:rPr>
        <w:t>Neural computation</w:t>
      </w:r>
      <w:r>
        <w:rPr>
          <w:rFonts w:ascii="Times New Roman" w:hAnsi="Times New Roman" w:cs="Times New Roman"/>
          <w:sz w:val="24"/>
          <w:szCs w:val="24"/>
          <w:shd w:val="clear" w:color="auto" w:fill="FFFFFF"/>
        </w:rPr>
        <w:t>, </w:t>
      </w:r>
      <w:r>
        <w:rPr>
          <w:rFonts w:ascii="Times New Roman" w:hAnsi="Times New Roman" w:cs="Times New Roman"/>
          <w:i/>
          <w:iCs/>
          <w:sz w:val="24"/>
          <w:szCs w:val="24"/>
        </w:rPr>
        <w:t>9</w:t>
      </w:r>
      <w:r>
        <w:rPr>
          <w:rFonts w:ascii="Times New Roman" w:hAnsi="Times New Roman" w:cs="Times New Roman"/>
          <w:sz w:val="24"/>
          <w:szCs w:val="24"/>
          <w:shd w:val="clear" w:color="auto" w:fill="FFFFFF"/>
        </w:rPr>
        <w:t>(8), 1735-1780.</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Huang, G. B., Zhu, Q. Y., &amp; Siew, C. K. (2006). Extreme learning machine: theory and applications. </w:t>
      </w:r>
      <w:r>
        <w:rPr>
          <w:rFonts w:ascii="Times New Roman" w:hAnsi="Times New Roman" w:cs="Times New Roman"/>
          <w:i/>
          <w:iCs/>
          <w:sz w:val="24"/>
          <w:szCs w:val="24"/>
        </w:rPr>
        <w:t>Neurocomputing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70</w:t>
      </w:r>
      <w:r>
        <w:rPr>
          <w:rFonts w:ascii="Times New Roman" w:hAnsi="Times New Roman" w:cs="Times New Roman"/>
          <w:sz w:val="24"/>
          <w:szCs w:val="24"/>
          <w:shd w:val="clear" w:color="auto" w:fill="FFFFFF"/>
        </w:rPr>
        <w:t>(1-3), 489-501.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Iosifidis, A., Tefas, A., &amp; Pitas, I. (2015). On the kernel extreme learning machine classifier. </w:t>
      </w:r>
      <w:r>
        <w:rPr>
          <w:rFonts w:ascii="Times New Roman" w:hAnsi="Times New Roman" w:cs="Times New Roman"/>
          <w:i/>
          <w:iCs/>
          <w:sz w:val="24"/>
          <w:szCs w:val="24"/>
        </w:rPr>
        <w:t>Pattern Recognition Letters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54</w:t>
      </w:r>
      <w:r>
        <w:rPr>
          <w:rFonts w:ascii="Times New Roman" w:hAnsi="Times New Roman" w:cs="Times New Roman"/>
          <w:sz w:val="24"/>
          <w:szCs w:val="24"/>
          <w:shd w:val="clear" w:color="auto" w:fill="FFFFFF"/>
        </w:rPr>
        <w:t>, 11-17.</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 xml:space="preserve">Islam, M. S., &amp; Hossain, E. (2020). Foreign exchange currency rate prediction using a GRU-LSTM hybrid network. Soft Computing Letters, 100009. </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Jain, A., &amp; Biswal, P. C. (2016). Dynamic linkages among oil price, gold price, exchange rate, and the stock market in India. Resources Policy, 49, 179-185.</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rPr>
      </w:pPr>
      <w:r>
        <w:rPr>
          <w:rFonts w:ascii="Times New Roman" w:hAnsi="Times New Roman" w:cs="Times New Roman"/>
          <w:sz w:val="24"/>
          <w:szCs w:val="24"/>
        </w:rPr>
        <w:t xml:space="preserve">Kim, Y., &amp; Park, C. (2020). Are exchange rates disconnected from macroeconomic variables? Evidence from the factor approach. Empirical Economics, 58(4), 1713-1747. </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Lilley, A., Maggiori, M., Neiman, B., &amp; Schreger, J. (2020). Exchange Rate Reconnect. The Review of Economics and Statistics, 1–28. https://doi.org/10.1162/rest_a_00978</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Lilley, A., &amp; Rinaldi, G. (2018, October 8). Currency Betas and Interest Rate Spreads. Papers.ssrn.com. https://ssrn.com/abstract=3262313</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Lin, Y., Wang, R., Gong, X., &amp; Jia, G. (2022). Cross-correlation and forecast impact of public attention on USD/CNY exchange rate: Evidence from Baidu Index. Physica A: Statistical Mechanics and Its Applications, 127686. https://doi.org/10.1016/j.physa.2022.127686</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Liu, X., Wang, L., Huang, G. B., Zhang, J., &amp; Yin, J. (2015). Multiple kernel extreme learning machine. </w:t>
      </w:r>
      <w:r>
        <w:rPr>
          <w:rFonts w:ascii="Times New Roman" w:hAnsi="Times New Roman" w:cs="Times New Roman"/>
          <w:i/>
          <w:iCs/>
          <w:sz w:val="24"/>
          <w:szCs w:val="24"/>
        </w:rPr>
        <w:t>Neurocomputing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149</w:t>
      </w:r>
      <w:r>
        <w:rPr>
          <w:rFonts w:ascii="Times New Roman" w:hAnsi="Times New Roman" w:cs="Times New Roman"/>
          <w:sz w:val="24"/>
          <w:szCs w:val="24"/>
          <w:shd w:val="clear" w:color="auto" w:fill="FFFFFF"/>
        </w:rPr>
        <w:t>, 253-264.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Lu, X., Li, J., Zhou, Y., &amp; Qian, Y. (2017). Cross-correlations between RMB exchange rate and international commodity markets. </w:t>
      </w:r>
      <w:r>
        <w:rPr>
          <w:rFonts w:ascii="Times New Roman" w:hAnsi="Times New Roman" w:eastAsia="宋体" w:cs="Times New Roman"/>
          <w:i/>
          <w:iCs/>
          <w:sz w:val="24"/>
          <w:szCs w:val="24"/>
          <w:shd w:val="clear" w:color="auto" w:fill="FFFFFF"/>
        </w:rPr>
        <w:t>Physica A: Statistical Mechanics and its Applications</w:t>
      </w:r>
      <w:r>
        <w:rPr>
          <w:rFonts w:ascii="Times New Roman" w:hAnsi="Times New Roman" w:eastAsia="宋体" w:cs="Times New Roman"/>
          <w:sz w:val="24"/>
          <w:szCs w:val="24"/>
          <w:shd w:val="clear" w:color="auto" w:fill="FFFFFF"/>
        </w:rPr>
        <w:t xml:space="preserve">, 486, 168-182. </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Lv, L., Wang, W., Zhang, Z., &amp; Liu, X. (2020). A novel intrusion detection system based on an optimal hybrid kernel extreme learning machine. </w:t>
      </w:r>
      <w:r>
        <w:rPr>
          <w:rFonts w:ascii="Times New Roman" w:hAnsi="Times New Roman" w:cs="Times New Roman"/>
          <w:i/>
          <w:iCs/>
          <w:sz w:val="24"/>
          <w:szCs w:val="24"/>
        </w:rPr>
        <w:t>Knowledge-based systems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195</w:t>
      </w:r>
      <w:r>
        <w:rPr>
          <w:rFonts w:ascii="Times New Roman" w:hAnsi="Times New Roman" w:cs="Times New Roman"/>
          <w:sz w:val="24"/>
          <w:szCs w:val="24"/>
          <w:shd w:val="clear" w:color="auto" w:fill="FFFFFF"/>
        </w:rPr>
        <w:t>, 105648.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Madheswaran, M., &amp; Dhas, D. A. S. (2015). Classification of brain MRI images using support vector machine with various Kernels. </w:t>
      </w:r>
      <w:r>
        <w:rPr>
          <w:rFonts w:ascii="Times New Roman" w:hAnsi="Times New Roman" w:cs="Times New Roman"/>
          <w:i/>
          <w:iCs/>
          <w:sz w:val="24"/>
          <w:szCs w:val="24"/>
        </w:rPr>
        <w:t>Biomedical Research</w:t>
      </w:r>
      <w:r>
        <w:rPr>
          <w:rFonts w:ascii="Times New Roman" w:hAnsi="Times New Roman" w:cs="Times New Roman"/>
          <w:sz w:val="24"/>
          <w:szCs w:val="24"/>
          <w:shd w:val="clear" w:color="auto" w:fill="FFFFFF"/>
        </w:rPr>
        <w:t>, </w:t>
      </w:r>
      <w:r>
        <w:rPr>
          <w:rFonts w:ascii="Times New Roman" w:hAnsi="Times New Roman" w:cs="Times New Roman"/>
          <w:i/>
          <w:iCs/>
          <w:sz w:val="24"/>
          <w:szCs w:val="24"/>
        </w:rPr>
        <w:t>26</w:t>
      </w:r>
      <w:r>
        <w:rPr>
          <w:rFonts w:ascii="Times New Roman" w:hAnsi="Times New Roman" w:cs="Times New Roman"/>
          <w:sz w:val="24"/>
          <w:szCs w:val="24"/>
          <w:shd w:val="clear" w:color="auto" w:fill="FFFFFF"/>
        </w:rPr>
        <w:t>(3), 505-513.</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Narayan, P. K., &amp; Smyth, R. (2006). The dynamic relationship between real exchange rates, real interest rates and foreign exchange reserves: empirical evidence from China. Applied Financial Economics, 16(9), 639–651. https://doi.org/10.1080/09603100500401278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Sherstinsky, A. (2020). Fundamentals of recurrent neural network (RNN) and long short-term memory (LSTM) network. </w:t>
      </w:r>
      <w:r>
        <w:rPr>
          <w:rFonts w:ascii="Times New Roman" w:hAnsi="Times New Roman" w:cs="Times New Roman"/>
          <w:i/>
          <w:iCs/>
          <w:sz w:val="24"/>
          <w:szCs w:val="24"/>
        </w:rPr>
        <w:t>Physica D: Nonlinear Phenomena</w:t>
      </w:r>
      <w:r>
        <w:rPr>
          <w:rFonts w:ascii="Times New Roman" w:hAnsi="Times New Roman" w:cs="Times New Roman"/>
          <w:sz w:val="24"/>
          <w:szCs w:val="24"/>
          <w:shd w:val="clear" w:color="auto" w:fill="FFFFFF"/>
        </w:rPr>
        <w:t>, </w:t>
      </w:r>
      <w:r>
        <w:rPr>
          <w:rFonts w:ascii="Times New Roman" w:hAnsi="Times New Roman" w:cs="Times New Roman"/>
          <w:i/>
          <w:iCs/>
          <w:sz w:val="24"/>
          <w:szCs w:val="24"/>
        </w:rPr>
        <w:t>404</w:t>
      </w:r>
      <w:r>
        <w:rPr>
          <w:rFonts w:ascii="Times New Roman" w:hAnsi="Times New Roman" w:cs="Times New Roman"/>
          <w:sz w:val="24"/>
          <w:szCs w:val="24"/>
          <w:shd w:val="clear" w:color="auto" w:fill="FFFFFF"/>
        </w:rPr>
        <w:t>, 132306.</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Singhal, S., Choudhary, S., &amp; Biswal, P. C. (2019). Return and volatility linkages among International crude oil price, gold price, exchange rate and stock markets: Evidence from Mexico. Resources Policy, 60, 255-261.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Smola, A. J., &amp; Schölkopf, B. (2004). A tutorial on support vector regression. </w:t>
      </w:r>
      <w:r>
        <w:rPr>
          <w:rFonts w:ascii="Times New Roman" w:hAnsi="Times New Roman" w:cs="Times New Roman"/>
          <w:i/>
          <w:iCs/>
          <w:sz w:val="24"/>
          <w:szCs w:val="24"/>
        </w:rPr>
        <w:t>Statistics and 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14</w:t>
      </w:r>
      <w:r>
        <w:rPr>
          <w:rFonts w:ascii="Times New Roman" w:hAnsi="Times New Roman" w:cs="Times New Roman"/>
          <w:sz w:val="24"/>
          <w:szCs w:val="24"/>
          <w:shd w:val="clear" w:color="auto" w:fill="FFFFFF"/>
        </w:rPr>
        <w:t>(3), 199-222.</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Sujit, K. S., &amp; Kumar, B. R. (2011). Study on the dynamic relationship among gold price, oil price, exchange rate and stock market returns. International journal of applied business and economic research, 9(2), 145-165.</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Tibshirani, R. (1996). Regression shrinkage and selection via the lasso. </w:t>
      </w:r>
      <w:r>
        <w:rPr>
          <w:rFonts w:ascii="Times New Roman" w:hAnsi="Times New Roman" w:cs="Times New Roman"/>
          <w:i/>
          <w:iCs/>
          <w:sz w:val="24"/>
          <w:szCs w:val="24"/>
        </w:rPr>
        <w:t>Journal of the Royal Statistical Society: Series B (Methodological)</w:t>
      </w:r>
      <w:r>
        <w:rPr>
          <w:rFonts w:ascii="Times New Roman" w:hAnsi="Times New Roman" w:cs="Times New Roman"/>
          <w:sz w:val="24"/>
          <w:szCs w:val="24"/>
          <w:shd w:val="clear" w:color="auto" w:fill="FFFFFF"/>
        </w:rPr>
        <w:t>, </w:t>
      </w:r>
      <w:r>
        <w:rPr>
          <w:rFonts w:ascii="Times New Roman" w:hAnsi="Times New Roman" w:cs="Times New Roman"/>
          <w:i/>
          <w:iCs/>
          <w:sz w:val="24"/>
          <w:szCs w:val="24"/>
        </w:rPr>
        <w:t>58</w:t>
      </w:r>
      <w:r>
        <w:rPr>
          <w:rFonts w:ascii="Times New Roman" w:hAnsi="Times New Roman" w:cs="Times New Roman"/>
          <w:sz w:val="24"/>
          <w:szCs w:val="24"/>
          <w:shd w:val="clear" w:color="auto" w:fill="FFFFFF"/>
        </w:rPr>
        <w:t>(1), 267-288.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Tibshirani, R. (1997). The lasso method for variable selection in the Cox model. </w:t>
      </w:r>
      <w:r>
        <w:rPr>
          <w:rFonts w:ascii="Times New Roman" w:hAnsi="Times New Roman" w:cs="Times New Roman"/>
          <w:i/>
          <w:iCs/>
          <w:sz w:val="24"/>
          <w:szCs w:val="24"/>
        </w:rPr>
        <w:t>Statistics in medicine</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16</w:t>
      </w:r>
      <w:r>
        <w:rPr>
          <w:rFonts w:ascii="Times New Roman" w:hAnsi="Times New Roman" w:cs="Times New Roman"/>
          <w:sz w:val="24"/>
          <w:szCs w:val="24"/>
          <w:shd w:val="clear" w:color="auto" w:fill="FFFFFF"/>
        </w:rPr>
        <w:t>(4), 385-395.</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 xml:space="preserve">Wei, Y., Sun, S., Lai, K. K., &amp; Abbas, G. (2018). A KELM-Based Ensemble Learning Approach for Exchange Rate Forecasting. Journal of Systems Science and Information, 6(4), 289-301. </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Wu, C. H., Ho, J. M., &amp; Lee, D. T. (2004). Travel-time prediction with support vector regression. </w:t>
      </w:r>
      <w:r>
        <w:rPr>
          <w:rFonts w:ascii="Times New Roman" w:hAnsi="Times New Roman" w:cs="Times New Roman"/>
          <w:i/>
          <w:iCs/>
          <w:sz w:val="24"/>
          <w:szCs w:val="24"/>
        </w:rPr>
        <w:t>IEEE transactions on intelligent transportation systems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5</w:t>
      </w:r>
      <w:r>
        <w:rPr>
          <w:rFonts w:ascii="Times New Roman" w:hAnsi="Times New Roman" w:cs="Times New Roman"/>
          <w:sz w:val="24"/>
          <w:szCs w:val="24"/>
          <w:shd w:val="clear" w:color="auto" w:fill="FFFFFF"/>
        </w:rPr>
        <w:t>(4), 276-281.</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Xu, G., Meng, Y., Qiu, X., Yu, Z., &amp; Wu, X. (2019). Sentiment Analysis of Comment Texts Based on BiLSTM. IEEE Access, 7, 51522–51532. https://doi.org/10.1109/access.2019.2909919</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Zhang, Y., Wang, J., &amp; Zhang, X. (2018, June). Ynu-hpcc at semeval-2018 task 1: Bilstm with attention based sentiment analysis for affect in tweets. In </w:t>
      </w:r>
      <w:r>
        <w:rPr>
          <w:rFonts w:ascii="Times New Roman" w:hAnsi="Times New Roman" w:eastAsia="PMingLiU" w:cs="Times New Roman"/>
          <w:i/>
          <w:iCs/>
          <w:kern w:val="0"/>
          <w:sz w:val="24"/>
          <w:szCs w:val="24"/>
        </w:rPr>
        <w:t>Proceedings of The 12th International Workshop on Semantic Evaluation</w:t>
      </w:r>
      <w:r>
        <w:rPr>
          <w:rFonts w:ascii="Times New Roman" w:hAnsi="Times New Roman" w:eastAsia="PMingLiU" w:cs="Times New Roman"/>
          <w:kern w:val="0"/>
          <w:sz w:val="24"/>
          <w:szCs w:val="24"/>
          <w:shd w:val="clear" w:color="auto" w:fill="FFFFFF"/>
        </w:rPr>
        <w:t> (pp. 273-278).</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p>
    <w:p>
      <w:pPr>
        <w:keepNext w:val="0"/>
        <w:keepLines w:val="0"/>
        <w:pageBreakBefore w:val="0"/>
        <w:widowControl w:val="0"/>
        <w:kinsoku/>
        <w:wordWrap/>
        <w:overflowPunct/>
        <w:topLinePunct w:val="0"/>
        <w:autoSpaceDE/>
        <w:autoSpaceDN/>
        <w:bidi w:val="0"/>
        <w:adjustRightInd/>
        <w:spacing w:line="360" w:lineRule="auto"/>
        <w:textAlignment w:val="auto"/>
      </w:pPr>
    </w:p>
    <w:sectPr>
      <w:footerReference r:id="rId4" w:type="default"/>
      <w:footnotePr>
        <w:numFmt w:val="chicago"/>
      </w:footnote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細明體">
    <w:altName w:val="PMingLiU-ExtB"/>
    <w:panose1 w:val="02020509000000000000"/>
    <w:charset w:val="88"/>
    <w:family w:val="modern"/>
    <w:pitch w:val="default"/>
    <w:sig w:usb0="00000000" w:usb1="00000000" w:usb2="00000016" w:usb3="00000000" w:csb0="00100001"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8251137"/>
    </w:sdtPr>
    <w:sdtEndPr>
      <w:rPr>
        <w:rFonts w:ascii="Times New Roman" w:hAnsi="Times New Roman" w:cs="Times New Roman"/>
        <w:sz w:val="21"/>
        <w:szCs w:val="21"/>
      </w:rPr>
    </w:sdtEndPr>
    <w:sdtContent>
      <w:p>
        <w:pPr>
          <w:pStyle w:val="6"/>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contextualSpacing/>
        <w:rPr>
          <w:rFonts w:ascii="Times New Roman" w:hAnsi="Times New Roman"/>
          <w:sz w:val="16"/>
          <w:szCs w:val="16"/>
        </w:rPr>
      </w:pPr>
      <w:r>
        <w:rPr>
          <w:rStyle w:val="15"/>
        </w:rPr>
        <w:footnoteRef/>
      </w:r>
      <w:r>
        <w:t xml:space="preserve"> </w:t>
      </w:r>
      <w:r>
        <w:rPr>
          <w:rFonts w:ascii="Times New Roman" w:hAnsi="Times New Roman"/>
          <w:sz w:val="16"/>
          <w:szCs w:val="16"/>
        </w:rPr>
        <w:t xml:space="preserve">Corresponding author’s email: weiyunjie@amss.ac.cn (Yunjie Wei), </w:t>
      </w:r>
    </w:p>
    <w:p>
      <w:pPr>
        <w:contextualSpacing/>
        <w:rPr>
          <w:rFonts w:ascii="Times New Roman" w:hAnsi="Times New Roman"/>
          <w:sz w:val="16"/>
          <w:szCs w:val="16"/>
        </w:rPr>
      </w:pPr>
      <w:r>
        <w:rPr>
          <w:rFonts w:ascii="Times New Roman" w:hAnsi="Times New Roman"/>
          <w:sz w:val="16"/>
          <w:szCs w:val="16"/>
        </w:rPr>
        <w:t>Postal Address: Academy of Mathematics and Systems Science, Chinese Academy of Sciences, Zhongguancun East Road, # 55, Haidian District, Beijing, PR China, Tel: +86 10 82541655</w:t>
      </w:r>
    </w:p>
    <w:p>
      <w:pPr>
        <w:pStyle w:val="8"/>
      </w:pPr>
      <w:r>
        <w:rPr>
          <w:rFonts w:ascii="Times New Roman" w:hAnsi="Times New Roman"/>
          <w:sz w:val="16"/>
          <w:szCs w:val="16"/>
        </w:rPr>
        <w:t>Acknowledgements: This research work was partly supported by the National Natural Science Foundation of China under Grants No. 72171223, No. 71801213 and No. 71988101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550354"/>
    <w:multiLevelType w:val="singleLevel"/>
    <w:tmpl w:val="2955035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chicago"/>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4C032F81"/>
    <w:rsid w:val="00004081"/>
    <w:rsid w:val="00016FB3"/>
    <w:rsid w:val="000257F6"/>
    <w:rsid w:val="00060EE8"/>
    <w:rsid w:val="00067AFA"/>
    <w:rsid w:val="00092551"/>
    <w:rsid w:val="000C73F0"/>
    <w:rsid w:val="000D2DB8"/>
    <w:rsid w:val="000F38A9"/>
    <w:rsid w:val="0016406D"/>
    <w:rsid w:val="00177A25"/>
    <w:rsid w:val="00196573"/>
    <w:rsid w:val="00196633"/>
    <w:rsid w:val="001B07E0"/>
    <w:rsid w:val="001E4490"/>
    <w:rsid w:val="002271F9"/>
    <w:rsid w:val="00231E2C"/>
    <w:rsid w:val="00256097"/>
    <w:rsid w:val="002E645F"/>
    <w:rsid w:val="003211EF"/>
    <w:rsid w:val="003448B8"/>
    <w:rsid w:val="003658D1"/>
    <w:rsid w:val="00373CAB"/>
    <w:rsid w:val="00390347"/>
    <w:rsid w:val="003C4F99"/>
    <w:rsid w:val="003E3FB5"/>
    <w:rsid w:val="0041076F"/>
    <w:rsid w:val="00433C17"/>
    <w:rsid w:val="004664B0"/>
    <w:rsid w:val="00473E59"/>
    <w:rsid w:val="004E7EF0"/>
    <w:rsid w:val="004F3BC5"/>
    <w:rsid w:val="00535AA5"/>
    <w:rsid w:val="005D0BF5"/>
    <w:rsid w:val="005D4CBA"/>
    <w:rsid w:val="005F4805"/>
    <w:rsid w:val="00635643"/>
    <w:rsid w:val="00675F80"/>
    <w:rsid w:val="00677365"/>
    <w:rsid w:val="006806B3"/>
    <w:rsid w:val="006835C5"/>
    <w:rsid w:val="006B32BC"/>
    <w:rsid w:val="006B785D"/>
    <w:rsid w:val="006D038B"/>
    <w:rsid w:val="006E219E"/>
    <w:rsid w:val="00703084"/>
    <w:rsid w:val="007050CC"/>
    <w:rsid w:val="007216E3"/>
    <w:rsid w:val="00721866"/>
    <w:rsid w:val="007370DD"/>
    <w:rsid w:val="00791671"/>
    <w:rsid w:val="007B0C19"/>
    <w:rsid w:val="007C33DC"/>
    <w:rsid w:val="007E24ED"/>
    <w:rsid w:val="0081260F"/>
    <w:rsid w:val="00831453"/>
    <w:rsid w:val="00862061"/>
    <w:rsid w:val="008B677A"/>
    <w:rsid w:val="00923736"/>
    <w:rsid w:val="00952953"/>
    <w:rsid w:val="00995CDC"/>
    <w:rsid w:val="009A3817"/>
    <w:rsid w:val="009B1C76"/>
    <w:rsid w:val="009E6FFA"/>
    <w:rsid w:val="009F59D4"/>
    <w:rsid w:val="00A03986"/>
    <w:rsid w:val="00A127EA"/>
    <w:rsid w:val="00AA13E8"/>
    <w:rsid w:val="00B00C7A"/>
    <w:rsid w:val="00B1562C"/>
    <w:rsid w:val="00B15648"/>
    <w:rsid w:val="00B33D81"/>
    <w:rsid w:val="00B6720D"/>
    <w:rsid w:val="00B922B1"/>
    <w:rsid w:val="00BA55E7"/>
    <w:rsid w:val="00BD10DA"/>
    <w:rsid w:val="00BD3F97"/>
    <w:rsid w:val="00BE4195"/>
    <w:rsid w:val="00BF361E"/>
    <w:rsid w:val="00C021CE"/>
    <w:rsid w:val="00C04AE1"/>
    <w:rsid w:val="00C337E8"/>
    <w:rsid w:val="00C361D2"/>
    <w:rsid w:val="00C42C33"/>
    <w:rsid w:val="00C640EF"/>
    <w:rsid w:val="00CA53B9"/>
    <w:rsid w:val="00CC1C2B"/>
    <w:rsid w:val="00CE4048"/>
    <w:rsid w:val="00D11E81"/>
    <w:rsid w:val="00D12C6A"/>
    <w:rsid w:val="00D17053"/>
    <w:rsid w:val="00D434A2"/>
    <w:rsid w:val="00D474DF"/>
    <w:rsid w:val="00D5540F"/>
    <w:rsid w:val="00D630A9"/>
    <w:rsid w:val="00D827BB"/>
    <w:rsid w:val="00DD62CA"/>
    <w:rsid w:val="00E04D4C"/>
    <w:rsid w:val="00E21ED9"/>
    <w:rsid w:val="00E27237"/>
    <w:rsid w:val="00E4597E"/>
    <w:rsid w:val="00E670BC"/>
    <w:rsid w:val="00E723DA"/>
    <w:rsid w:val="00EB30E7"/>
    <w:rsid w:val="00F1705D"/>
    <w:rsid w:val="00F25CB2"/>
    <w:rsid w:val="00FA28C3"/>
    <w:rsid w:val="00FC55C1"/>
    <w:rsid w:val="00FE1AC1"/>
    <w:rsid w:val="13625B66"/>
    <w:rsid w:val="169A4F8F"/>
    <w:rsid w:val="1E241B26"/>
    <w:rsid w:val="1E761045"/>
    <w:rsid w:val="200666B0"/>
    <w:rsid w:val="2FD600FB"/>
    <w:rsid w:val="3B3C505C"/>
    <w:rsid w:val="48AC09DF"/>
    <w:rsid w:val="4C032F81"/>
    <w:rsid w:val="505D7080"/>
    <w:rsid w:val="55D0153B"/>
    <w:rsid w:val="5BBE0AFD"/>
    <w:rsid w:val="5FB16998"/>
    <w:rsid w:val="61016585"/>
    <w:rsid w:val="61F05543"/>
    <w:rsid w:val="671F0B87"/>
    <w:rsid w:val="68AC49F3"/>
    <w:rsid w:val="704C6791"/>
    <w:rsid w:val="70D2369A"/>
    <w:rsid w:val="70DF7B65"/>
    <w:rsid w:val="73E55492"/>
    <w:rsid w:val="75D419AB"/>
    <w:rsid w:val="765E5FCB"/>
    <w:rsid w:val="794C6296"/>
    <w:rsid w:val="7BF10231"/>
    <w:rsid w:val="7F756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0"/>
    <w:rPr>
      <w:rFonts w:eastAsia="黑体" w:asciiTheme="majorHAnsi" w:hAnsiTheme="majorHAnsi" w:cstheme="majorBidi"/>
      <w:sz w:val="20"/>
      <w:szCs w:val="20"/>
    </w:rPr>
  </w:style>
  <w:style w:type="paragraph" w:styleId="3">
    <w:name w:val="annotation text"/>
    <w:basedOn w:val="1"/>
    <w:link w:val="18"/>
    <w:qFormat/>
    <w:uiPriority w:val="0"/>
    <w:pPr>
      <w:jc w:val="left"/>
    </w:pPr>
  </w:style>
  <w:style w:type="paragraph" w:styleId="4">
    <w:name w:val="endnote text"/>
    <w:basedOn w:val="1"/>
    <w:unhideWhenUsed/>
    <w:qFormat/>
    <w:uiPriority w:val="99"/>
    <w:pPr>
      <w:snapToGrid w:val="0"/>
    </w:pPr>
  </w:style>
  <w:style w:type="paragraph" w:styleId="5">
    <w:name w:val="Balloon Text"/>
    <w:basedOn w:val="1"/>
    <w:link w:val="22"/>
    <w:qFormat/>
    <w:uiPriority w:val="0"/>
    <w:rPr>
      <w:sz w:val="18"/>
      <w:szCs w:val="18"/>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1"/>
    <w:uiPriority w:val="0"/>
    <w:pPr>
      <w:snapToGrid w:val="0"/>
      <w:jc w:val="left"/>
    </w:pPr>
    <w:rPr>
      <w:sz w:val="18"/>
      <w:szCs w:val="18"/>
    </w:rPr>
  </w:style>
  <w:style w:type="paragraph" w:styleId="9">
    <w:name w:val="Normal (Web)"/>
    <w:basedOn w:val="1"/>
    <w:qFormat/>
    <w:uiPriority w:val="0"/>
    <w:pPr>
      <w:spacing w:beforeAutospacing="1" w:afterAutospacing="1"/>
    </w:pPr>
    <w:rPr>
      <w:rFonts w:cs="Times New Roman"/>
    </w:rPr>
  </w:style>
  <w:style w:type="paragraph" w:styleId="10">
    <w:name w:val="annotation subject"/>
    <w:basedOn w:val="3"/>
    <w:next w:val="3"/>
    <w:link w:val="19"/>
    <w:qFormat/>
    <w:uiPriority w:val="0"/>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qFormat/>
    <w:uiPriority w:val="0"/>
    <w:rPr>
      <w:sz w:val="21"/>
      <w:szCs w:val="21"/>
    </w:rPr>
  </w:style>
  <w:style w:type="character" w:styleId="15">
    <w:name w:val="footnote reference"/>
    <w:basedOn w:val="13"/>
    <w:uiPriority w:val="99"/>
    <w:rPr>
      <w:vertAlign w:val="superscript"/>
    </w:rPr>
  </w:style>
  <w:style w:type="paragraph" w:styleId="16">
    <w:name w:val="List Paragraph"/>
    <w:basedOn w:val="1"/>
    <w:qFormat/>
    <w:uiPriority w:val="34"/>
    <w:pPr>
      <w:ind w:left="480" w:leftChars="200"/>
    </w:pPr>
  </w:style>
  <w:style w:type="character" w:customStyle="1" w:styleId="17">
    <w:name w:val="頁首 字元"/>
    <w:basedOn w:val="13"/>
    <w:link w:val="7"/>
    <w:qFormat/>
    <w:uiPriority w:val="0"/>
    <w:rPr>
      <w:kern w:val="2"/>
      <w:sz w:val="18"/>
      <w:szCs w:val="18"/>
    </w:rPr>
  </w:style>
  <w:style w:type="character" w:customStyle="1" w:styleId="18">
    <w:name w:val="註解文字 字元"/>
    <w:basedOn w:val="13"/>
    <w:link w:val="3"/>
    <w:qFormat/>
    <w:uiPriority w:val="0"/>
    <w:rPr>
      <w:kern w:val="2"/>
      <w:sz w:val="21"/>
      <w:szCs w:val="24"/>
    </w:rPr>
  </w:style>
  <w:style w:type="character" w:customStyle="1" w:styleId="19">
    <w:name w:val="註解主旨 字元"/>
    <w:basedOn w:val="18"/>
    <w:link w:val="10"/>
    <w:qFormat/>
    <w:uiPriority w:val="0"/>
    <w:rPr>
      <w:b/>
      <w:bCs/>
      <w:kern w:val="2"/>
      <w:sz w:val="21"/>
      <w:szCs w:val="24"/>
    </w:rPr>
  </w:style>
  <w:style w:type="character" w:styleId="20">
    <w:name w:val="Placeholder Text"/>
    <w:basedOn w:val="13"/>
    <w:semiHidden/>
    <w:qFormat/>
    <w:uiPriority w:val="99"/>
    <w:rPr>
      <w:color w:val="808080"/>
    </w:rPr>
  </w:style>
  <w:style w:type="character" w:customStyle="1" w:styleId="21">
    <w:name w:val="註腳文字 字元"/>
    <w:basedOn w:val="13"/>
    <w:link w:val="8"/>
    <w:uiPriority w:val="0"/>
    <w:rPr>
      <w:kern w:val="2"/>
      <w:sz w:val="18"/>
      <w:szCs w:val="18"/>
      <w:lang w:eastAsia="zh-CN"/>
    </w:rPr>
  </w:style>
  <w:style w:type="character" w:customStyle="1" w:styleId="22">
    <w:name w:val="註解方塊文字 字元"/>
    <w:basedOn w:val="13"/>
    <w:link w:val="5"/>
    <w:uiPriority w:val="0"/>
    <w:rPr>
      <w:kern w:val="2"/>
      <w:sz w:val="18"/>
      <w:szCs w:val="18"/>
      <w:lang w:eastAsia="zh-CN"/>
    </w:rPr>
  </w:style>
  <w:style w:type="paragraph" w:customStyle="1" w:styleId="23">
    <w:name w:val="Revision"/>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48D77-0DC1-4B78-AE93-0F27465D8EC8}">
  <ds:schemaRefs/>
</ds:datastoreItem>
</file>

<file path=docProps/app.xml><?xml version="1.0" encoding="utf-8"?>
<Properties xmlns="http://schemas.openxmlformats.org/officeDocument/2006/extended-properties" xmlns:vt="http://schemas.openxmlformats.org/officeDocument/2006/docPropsVTypes">
  <Template>Normal.dotm</Template>
  <Pages>26</Pages>
  <Words>7217</Words>
  <Characters>35643</Characters>
  <Lines>320</Lines>
  <Paragraphs>90</Paragraphs>
  <TotalTime>3</TotalTime>
  <ScaleCrop>false</ScaleCrop>
  <LinksUpToDate>false</LinksUpToDate>
  <CharactersWithSpaces>41399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2023-03-02T06:03:00Z</dcterms:created>
  <dc:creator>小尘</dc:creator>
  <cp:lastModifiedBy>爱吃吃的的Sarah</cp:lastModifiedBy>
  <cp:lastPrinted>2023-03-02T06:03:00Z</cp:lastPrinted>
  <dcterms:modified xsi:type="dcterms:W3CDTF">2023-03-03T01:06:14Z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665DA2E9FCD2409E8D897258EA06B75A</vt:lpwstr>
  </property>
  <property fmtid="{D5CDD505-2E9C-101B-9397-08002B2CF9AE}" pid="4" name="GrammarlyDocumentId">
    <vt:lpwstr>b080343e0cd8976ca09b37e863a902b51c1071802fd2131989ed3fa66b39fdf6</vt:lpwstr>
  </property>
</Properties>
</file>