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 xml:space="preserve">This section interprets the result from an economic perspective. Since this is the first time that 29 variables have been selected from various dimensions to predict the exchange rate of USD/CNY, our result gives new implications of what variables are significantly related to the exchange rate forecast and thus can be adopted in further research. More specifically, 6 variables have the highest relevance with the forecast, which are: FER, USDX, S&amp;P, GEPU, CEPU, and BI. This section will specifically analyze how these 6 variables are significant in affecting the forecast of the exchange rate. </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FER</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Foreign exchange reserves are foreign assets held by the central bank, which may be in the form of foreign currency, bonds, treasury bills, and other government securities. The explicit relationship between the exchange rate and foreign exchange reserves is that as Renminbi depreciated, a trade surplus would occur and thus the foreign exchange reserve would be accumulated. However, in the long run, the correlation between China’s foreign exchange reserves and the exchange rate has been found positive (Narayan &amp; Smyth, 2006). Therefore, the correlation between the two variables is much more complex. Moreover, for machine learning, few studies have used Bi-LSTM to predict foreign exchange reserves. Further research can focus on this specific research question.</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USDX</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The U.S. Dollar Index is used to evaluate the value of the dollar against a basket of six foreign currencies, which are the Euro, Swiss franc, Japanese yen, Canadian dollar, British pound, and Swedish krona. An increase in USDX means that the dollar is gaining strength compared to the currencies of other countries, and thus the market sentiment would be influenced. Then, the transaction in the international market would further affect the exchange rate of the dollar against the RMB. Even though the interactions between USDX and the exchange rate are relatively intermediate, USDX still has a relatively significant effect on the response variable as this research shows. We induce that USDX incorporates the international market’s situations and sentiments greatly, and thus enhances forecasting accuracy. Further research can adopt USDX as an explanatory variable.</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S&amp;P</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EPU</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 xml:space="preserve">The measurement of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 xml:space="preserve">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BI</w:t>
      </w: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Baidu Index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p>
    <w:p>
      <w:pPr>
        <w:rPr>
          <w:rFonts w:hint="default" w:ascii="Times New Roman" w:hAnsi="Times New Roman" w:cs="Times New Roman" w:eastAsiaTheme="minorEastAsia"/>
          <w:sz w:val="18"/>
          <w:szCs w:val="18"/>
          <w:lang w:val="en-US" w:eastAsia="zh-CN"/>
        </w:rPr>
      </w:pPr>
    </w:p>
    <w:p>
      <w:pPr>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lang w:val="en-US" w:eastAsia="zh-CN"/>
        </w:rPr>
        <w:t>Overall, USDX, S&amp;P, GEPU, CEPU, and BI reflect market sentiments greatly. Using them as explanatory variables would be effective on the exchange rate forecast since BiLSTM is also highly sensitive to sentiments. However, how FER contributes to the forecast needs further analysis.</w:t>
      </w:r>
    </w:p>
    <w:p>
      <w:pPr>
        <w:rPr>
          <w:rFonts w:hint="default" w:ascii="Times New Roman" w:hAnsi="Times New Roman" w:cs="Times New Roman" w:eastAsiaTheme="minorEastAsia"/>
          <w:sz w:val="18"/>
          <w:szCs w:val="18"/>
          <w:lang w:val="en-US" w:eastAsia="zh-CN"/>
        </w:rPr>
      </w:pPr>
    </w:p>
    <w:p>
      <w:pPr>
        <w:rPr>
          <w:rFonts w:hint="default" w:ascii="Times New Roman" w:hAnsi="Times New Roman" w:cs="Times New Roman" w:eastAsiaTheme="minorEastAsia"/>
          <w:sz w:val="18"/>
          <w:szCs w:val="18"/>
          <w:lang w:val="en-US" w:eastAsia="zh-CN"/>
        </w:rPr>
      </w:pPr>
    </w:p>
    <w:p>
      <w:pPr>
        <w:pStyle w:val="3"/>
        <w:keepNext w:val="0"/>
        <w:keepLines w:val="0"/>
        <w:widowControl/>
        <w:suppressLineNumbers w:val="0"/>
        <w:spacing w:before="0" w:beforeAutospacing="0" w:after="0" w:afterAutospacing="0" w:line="480" w:lineRule="auto"/>
        <w:jc w:val="center"/>
        <w:rPr>
          <w:sz w:val="24"/>
          <w:szCs w:val="24"/>
        </w:rPr>
      </w:pPr>
      <w:r>
        <w:rPr>
          <w:rFonts w:hint="default" w:ascii="Times New Roman" w:hAnsi="Times New Roman" w:cs="Times New Roman"/>
          <w:sz w:val="24"/>
          <w:szCs w:val="24"/>
        </w:rPr>
        <w:t>References</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sz w:val="24"/>
          <w:szCs w:val="24"/>
          <w:bdr w:val="none" w:color="auto" w:sz="0" w:space="0"/>
        </w:rPr>
        <w:t xml:space="preserve">Chen, L., Du, Z., &amp; Hu, Z. (2019). Impact of economic policy uncertainty on exchange rate volatility of China. </w:t>
      </w:r>
      <w:r>
        <w:rPr>
          <w:rFonts w:hint="default" w:ascii="Times New Roman" w:hAnsi="Times New Roman" w:cs="Times New Roman"/>
          <w:i/>
          <w:iCs/>
          <w:sz w:val="24"/>
          <w:szCs w:val="24"/>
          <w:bdr w:val="none" w:color="auto" w:sz="0" w:space="0"/>
        </w:rPr>
        <w:t>Finance Research Letters</w:t>
      </w:r>
      <w:r>
        <w:rPr>
          <w:rFonts w:hint="default" w:ascii="Times New Roman" w:hAnsi="Times New Roman" w:cs="Times New Roman"/>
          <w:sz w:val="24"/>
          <w:szCs w:val="24"/>
          <w:bdr w:val="none" w:color="auto" w:sz="0" w:space="0"/>
        </w:rPr>
        <w:t>. https://doi.org/10.1016/j.frl.2019.08.014</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sz w:val="24"/>
          <w:szCs w:val="24"/>
          <w:bdr w:val="none" w:color="auto" w:sz="0" w:space="0"/>
        </w:rPr>
        <w:t xml:space="preserve">Datta, R. K., Sajid, S. W., Moon, M. H., &amp; Abedin, M. Z. (2021). Foreign Currency Exchange Rate Prediction Using Bidirectional Long Short Term Memory. </w:t>
      </w:r>
      <w:r>
        <w:rPr>
          <w:rFonts w:hint="default" w:ascii="Times New Roman" w:hAnsi="Times New Roman" w:cs="Times New Roman"/>
          <w:i/>
          <w:iCs/>
          <w:sz w:val="24"/>
          <w:szCs w:val="24"/>
          <w:bdr w:val="none" w:color="auto" w:sz="0" w:space="0"/>
        </w:rPr>
        <w:t>Studies in Computational Intelligence</w:t>
      </w:r>
      <w:r>
        <w:rPr>
          <w:rFonts w:hint="default" w:ascii="Times New Roman" w:hAnsi="Times New Roman" w:cs="Times New Roman"/>
          <w:sz w:val="24"/>
          <w:szCs w:val="24"/>
          <w:bdr w:val="none" w:color="auto" w:sz="0" w:space="0"/>
        </w:rPr>
        <w:t>, 213–227. https://doi.org/10.1007/978-3-030-73057-4_17</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i/>
          <w:iCs/>
          <w:sz w:val="24"/>
          <w:szCs w:val="24"/>
          <w:bdr w:val="none" w:color="auto" w:sz="0" w:space="0"/>
        </w:rPr>
        <w:t>Economic Policy Uncertainty Index</w:t>
      </w:r>
      <w:r>
        <w:rPr>
          <w:rFonts w:hint="default" w:ascii="Times New Roman" w:hAnsi="Times New Roman" w:cs="Times New Roman"/>
          <w:sz w:val="24"/>
          <w:szCs w:val="24"/>
          <w:bdr w:val="none" w:color="auto" w:sz="0" w:space="0"/>
        </w:rPr>
        <w:t>. (2012). Policyuncertainty.com. https://www.policyuncertainty.com/</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sz w:val="24"/>
          <w:szCs w:val="24"/>
          <w:bdr w:val="none" w:color="auto" w:sz="0" w:space="0"/>
        </w:rPr>
        <w:t xml:space="preserve">Lilley, A., Maggiori, M., Neiman, B., &amp; Schreger, J. (2020). Exchange Rate Reconnect. </w:t>
      </w:r>
      <w:r>
        <w:rPr>
          <w:rFonts w:hint="default" w:ascii="Times New Roman" w:hAnsi="Times New Roman" w:cs="Times New Roman"/>
          <w:i/>
          <w:iCs/>
          <w:sz w:val="24"/>
          <w:szCs w:val="24"/>
          <w:bdr w:val="none" w:color="auto" w:sz="0" w:space="0"/>
        </w:rPr>
        <w:t>The Review of Economics and Statistics</w:t>
      </w:r>
      <w:r>
        <w:rPr>
          <w:rFonts w:hint="default" w:ascii="Times New Roman" w:hAnsi="Times New Roman" w:cs="Times New Roman"/>
          <w:sz w:val="24"/>
          <w:szCs w:val="24"/>
          <w:bdr w:val="none" w:color="auto" w:sz="0" w:space="0"/>
        </w:rPr>
        <w:t>, 1–28. https://doi.org/10.1162/rest_a_00978</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sz w:val="24"/>
          <w:szCs w:val="24"/>
          <w:bdr w:val="none" w:color="auto" w:sz="0" w:space="0"/>
        </w:rPr>
        <w:t xml:space="preserve">Lilley, A., &amp; Rinaldi, G. (2018, October 8). </w:t>
      </w:r>
      <w:r>
        <w:rPr>
          <w:rFonts w:hint="default" w:ascii="Times New Roman" w:hAnsi="Times New Roman" w:cs="Times New Roman"/>
          <w:i/>
          <w:iCs/>
          <w:sz w:val="24"/>
          <w:szCs w:val="24"/>
          <w:bdr w:val="none" w:color="auto" w:sz="0" w:space="0"/>
        </w:rPr>
        <w:t>Currency Betas and Interest Rate Spreads</w:t>
      </w:r>
      <w:r>
        <w:rPr>
          <w:rFonts w:hint="default" w:ascii="Times New Roman" w:hAnsi="Times New Roman" w:cs="Times New Roman"/>
          <w:sz w:val="24"/>
          <w:szCs w:val="24"/>
          <w:bdr w:val="none" w:color="auto" w:sz="0" w:space="0"/>
        </w:rPr>
        <w:t>. Papers.ssrn.com. https://ssrn.com/abstract=3262313</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sz w:val="24"/>
          <w:szCs w:val="24"/>
          <w:bdr w:val="none" w:color="auto" w:sz="0" w:space="0"/>
        </w:rPr>
        <w:t xml:space="preserve">Lin, Y., Wang, R., Gong, X., &amp; Jia, G. (2022). Cross-correlation and forecast impact of public attention on USD/CNY exchange rate: Evidence from Baidu Index. </w:t>
      </w:r>
      <w:r>
        <w:rPr>
          <w:rFonts w:hint="default" w:ascii="Times New Roman" w:hAnsi="Times New Roman" w:cs="Times New Roman"/>
          <w:i/>
          <w:iCs/>
          <w:sz w:val="24"/>
          <w:szCs w:val="24"/>
          <w:bdr w:val="none" w:color="auto" w:sz="0" w:space="0"/>
        </w:rPr>
        <w:t>Physica A: Statistical Mechanics and Its Applications</w:t>
      </w:r>
      <w:r>
        <w:rPr>
          <w:rFonts w:hint="default" w:ascii="Times New Roman" w:hAnsi="Times New Roman" w:cs="Times New Roman"/>
          <w:sz w:val="24"/>
          <w:szCs w:val="24"/>
          <w:bdr w:val="none" w:color="auto" w:sz="0" w:space="0"/>
        </w:rPr>
        <w:t>, 127686. https://doi.org/10.1016/j.physa.2022.127686</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sz w:val="24"/>
          <w:szCs w:val="24"/>
          <w:bdr w:val="none" w:color="auto" w:sz="0" w:space="0"/>
        </w:rPr>
        <w:t xml:space="preserve">Narayan, P. K., &amp; Smyth, R. (2006). The dynamic relationship between real exchange rates, real interest rates and foreign exchange reserves: empirical evidence from China. </w:t>
      </w:r>
      <w:r>
        <w:rPr>
          <w:rFonts w:hint="default" w:ascii="Times New Roman" w:hAnsi="Times New Roman" w:cs="Times New Roman"/>
          <w:i/>
          <w:iCs/>
          <w:sz w:val="24"/>
          <w:szCs w:val="24"/>
          <w:bdr w:val="none" w:color="auto" w:sz="0" w:space="0"/>
        </w:rPr>
        <w:t>Applied Financial Economics</w:t>
      </w:r>
      <w:r>
        <w:rPr>
          <w:rFonts w:hint="default" w:ascii="Times New Roman" w:hAnsi="Times New Roman" w:cs="Times New Roman"/>
          <w:sz w:val="24"/>
          <w:szCs w:val="24"/>
          <w:bdr w:val="none" w:color="auto" w:sz="0" w:space="0"/>
        </w:rPr>
        <w:t xml:space="preserve">, </w:t>
      </w:r>
      <w:r>
        <w:rPr>
          <w:rFonts w:hint="default" w:ascii="Times New Roman" w:hAnsi="Times New Roman" w:cs="Times New Roman"/>
          <w:i/>
          <w:iCs/>
          <w:sz w:val="24"/>
          <w:szCs w:val="24"/>
          <w:bdr w:val="none" w:color="auto" w:sz="0" w:space="0"/>
        </w:rPr>
        <w:t>16</w:t>
      </w:r>
      <w:r>
        <w:rPr>
          <w:rFonts w:hint="default" w:ascii="Times New Roman" w:hAnsi="Times New Roman" w:cs="Times New Roman"/>
          <w:sz w:val="24"/>
          <w:szCs w:val="24"/>
          <w:bdr w:val="none" w:color="auto" w:sz="0" w:space="0"/>
        </w:rPr>
        <w:t>(9), 639–651. https://doi.org/10.1080/09603100500401278</w:t>
      </w:r>
    </w:p>
    <w:p>
      <w:pPr>
        <w:pStyle w:val="3"/>
        <w:keepNext w:val="0"/>
        <w:keepLines w:val="0"/>
        <w:widowControl/>
        <w:suppressLineNumbers w:val="0"/>
        <w:pBdr>
          <w:left w:val="none" w:color="auto" w:sz="0" w:space="0"/>
        </w:pBdr>
        <w:spacing w:before="0" w:beforeAutospacing="0" w:after="0" w:afterAutospacing="0" w:line="480" w:lineRule="auto"/>
        <w:ind w:left="0" w:hanging="720"/>
      </w:pPr>
      <w:r>
        <w:rPr>
          <w:rFonts w:hint="default" w:ascii="Times New Roman" w:hAnsi="Times New Roman" w:cs="Times New Roman"/>
          <w:sz w:val="24"/>
          <w:szCs w:val="24"/>
          <w:bdr w:val="none" w:color="auto" w:sz="0" w:space="0"/>
        </w:rPr>
        <w:t xml:space="preserve">Xu, G., Meng, Y., Qiu, X., Yu, Z., &amp; Wu, X. (2019). Sentiment Analysis of Comment Texts Based on BiLSTM. </w:t>
      </w:r>
      <w:r>
        <w:rPr>
          <w:rFonts w:hint="default" w:ascii="Times New Roman" w:hAnsi="Times New Roman" w:cs="Times New Roman"/>
          <w:i/>
          <w:iCs/>
          <w:sz w:val="24"/>
          <w:szCs w:val="24"/>
          <w:bdr w:val="none" w:color="auto" w:sz="0" w:space="0"/>
        </w:rPr>
        <w:t>IEEE Access</w:t>
      </w:r>
      <w:r>
        <w:rPr>
          <w:rFonts w:hint="default" w:ascii="Times New Roman" w:hAnsi="Times New Roman" w:cs="Times New Roman"/>
          <w:sz w:val="24"/>
          <w:szCs w:val="24"/>
          <w:bdr w:val="none" w:color="auto" w:sz="0" w:space="0"/>
        </w:rPr>
        <w:t xml:space="preserve">, </w:t>
      </w:r>
      <w:r>
        <w:rPr>
          <w:rFonts w:hint="default" w:ascii="Times New Roman" w:hAnsi="Times New Roman" w:cs="Times New Roman"/>
          <w:i/>
          <w:iCs/>
          <w:sz w:val="24"/>
          <w:szCs w:val="24"/>
          <w:bdr w:val="none" w:color="auto" w:sz="0" w:space="0"/>
        </w:rPr>
        <w:t>7</w:t>
      </w:r>
      <w:r>
        <w:rPr>
          <w:rFonts w:hint="default" w:ascii="Times New Roman" w:hAnsi="Times New Roman" w:cs="Times New Roman"/>
          <w:sz w:val="24"/>
          <w:szCs w:val="24"/>
          <w:bdr w:val="none" w:color="auto" w:sz="0" w:space="0"/>
        </w:rPr>
        <w:t>, 51522–51532. https://doi.org/10.1109/access.2019.2909919</w:t>
      </w:r>
    </w:p>
    <w:p>
      <w:pPr>
        <w:rPr>
          <w:rFonts w:hint="default" w:ascii="Times New Roman" w:hAnsi="Times New Roman" w:cs="Times New Roman" w:eastAsiaTheme="minorEastAsia"/>
          <w:sz w:val="18"/>
          <w:szCs w:val="1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harisSI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4A0D3B64"/>
    <w:rsid w:val="041E4D46"/>
    <w:rsid w:val="0F9D3870"/>
    <w:rsid w:val="160C259F"/>
    <w:rsid w:val="1F3F789D"/>
    <w:rsid w:val="218B118F"/>
    <w:rsid w:val="26E540C4"/>
    <w:rsid w:val="31092063"/>
    <w:rsid w:val="33A35F8E"/>
    <w:rsid w:val="4395662D"/>
    <w:rsid w:val="45956D09"/>
    <w:rsid w:val="4A0D3B64"/>
    <w:rsid w:val="4A780CDD"/>
    <w:rsid w:val="4ABB1C1E"/>
    <w:rsid w:val="52E56C89"/>
    <w:rsid w:val="60534945"/>
    <w:rsid w:val="6D8E0227"/>
    <w:rsid w:val="6F114BDC"/>
    <w:rsid w:val="7A311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741</Words>
  <Characters>4135</Characters>
  <Lines>0</Lines>
  <Paragraphs>0</Paragraphs>
  <TotalTime>7</TotalTime>
  <ScaleCrop>false</ScaleCrop>
  <LinksUpToDate>false</LinksUpToDate>
  <CharactersWithSpaces>4866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2023-02-19T14:04:00Z</dcterms:created>
  <dc:creator>爱吃吃的的Sarah</dc:creator>
  <cp:lastModifiedBy>爱吃吃的的Sarah</cp:lastModifiedBy>
  <dcterms:modified xsi:type="dcterms:W3CDTF">2023-02-22T12:13:47Z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5703234FF0694DD19074C91015C3448B</vt:lpwstr>
  </property>
</Properties>
</file>