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7872F" w14:textId="0335D524" w:rsidR="007E63DC" w:rsidRPr="00FE0A3C" w:rsidRDefault="00FE0A3C" w:rsidP="00FE0A3C">
      <w:pPr>
        <w:spacing w:line="276" w:lineRule="auto"/>
        <w:jc w:val="center"/>
        <w:rPr>
          <w:rFonts w:ascii="Arial" w:hAnsi="Arial" w:cs="Arial"/>
          <w:sz w:val="32"/>
          <w:szCs w:val="40"/>
        </w:rPr>
      </w:pPr>
      <w:r w:rsidRPr="00FE0A3C">
        <w:rPr>
          <w:rFonts w:ascii="Arial" w:hAnsi="Arial" w:cs="Arial"/>
          <w:sz w:val="32"/>
          <w:szCs w:val="40"/>
        </w:rPr>
        <w:t>Risk assessment of cross-border transmission of infectious diseases: an example of a multi-country monkeypox outbreak in 2022</w:t>
      </w:r>
    </w:p>
    <w:p w14:paraId="433E6E17" w14:textId="28807194" w:rsidR="00FE0A3C" w:rsidRDefault="00FE0A3C" w:rsidP="00FE0A3C">
      <w:pPr>
        <w:spacing w:line="276" w:lineRule="auto"/>
        <w:rPr>
          <w:rFonts w:ascii="Arial" w:hAnsi="Arial" w:cs="Arial"/>
        </w:rPr>
      </w:pPr>
    </w:p>
    <w:p w14:paraId="6291F4AF" w14:textId="26DC3F43" w:rsidR="00E25EF9" w:rsidRPr="00D01A8C" w:rsidRDefault="00E25EF9" w:rsidP="00FE0A3C">
      <w:pPr>
        <w:spacing w:line="276" w:lineRule="auto"/>
        <w:rPr>
          <w:rFonts w:ascii="Arial" w:hAnsi="Arial" w:cs="Arial"/>
          <w:b/>
          <w:bCs/>
        </w:rPr>
      </w:pPr>
      <w:r w:rsidRPr="00D01A8C">
        <w:rPr>
          <w:rFonts w:ascii="Arial" w:hAnsi="Arial" w:cs="Arial" w:hint="eastAsia"/>
          <w:b/>
          <w:bCs/>
        </w:rPr>
        <w:t>Introduction</w:t>
      </w:r>
    </w:p>
    <w:p w14:paraId="7935F426" w14:textId="77777777" w:rsidR="00E25EF9" w:rsidRDefault="00E25EF9" w:rsidP="00FE0A3C">
      <w:pPr>
        <w:spacing w:line="276" w:lineRule="auto"/>
        <w:rPr>
          <w:rFonts w:ascii="Arial" w:hAnsi="Arial" w:cs="Arial"/>
        </w:rPr>
      </w:pPr>
    </w:p>
    <w:p w14:paraId="513B3FAF" w14:textId="51C3279B" w:rsidR="009835EA" w:rsidRDefault="00FE0A3C" w:rsidP="004D7145">
      <w:pPr>
        <w:spacing w:line="276" w:lineRule="auto"/>
        <w:rPr>
          <w:rFonts w:ascii="Arial" w:hAnsi="Arial" w:cs="Arial"/>
        </w:rPr>
      </w:pPr>
      <w:r w:rsidRPr="00FE0A3C">
        <w:rPr>
          <w:rFonts w:ascii="Arial" w:hAnsi="Arial" w:cs="Arial"/>
        </w:rPr>
        <w:t xml:space="preserve">Since the 19th century, with the advent of rapid transportation such as ships, trains, and airplanes, the movement of people around the world has accelerated, and the era of globalization has also been the era of global disease transmission. </w:t>
      </w:r>
      <w:r w:rsidR="00206279">
        <w:rPr>
          <w:rFonts w:ascii="Arial" w:hAnsi="Arial" w:cs="Arial"/>
        </w:rPr>
        <w:t>G</w:t>
      </w:r>
      <w:r w:rsidR="00206279" w:rsidRPr="00A5303A">
        <w:rPr>
          <w:rFonts w:ascii="Arial" w:hAnsi="Arial" w:cs="Arial"/>
        </w:rPr>
        <w:t xml:space="preserve">lobal trade and travel have facilitated </w:t>
      </w:r>
      <w:r w:rsidR="009835EA">
        <w:rPr>
          <w:rFonts w:ascii="Arial" w:hAnsi="Arial" w:cs="Arial"/>
        </w:rPr>
        <w:t xml:space="preserve">infectious </w:t>
      </w:r>
      <w:r w:rsidR="00206279" w:rsidRPr="00A5303A">
        <w:rPr>
          <w:rFonts w:ascii="Arial" w:hAnsi="Arial" w:cs="Arial"/>
        </w:rPr>
        <w:t>disease transmission, from the plague in the 14th century, smallpox in the 16th century, to SARS</w:t>
      </w:r>
      <w:r w:rsidR="009835EA">
        <w:rPr>
          <w:rFonts w:ascii="Arial" w:hAnsi="Arial" w:cs="Arial"/>
        </w:rPr>
        <w:t>,</w:t>
      </w:r>
      <w:r w:rsidR="00206279" w:rsidRPr="00A5303A">
        <w:rPr>
          <w:rFonts w:ascii="Arial" w:hAnsi="Arial" w:cs="Arial"/>
        </w:rPr>
        <w:t xml:space="preserve"> a novel influenza virus </w:t>
      </w:r>
      <w:r w:rsidR="009835EA">
        <w:rPr>
          <w:rFonts w:ascii="Arial" w:hAnsi="Arial" w:cs="Arial"/>
        </w:rPr>
        <w:t xml:space="preserve">or COVID-19 </w:t>
      </w:r>
      <w:r w:rsidR="00206279" w:rsidRPr="00A5303A">
        <w:rPr>
          <w:rFonts w:ascii="Arial" w:hAnsi="Arial" w:cs="Arial"/>
        </w:rPr>
        <w:t xml:space="preserve">in the 21st century </w:t>
      </w:r>
      <w:r w:rsidR="00206279" w:rsidRPr="003C001C">
        <w:rPr>
          <w:rFonts w:ascii="Arial" w:hAnsi="Arial" w:cs="Arial"/>
          <w:highlight w:val="yellow"/>
        </w:rPr>
        <w:t>(2–4)</w:t>
      </w:r>
      <w:r w:rsidR="00206279">
        <w:rPr>
          <w:rFonts w:ascii="Arial" w:hAnsi="Arial" w:cs="Arial" w:hint="eastAsia"/>
        </w:rPr>
        <w:t xml:space="preserve">. </w:t>
      </w:r>
      <w:r w:rsidR="009835EA" w:rsidRPr="004D7145">
        <w:rPr>
          <w:rFonts w:ascii="Arial" w:hAnsi="Arial" w:cs="Arial"/>
        </w:rPr>
        <w:t>Dynamic monitoring and assessment of the extent of the global public health risk of an epidemic is important for the prevention and control of the spread of the epidemic.</w:t>
      </w:r>
      <w:r w:rsidR="009835EA" w:rsidRPr="007343F4">
        <w:t xml:space="preserve"> </w:t>
      </w:r>
      <w:r w:rsidR="009835EA" w:rsidRPr="009835EA">
        <w:rPr>
          <w:rFonts w:ascii="Arial" w:hAnsi="Arial" w:cs="Arial"/>
        </w:rPr>
        <w:t>The largest risks tend to occur when novel diseases appear</w:t>
      </w:r>
      <w:r w:rsidR="009835EA">
        <w:rPr>
          <w:rFonts w:ascii="Arial" w:hAnsi="Arial" w:cs="Arial"/>
        </w:rPr>
        <w:t xml:space="preserve"> or </w:t>
      </w:r>
      <w:r w:rsidR="009835EA" w:rsidRPr="009835EA">
        <w:rPr>
          <w:rFonts w:ascii="Arial" w:hAnsi="Arial" w:cs="Arial"/>
        </w:rPr>
        <w:t>when familiar diseases appear in novel geographic locations</w:t>
      </w:r>
      <w:r w:rsidR="009835EA">
        <w:rPr>
          <w:rFonts w:ascii="Arial" w:hAnsi="Arial" w:cs="Arial"/>
        </w:rPr>
        <w:t>.</w:t>
      </w:r>
      <w:r w:rsidR="009835EA" w:rsidRPr="009835EA">
        <w:rPr>
          <w:rFonts w:ascii="Arial" w:hAnsi="Arial" w:cs="Arial"/>
        </w:rPr>
        <w:t xml:space="preserve"> Assessing disease-related health risks thus necessitates understanding where they might arise and how it might </w:t>
      </w:r>
      <w:r w:rsidR="009835EA">
        <w:rPr>
          <w:rFonts w:ascii="Arial" w:hAnsi="Arial" w:cs="Arial"/>
        </w:rPr>
        <w:t>t</w:t>
      </w:r>
      <w:r w:rsidR="009835EA" w:rsidRPr="009835EA">
        <w:rPr>
          <w:rFonts w:ascii="Arial" w:hAnsi="Arial" w:cs="Arial"/>
        </w:rPr>
        <w:t>ransmit.</w:t>
      </w:r>
      <w:r w:rsidR="003C001C">
        <w:rPr>
          <w:rFonts w:ascii="Arial" w:hAnsi="Arial" w:cs="Arial"/>
        </w:rPr>
        <w:t xml:space="preserve"> </w:t>
      </w:r>
      <w:r w:rsidR="003C001C" w:rsidRPr="003C001C">
        <w:rPr>
          <w:rFonts w:ascii="Arial" w:hAnsi="Arial" w:cs="Arial" w:hint="eastAsia"/>
          <w:highlight w:val="yellow"/>
        </w:rPr>
        <w:t>【</w:t>
      </w:r>
      <w:r w:rsidR="003C001C" w:rsidRPr="003C001C">
        <w:rPr>
          <w:rFonts w:ascii="Arial" w:hAnsi="Arial" w:cs="Arial" w:hint="eastAsia"/>
          <w:highlight w:val="yellow"/>
        </w:rPr>
        <w:t>ref</w:t>
      </w:r>
      <w:r w:rsidR="003C001C">
        <w:rPr>
          <w:rFonts w:ascii="Arial" w:hAnsi="Arial" w:cs="Arial"/>
          <w:highlight w:val="yellow"/>
        </w:rPr>
        <w:t>1</w:t>
      </w:r>
      <w:r w:rsidR="003C001C" w:rsidRPr="003C001C">
        <w:rPr>
          <w:rFonts w:ascii="Arial" w:hAnsi="Arial" w:cs="Arial" w:hint="eastAsia"/>
          <w:highlight w:val="yellow"/>
        </w:rPr>
        <w:t>】</w:t>
      </w:r>
    </w:p>
    <w:p w14:paraId="3663B4A7" w14:textId="5B1B2D5D" w:rsidR="009835EA" w:rsidRDefault="009835EA" w:rsidP="004D7145">
      <w:pPr>
        <w:spacing w:line="276" w:lineRule="auto"/>
        <w:rPr>
          <w:rFonts w:ascii="Arial" w:hAnsi="Arial" w:cs="Arial"/>
        </w:rPr>
      </w:pPr>
    </w:p>
    <w:p w14:paraId="2E42CCCA" w14:textId="4D2B8740" w:rsidR="00CC5B3F" w:rsidRDefault="00CC5B3F" w:rsidP="00CC5B3F">
      <w:pPr>
        <w:spacing w:line="276" w:lineRule="auto"/>
        <w:rPr>
          <w:rFonts w:ascii="Arial" w:hAnsi="Arial" w:cs="Arial"/>
        </w:rPr>
      </w:pPr>
      <w:r w:rsidRPr="00CC5B3F">
        <w:rPr>
          <w:rFonts w:ascii="Arial" w:hAnsi="Arial" w:cs="Arial"/>
        </w:rPr>
        <w:t>A public health emergency of international concern (PHEIC) is a formal declaration by the World Health Organization (WHO) of "an extraordinary event which is determined to constitute a public health risk to other States through the international spread of disease and to potentially require a coordinated international response</w:t>
      </w:r>
      <w:proofErr w:type="gramStart"/>
      <w:r w:rsidRPr="00CC5B3F">
        <w:rPr>
          <w:rFonts w:ascii="Arial" w:hAnsi="Arial" w:cs="Arial"/>
        </w:rPr>
        <w:t>".</w:t>
      </w:r>
      <w:r w:rsidRPr="003C001C">
        <w:rPr>
          <w:rFonts w:ascii="Arial" w:hAnsi="Arial" w:cs="Arial"/>
          <w:highlight w:val="yellow"/>
        </w:rPr>
        <w:t>[</w:t>
      </w:r>
      <w:proofErr w:type="gramEnd"/>
      <w:r w:rsidR="003C001C" w:rsidRPr="003C001C">
        <w:rPr>
          <w:rFonts w:ascii="Arial" w:hAnsi="Arial" w:cs="Arial" w:hint="eastAsia"/>
          <w:highlight w:val="yellow"/>
        </w:rPr>
        <w:t>ref</w:t>
      </w:r>
      <w:r w:rsidR="003C001C" w:rsidRPr="003C001C">
        <w:rPr>
          <w:rFonts w:ascii="Arial" w:hAnsi="Arial" w:cs="Arial"/>
          <w:highlight w:val="yellow"/>
        </w:rPr>
        <w:t>2</w:t>
      </w:r>
      <w:r w:rsidRPr="003C001C">
        <w:rPr>
          <w:rFonts w:ascii="Arial" w:hAnsi="Arial" w:cs="Arial"/>
          <w:highlight w:val="yellow"/>
        </w:rPr>
        <w:t>]</w:t>
      </w:r>
      <w:r w:rsidRPr="00CC5B3F">
        <w:rPr>
          <w:rFonts w:ascii="Arial" w:hAnsi="Arial" w:cs="Arial"/>
        </w:rPr>
        <w:t xml:space="preserve"> </w:t>
      </w:r>
      <w:r w:rsidRPr="000D709E">
        <w:rPr>
          <w:rFonts w:ascii="Arial" w:hAnsi="Arial" w:cs="Arial"/>
        </w:rPr>
        <w:t xml:space="preserve">Monkeypox was declared </w:t>
      </w:r>
      <w:r>
        <w:rPr>
          <w:rFonts w:ascii="Arial" w:hAnsi="Arial" w:cs="Arial"/>
        </w:rPr>
        <w:t xml:space="preserve">as </w:t>
      </w:r>
      <w:r w:rsidRPr="000D709E">
        <w:rPr>
          <w:rFonts w:ascii="Arial" w:hAnsi="Arial" w:cs="Arial"/>
        </w:rPr>
        <w:t>a PHEIC by the WHO on July 23, 2022</w:t>
      </w:r>
      <w:r>
        <w:rPr>
          <w:rFonts w:ascii="Arial" w:hAnsi="Arial" w:cs="Arial"/>
        </w:rPr>
        <w:t>, which</w:t>
      </w:r>
      <w:r w:rsidRPr="000D709E">
        <w:rPr>
          <w:rFonts w:ascii="Arial" w:hAnsi="Arial" w:cs="Arial"/>
        </w:rPr>
        <w:t xml:space="preserve"> is the seventh declaration of a PHEIC</w:t>
      </w:r>
      <w:r>
        <w:rPr>
          <w:rStyle w:val="a5"/>
          <w:rFonts w:ascii="Arial" w:hAnsi="Arial" w:cs="Arial"/>
        </w:rPr>
        <w:endnoteReference w:id="1"/>
      </w:r>
      <w:r w:rsidRPr="000D709E">
        <w:rPr>
          <w:rFonts w:ascii="Arial" w:hAnsi="Arial" w:cs="Arial"/>
        </w:rPr>
        <w:t>.</w:t>
      </w:r>
      <w:r>
        <w:rPr>
          <w:rFonts w:ascii="Arial" w:hAnsi="Arial" w:cs="Arial"/>
        </w:rPr>
        <w:t xml:space="preserve"> </w:t>
      </w:r>
      <w:r w:rsidRPr="00A4201B">
        <w:rPr>
          <w:rFonts w:ascii="Arial" w:hAnsi="Arial" w:cs="Arial"/>
        </w:rPr>
        <w:t>Monkeypox virus (MPXV) was first isolated in 1958 in monkeypox lesions in cynomolgus monkeys [2]. In 1970, nine months after the Democratic Republic of the Congo (DRC) declared smallpox eradicated, the monkeypox virus was first isolated from a child, the same year monkeypox was recognized as zoonotic [3]. Although there have been sporadic cases of monkeypox in non-endemic countries historically, the transmission chain is clear and the impact is small. Since the first case of the monkeypox outbreak was detected in the United Kingdom in early May this year</w:t>
      </w:r>
      <w:r>
        <w:rPr>
          <w:rFonts w:ascii="Arial" w:hAnsi="Arial" w:cs="Arial"/>
        </w:rPr>
        <w:t xml:space="preserve">, </w:t>
      </w:r>
      <w:r w:rsidRPr="00A4201B">
        <w:rPr>
          <w:rFonts w:ascii="Arial" w:hAnsi="Arial" w:cs="Arial" w:hint="eastAsia"/>
        </w:rPr>
        <w:t>m</w:t>
      </w:r>
      <w:r w:rsidRPr="00A4201B">
        <w:rPr>
          <w:rFonts w:ascii="Arial" w:hAnsi="Arial" w:cs="Arial"/>
        </w:rPr>
        <w:t xml:space="preserve">onkeypox cases have appeared in </w:t>
      </w:r>
      <w:r>
        <w:rPr>
          <w:rFonts w:ascii="Arial" w:hAnsi="Arial" w:cs="Arial"/>
        </w:rPr>
        <w:t>many</w:t>
      </w:r>
      <w:r w:rsidRPr="00A4201B">
        <w:rPr>
          <w:rFonts w:ascii="Arial" w:hAnsi="Arial" w:cs="Arial" w:hint="eastAsia"/>
        </w:rPr>
        <w:t xml:space="preserve"> </w:t>
      </w:r>
      <w:r w:rsidRPr="00A4201B">
        <w:rPr>
          <w:rFonts w:ascii="Arial" w:hAnsi="Arial" w:cs="Arial"/>
        </w:rPr>
        <w:t>continents and countries in a short period of time</w:t>
      </w:r>
      <w:r>
        <w:rPr>
          <w:rFonts w:ascii="Arial" w:hAnsi="Arial" w:cs="Arial"/>
        </w:rPr>
        <w:t>. Up to October 17, 2022, WHO reported 73,437 l</w:t>
      </w:r>
      <w:r w:rsidRPr="00713A13">
        <w:rPr>
          <w:rFonts w:ascii="Arial" w:hAnsi="Arial" w:cs="Arial"/>
        </w:rPr>
        <w:t>aboratory confirmed cases</w:t>
      </w:r>
      <w:r>
        <w:rPr>
          <w:rFonts w:ascii="Arial" w:hAnsi="Arial" w:cs="Arial"/>
        </w:rPr>
        <w:t xml:space="preserve"> and 29 deaths, which involved 109 c</w:t>
      </w:r>
      <w:r w:rsidRPr="00713A13">
        <w:rPr>
          <w:rFonts w:ascii="Arial" w:hAnsi="Arial" w:cs="Arial"/>
        </w:rPr>
        <w:t>ountries/areas/territories</w:t>
      </w:r>
      <w:r>
        <w:rPr>
          <w:rFonts w:ascii="Arial" w:hAnsi="Arial" w:cs="Arial"/>
        </w:rPr>
        <w:t xml:space="preserve">, which caused </w:t>
      </w:r>
      <w:r w:rsidRPr="00CC5B3F">
        <w:rPr>
          <w:rFonts w:ascii="Arial" w:hAnsi="Arial" w:cs="Arial"/>
        </w:rPr>
        <w:t xml:space="preserve">a </w:t>
      </w:r>
      <w:r w:rsidRPr="00CC5B3F">
        <w:rPr>
          <w:rFonts w:ascii="Arial" w:hAnsi="Arial" w:cs="Arial"/>
        </w:rPr>
        <w:lastRenderedPageBreak/>
        <w:t>tremendous impact on human health and public health security</w:t>
      </w:r>
      <w:r>
        <w:rPr>
          <w:rFonts w:ascii="Arial" w:hAnsi="Arial" w:cs="Arial" w:hint="eastAsia"/>
        </w:rPr>
        <w:t>.</w:t>
      </w:r>
      <w:r>
        <w:rPr>
          <w:rFonts w:ascii="Arial" w:hAnsi="Arial" w:cs="Arial"/>
        </w:rPr>
        <w:t xml:space="preserve"> Moreover, </w:t>
      </w:r>
      <w:r w:rsidRPr="00A4201B">
        <w:rPr>
          <w:rFonts w:ascii="Arial" w:hAnsi="Arial" w:cs="Arial"/>
        </w:rPr>
        <w:t>this batch of cases has shown a different "</w:t>
      </w:r>
      <w:r>
        <w:rPr>
          <w:rFonts w:ascii="Arial" w:hAnsi="Arial" w:cs="Arial"/>
        </w:rPr>
        <w:t xml:space="preserve">unspecific </w:t>
      </w:r>
      <w:r w:rsidRPr="00713A13">
        <w:rPr>
          <w:rFonts w:ascii="Arial" w:hAnsi="Arial" w:cs="Arial"/>
        </w:rPr>
        <w:t>manifestation</w:t>
      </w:r>
      <w:r w:rsidRPr="00A4201B">
        <w:rPr>
          <w:rFonts w:ascii="Arial" w:hAnsi="Arial" w:cs="Arial"/>
        </w:rPr>
        <w:t>" in epidemiological and clinical characteristics than in previous years, which has aroused global attention.</w:t>
      </w:r>
    </w:p>
    <w:p w14:paraId="3CA82938" w14:textId="53B73680" w:rsidR="00CC5B3F" w:rsidRPr="00CC5B3F" w:rsidRDefault="00CC5B3F" w:rsidP="004D7145">
      <w:pPr>
        <w:spacing w:line="276" w:lineRule="auto"/>
        <w:rPr>
          <w:rFonts w:ascii="Arial" w:hAnsi="Arial" w:cs="Arial"/>
        </w:rPr>
      </w:pPr>
    </w:p>
    <w:p w14:paraId="433EB179" w14:textId="2C1FEB48" w:rsidR="00CC5B3F" w:rsidRDefault="00CC5B3F" w:rsidP="00CC5B3F">
      <w:pPr>
        <w:spacing w:line="276" w:lineRule="auto"/>
        <w:rPr>
          <w:rFonts w:ascii="Arial" w:hAnsi="Arial" w:cs="Arial"/>
        </w:rPr>
      </w:pPr>
      <w:r>
        <w:rPr>
          <w:rFonts w:ascii="Arial" w:hAnsi="Arial" w:cs="Arial"/>
        </w:rPr>
        <w:t>C</w:t>
      </w:r>
      <w:r w:rsidRPr="00911DDD">
        <w:rPr>
          <w:rFonts w:ascii="Arial" w:hAnsi="Arial" w:cs="Arial"/>
        </w:rPr>
        <w:t>urrently</w:t>
      </w:r>
      <w:r>
        <w:rPr>
          <w:rFonts w:ascii="Arial" w:hAnsi="Arial" w:cs="Arial"/>
        </w:rPr>
        <w:t>,</w:t>
      </w:r>
      <w:r w:rsidRPr="00911DDD">
        <w:rPr>
          <w:rFonts w:ascii="Arial" w:hAnsi="Arial" w:cs="Arial"/>
        </w:rPr>
        <w:t xml:space="preserve"> </w:t>
      </w:r>
      <w:r>
        <w:rPr>
          <w:rFonts w:ascii="Arial" w:hAnsi="Arial" w:cs="Arial"/>
        </w:rPr>
        <w:t>m</w:t>
      </w:r>
      <w:r w:rsidRPr="00911DDD">
        <w:rPr>
          <w:rFonts w:ascii="Arial" w:hAnsi="Arial" w:cs="Arial"/>
        </w:rPr>
        <w:t>ost countries report</w:t>
      </w:r>
      <w:r>
        <w:rPr>
          <w:rFonts w:ascii="Arial" w:hAnsi="Arial" w:cs="Arial"/>
        </w:rPr>
        <w:t>ed</w:t>
      </w:r>
      <w:r w:rsidRPr="00911DDD">
        <w:rPr>
          <w:rFonts w:ascii="Arial" w:hAnsi="Arial" w:cs="Arial"/>
        </w:rPr>
        <w:t xml:space="preserve"> only a few imported cases </w:t>
      </w:r>
      <w:r w:rsidRPr="00911DDD">
        <w:rPr>
          <w:rFonts w:ascii="Arial" w:hAnsi="Arial" w:cs="Arial" w:hint="eastAsia"/>
        </w:rPr>
        <w:t>w</w:t>
      </w:r>
      <w:r w:rsidRPr="00911DDD">
        <w:rPr>
          <w:rFonts w:ascii="Arial" w:hAnsi="Arial" w:cs="Arial"/>
        </w:rPr>
        <w:t xml:space="preserve">ithout </w:t>
      </w:r>
      <w:r>
        <w:rPr>
          <w:rFonts w:ascii="Arial" w:hAnsi="Arial" w:cs="Arial"/>
        </w:rPr>
        <w:t>community</w:t>
      </w:r>
      <w:r w:rsidRPr="00911DDD">
        <w:rPr>
          <w:rFonts w:ascii="Arial" w:hAnsi="Arial" w:cs="Arial"/>
        </w:rPr>
        <w:t xml:space="preserve"> transmission, such as China</w:t>
      </w:r>
      <w:r>
        <w:rPr>
          <w:rFonts w:ascii="Arial" w:hAnsi="Arial" w:cs="Arial"/>
        </w:rPr>
        <w:t xml:space="preserve">, </w:t>
      </w:r>
      <w:r w:rsidRPr="00CC5B3F">
        <w:rPr>
          <w:rFonts w:ascii="Arial" w:hAnsi="Arial" w:cs="Arial"/>
        </w:rPr>
        <w:t xml:space="preserve">which </w:t>
      </w:r>
      <w:r w:rsidR="003C001C">
        <w:rPr>
          <w:rFonts w:ascii="Arial" w:hAnsi="Arial" w:cs="Arial"/>
        </w:rPr>
        <w:t>were</w:t>
      </w:r>
      <w:r w:rsidRPr="00CC5B3F">
        <w:rPr>
          <w:rFonts w:ascii="Arial" w:hAnsi="Arial" w:cs="Arial"/>
        </w:rPr>
        <w:t xml:space="preserve"> at risk of cross-border transmission of monkeypox</w:t>
      </w:r>
      <w:r w:rsidRPr="00911DDD">
        <w:rPr>
          <w:rFonts w:ascii="Arial" w:hAnsi="Arial" w:cs="Arial"/>
        </w:rPr>
        <w:t xml:space="preserve">. The availability of risk assessment indicators and tools for countries with predominantly imported cases is essential to monitor the occurrence and progression of the </w:t>
      </w:r>
      <w:r>
        <w:rPr>
          <w:rFonts w:ascii="Arial" w:hAnsi="Arial" w:cs="Arial"/>
        </w:rPr>
        <w:t>epidemic</w:t>
      </w:r>
      <w:r w:rsidR="003C001C">
        <w:rPr>
          <w:rFonts w:ascii="Arial" w:hAnsi="Arial" w:cs="Arial"/>
        </w:rPr>
        <w:t xml:space="preserve"> as well as </w:t>
      </w:r>
      <w:r w:rsidR="003C001C" w:rsidRPr="003C001C">
        <w:rPr>
          <w:rFonts w:ascii="Arial" w:hAnsi="Arial" w:cs="Arial"/>
        </w:rPr>
        <w:t>to develop related plans in advance</w:t>
      </w:r>
      <w:r w:rsidRPr="00911DDD">
        <w:rPr>
          <w:rFonts w:ascii="Arial" w:hAnsi="Arial" w:cs="Arial"/>
        </w:rPr>
        <w:t xml:space="preserve">. </w:t>
      </w:r>
      <w:r w:rsidRPr="00713A13">
        <w:rPr>
          <w:rFonts w:ascii="Arial" w:hAnsi="Arial" w:cs="Arial"/>
        </w:rPr>
        <w:t xml:space="preserve">In this study, we provide </w:t>
      </w:r>
      <w:r>
        <w:rPr>
          <w:rFonts w:ascii="Arial" w:hAnsi="Arial" w:cs="Arial"/>
        </w:rPr>
        <w:t>index to assess the r</w:t>
      </w:r>
      <w:r w:rsidRPr="00911DDD">
        <w:rPr>
          <w:rFonts w:ascii="Arial" w:hAnsi="Arial" w:cs="Arial"/>
        </w:rPr>
        <w:t xml:space="preserve">isk of cross-border transmission </w:t>
      </w:r>
      <w:r>
        <w:rPr>
          <w:rFonts w:ascii="Arial" w:hAnsi="Arial" w:cs="Arial"/>
        </w:rPr>
        <w:t>in</w:t>
      </w:r>
      <w:r w:rsidRPr="00911DDD">
        <w:rPr>
          <w:rFonts w:ascii="Arial" w:hAnsi="Arial" w:cs="Arial"/>
        </w:rPr>
        <w:t xml:space="preserve"> </w:t>
      </w:r>
      <w:r>
        <w:rPr>
          <w:rFonts w:ascii="Arial" w:hAnsi="Arial" w:cs="Arial"/>
        </w:rPr>
        <w:t>Monkeypox</w:t>
      </w:r>
      <w:r>
        <w:rPr>
          <w:rFonts w:ascii="Arial" w:hAnsi="Arial" w:cs="Arial" w:hint="eastAsia"/>
        </w:rPr>
        <w:t xml:space="preserve"> </w:t>
      </w:r>
      <w:r>
        <w:rPr>
          <w:rFonts w:ascii="Arial" w:hAnsi="Arial" w:cs="Arial"/>
        </w:rPr>
        <w:t xml:space="preserve">and </w:t>
      </w:r>
      <w:r w:rsidRPr="00713A13">
        <w:rPr>
          <w:rFonts w:ascii="Arial" w:hAnsi="Arial" w:cs="Arial" w:hint="eastAsia"/>
        </w:rPr>
        <w:t>a</w:t>
      </w:r>
      <w:r w:rsidRPr="00713A13">
        <w:rPr>
          <w:rFonts w:ascii="Arial" w:hAnsi="Arial" w:cs="Arial"/>
        </w:rPr>
        <w:t xml:space="preserve"> nowcast of the probable size of the epidemic</w:t>
      </w:r>
      <w:r>
        <w:rPr>
          <w:rFonts w:ascii="Arial" w:hAnsi="Arial" w:cs="Arial"/>
        </w:rPr>
        <w:t xml:space="preserve">. It </w:t>
      </w:r>
      <w:r w:rsidRPr="007343F4">
        <w:rPr>
          <w:rFonts w:ascii="Arial" w:hAnsi="Arial" w:cs="Arial"/>
        </w:rPr>
        <w:t>can provide decision-making basis for the prevention and control of the current monkeypox epidemic, and also provide risk assessment methods and scientific support for the cross-border spread of infectious diseases for the prevention and control of imported infectious diseases in the future.</w:t>
      </w:r>
      <w:r w:rsidRPr="00220FAD">
        <w:rPr>
          <w:rFonts w:ascii="Arial" w:hAnsi="Arial" w:cs="Arial"/>
        </w:rPr>
        <w:t xml:space="preserve"> </w:t>
      </w:r>
    </w:p>
    <w:p w14:paraId="74FC42E0" w14:textId="0C9E7A92" w:rsidR="00CC5B3F" w:rsidRPr="00CC5B3F" w:rsidRDefault="00CC5B3F" w:rsidP="004D7145">
      <w:pPr>
        <w:spacing w:line="276" w:lineRule="auto"/>
        <w:rPr>
          <w:rFonts w:ascii="Arial" w:hAnsi="Arial" w:cs="Arial"/>
        </w:rPr>
      </w:pPr>
    </w:p>
    <w:p w14:paraId="74E8C3F4" w14:textId="19EAAFCB" w:rsidR="0085248F" w:rsidRPr="00D01A8C" w:rsidRDefault="0085248F" w:rsidP="0085248F">
      <w:pPr>
        <w:spacing w:line="276" w:lineRule="auto"/>
        <w:rPr>
          <w:rFonts w:ascii="Arial" w:hAnsi="Arial" w:cs="Arial"/>
          <w:b/>
          <w:bCs/>
        </w:rPr>
      </w:pPr>
      <w:r>
        <w:rPr>
          <w:rFonts w:ascii="Arial" w:hAnsi="Arial" w:cs="Arial" w:hint="eastAsia"/>
          <w:b/>
          <w:bCs/>
        </w:rPr>
        <w:t>Methods</w:t>
      </w:r>
    </w:p>
    <w:p w14:paraId="77684BAF" w14:textId="7CD95AF7" w:rsidR="009E63CB" w:rsidRDefault="00CE5FEC" w:rsidP="008B0CF4">
      <w:pPr>
        <w:spacing w:line="276" w:lineRule="auto"/>
        <w:ind w:firstLine="420"/>
        <w:jc w:val="both"/>
        <w:rPr>
          <w:rFonts w:ascii="Arial" w:hAnsi="Arial" w:cs="Arial"/>
        </w:rPr>
      </w:pPr>
      <w:r w:rsidRPr="00CE5FEC">
        <w:rPr>
          <w:rFonts w:ascii="Arial" w:hAnsi="Arial" w:cs="Arial"/>
        </w:rPr>
        <w:t xml:space="preserve">To assess the risk of cross-border transmission of </w:t>
      </w:r>
      <w:r>
        <w:rPr>
          <w:rFonts w:ascii="Arial" w:hAnsi="Arial" w:cs="Arial"/>
        </w:rPr>
        <w:t>Monkeypox</w:t>
      </w:r>
      <w:r w:rsidRPr="00CE5FEC">
        <w:rPr>
          <w:rFonts w:ascii="Arial" w:hAnsi="Arial" w:cs="Arial"/>
        </w:rPr>
        <w:t>,</w:t>
      </w:r>
      <w:r>
        <w:rPr>
          <w:rFonts w:ascii="Arial" w:hAnsi="Arial" w:cs="Arial"/>
        </w:rPr>
        <w:t xml:space="preserve"> we </w:t>
      </w:r>
      <w:r w:rsidRPr="00CE5FEC">
        <w:rPr>
          <w:rFonts w:ascii="Arial" w:hAnsi="Arial" w:cs="Arial"/>
        </w:rPr>
        <w:t>constructed an M</w:t>
      </w:r>
      <w:r>
        <w:rPr>
          <w:rFonts w:ascii="Arial" w:hAnsi="Arial" w:cs="Arial"/>
        </w:rPr>
        <w:t>onkeypox</w:t>
      </w:r>
      <w:r w:rsidRPr="00CE5FEC">
        <w:rPr>
          <w:rFonts w:ascii="Arial" w:hAnsi="Arial" w:cs="Arial"/>
        </w:rPr>
        <w:t xml:space="preserve"> </w:t>
      </w:r>
      <w:r>
        <w:rPr>
          <w:rFonts w:ascii="Arial" w:hAnsi="Arial" w:cs="Arial"/>
        </w:rPr>
        <w:t>R</w:t>
      </w:r>
      <w:r w:rsidRPr="00CE5FEC">
        <w:rPr>
          <w:rFonts w:ascii="Arial" w:hAnsi="Arial" w:cs="Arial"/>
        </w:rPr>
        <w:t xml:space="preserve">isk </w:t>
      </w:r>
      <w:r w:rsidR="00582A13">
        <w:rPr>
          <w:rFonts w:ascii="Arial" w:hAnsi="Arial" w:cs="Arial"/>
        </w:rPr>
        <w:t>A</w:t>
      </w:r>
      <w:r w:rsidRPr="00CE5FEC">
        <w:rPr>
          <w:rFonts w:ascii="Arial" w:hAnsi="Arial" w:cs="Arial"/>
        </w:rPr>
        <w:t xml:space="preserve">ssessment model </w:t>
      </w:r>
      <m:oMath>
        <m:r>
          <w:rPr>
            <w:rFonts w:ascii="Cambria Math" w:hAnsi="Cambria Math" w:cs="Arial"/>
          </w:rPr>
          <m:t>MRA:F×D×t</m:t>
        </m:r>
      </m:oMath>
      <w:r>
        <w:rPr>
          <w:rFonts w:ascii="Arial" w:hAnsi="Arial" w:cs="Arial"/>
        </w:rPr>
        <w:t>, where</w:t>
      </w:r>
      <w:r>
        <w:rPr>
          <w:rFonts w:ascii="Cambria Math" w:hAnsi="Cambria Math" w:cs="Arial"/>
          <w:i/>
        </w:rPr>
        <w:t xml:space="preserve"> </w:t>
      </w:r>
      <m:oMath>
        <m:r>
          <w:rPr>
            <w:rFonts w:ascii="Cambria Math" w:hAnsi="Cambria Math" w:cs="Arial"/>
          </w:rPr>
          <m:t>F</m:t>
        </m:r>
      </m:oMath>
      <w:r w:rsidRPr="00CE5FEC">
        <w:t xml:space="preserve"> </w:t>
      </w:r>
      <w:r w:rsidRPr="00CE5FEC">
        <w:rPr>
          <w:rFonts w:ascii="Arial" w:hAnsi="Arial" w:cs="Arial"/>
        </w:rPr>
        <w:t>is the inbound flight dataset</w:t>
      </w:r>
      <w:r w:rsidR="00FE0390" w:rsidRPr="00FE0390">
        <w:t xml:space="preserve"> </w:t>
      </w:r>
      <w:r w:rsidR="00FE0390" w:rsidRPr="00FE0390">
        <w:rPr>
          <w:rFonts w:ascii="Arial" w:hAnsi="Arial" w:cs="Arial"/>
          <w:color w:val="FF0000"/>
          <w:highlight w:val="yellow"/>
        </w:rPr>
        <w:t xml:space="preserve">(Table </w:t>
      </w:r>
      <w:r w:rsidR="00AF4A38">
        <w:rPr>
          <w:rFonts w:ascii="Arial" w:hAnsi="Arial" w:cs="Arial" w:hint="eastAsia"/>
          <w:color w:val="FF0000"/>
          <w:highlight w:val="yellow"/>
        </w:rPr>
        <w:t>S</w:t>
      </w:r>
      <w:r w:rsidR="00AF4A38">
        <w:rPr>
          <w:rFonts w:ascii="Arial" w:hAnsi="Arial" w:cs="Arial"/>
          <w:color w:val="FF0000"/>
          <w:highlight w:val="yellow"/>
        </w:rPr>
        <w:t>1</w:t>
      </w:r>
      <w:r w:rsidR="00FE0390" w:rsidRPr="00FE0390">
        <w:rPr>
          <w:rFonts w:ascii="Arial" w:hAnsi="Arial" w:cs="Arial"/>
          <w:color w:val="FF0000"/>
          <w:highlight w:val="yellow"/>
        </w:rPr>
        <w:t xml:space="preserve"> in the Supplement)</w:t>
      </w:r>
      <w:r w:rsidR="006F09AE">
        <w:rPr>
          <w:rFonts w:ascii="Arial" w:hAnsi="Arial" w:cs="Arial" w:hint="eastAsia"/>
        </w:rPr>
        <w:t>,</w:t>
      </w:r>
      <w:r w:rsidR="006F09AE">
        <w:rPr>
          <w:rFonts w:ascii="Arial" w:hAnsi="Arial" w:cs="Arial"/>
        </w:rPr>
        <w:t xml:space="preserve"> </w:t>
      </w:r>
      <m:oMath>
        <m:r>
          <w:rPr>
            <w:rFonts w:ascii="Cambria Math" w:hAnsi="Cambria Math" w:cs="Arial"/>
          </w:rPr>
          <m:t>D</m:t>
        </m:r>
      </m:oMath>
      <w:r w:rsidRPr="00CE5FEC">
        <w:t xml:space="preserve"> </w:t>
      </w:r>
      <w:r w:rsidRPr="00CE5FEC">
        <w:rPr>
          <w:rFonts w:ascii="Arial" w:hAnsi="Arial" w:cs="Arial"/>
        </w:rPr>
        <w:t xml:space="preserve">is the WHO publicly available </w:t>
      </w:r>
      <w:r>
        <w:rPr>
          <w:rFonts w:ascii="Arial" w:hAnsi="Arial" w:cs="Arial"/>
        </w:rPr>
        <w:t>Monkeypox</w:t>
      </w:r>
      <w:r w:rsidRPr="00CE5FEC">
        <w:rPr>
          <w:rFonts w:ascii="Arial" w:hAnsi="Arial" w:cs="Arial"/>
        </w:rPr>
        <w:t xml:space="preserve"> dataset</w:t>
      </w:r>
      <w:r w:rsidR="00FE0390">
        <w:rPr>
          <w:rFonts w:ascii="Arial" w:hAnsi="Arial" w:cs="Arial"/>
        </w:rPr>
        <w:t xml:space="preserve"> </w:t>
      </w:r>
      <w:r w:rsidR="00FE0390" w:rsidRPr="00FE0390">
        <w:rPr>
          <w:rFonts w:ascii="Arial" w:hAnsi="Arial" w:cs="Arial"/>
          <w:color w:val="FF0000"/>
          <w:highlight w:val="yellow"/>
        </w:rPr>
        <w:t xml:space="preserve">(Table </w:t>
      </w:r>
      <w:r w:rsidR="00AF4A38">
        <w:rPr>
          <w:rFonts w:ascii="Arial" w:hAnsi="Arial" w:cs="Arial"/>
          <w:color w:val="FF0000"/>
          <w:highlight w:val="yellow"/>
        </w:rPr>
        <w:t>S2</w:t>
      </w:r>
      <w:r w:rsidR="00FE0390" w:rsidRPr="00FE0390">
        <w:rPr>
          <w:rFonts w:ascii="Arial" w:hAnsi="Arial" w:cs="Arial"/>
          <w:color w:val="FF0000"/>
          <w:highlight w:val="yellow"/>
        </w:rPr>
        <w:t xml:space="preserve"> in the Supplement)</w:t>
      </w:r>
      <w:r w:rsidR="006F09AE">
        <w:rPr>
          <w:rFonts w:ascii="Arial" w:hAnsi="Arial" w:cs="Arial"/>
        </w:rPr>
        <w:t xml:space="preserve">, and </w:t>
      </w:r>
      <m:oMath>
        <m:r>
          <w:rPr>
            <w:rFonts w:ascii="Cambria Math" w:hAnsi="Cambria Math" w:cs="Arial"/>
          </w:rPr>
          <m:t>t</m:t>
        </m:r>
      </m:oMath>
      <w:r w:rsidR="006F09AE">
        <w:rPr>
          <w:rFonts w:ascii="Arial" w:hAnsi="Arial" w:cs="Arial" w:hint="eastAsia"/>
        </w:rPr>
        <w:t xml:space="preserve"> i</w:t>
      </w:r>
      <w:r w:rsidR="006F09AE">
        <w:rPr>
          <w:rFonts w:ascii="Arial" w:hAnsi="Arial" w:cs="Arial"/>
        </w:rPr>
        <w:t>s the evaluation time</w:t>
      </w:r>
      <w:r w:rsidR="00AA7495">
        <w:rPr>
          <w:rFonts w:ascii="Arial" w:hAnsi="Arial" w:cs="Arial" w:hint="eastAsia"/>
        </w:rPr>
        <w:t>.</w:t>
      </w:r>
      <w:r w:rsidR="002B24A0">
        <w:rPr>
          <w:rFonts w:ascii="Arial" w:hAnsi="Arial" w:cs="Arial"/>
        </w:rPr>
        <w:t xml:space="preserve"> </w:t>
      </w:r>
      <w:r w:rsidR="009E63CB" w:rsidRPr="009E63CB">
        <w:rPr>
          <w:rFonts w:ascii="Arial" w:hAnsi="Arial" w:cs="Arial"/>
        </w:rPr>
        <w:t xml:space="preserve">Given inbound flight data </w:t>
      </w:r>
      <m:oMath>
        <m:r>
          <w:rPr>
            <w:rFonts w:ascii="Cambria Math" w:hAnsi="Cambria Math" w:cs="Arial"/>
          </w:rPr>
          <m:t>f∈F</m:t>
        </m:r>
      </m:oMath>
      <w:r w:rsidR="009E63CB">
        <w:rPr>
          <w:rFonts w:ascii="Arial" w:hAnsi="Arial" w:cs="Arial" w:hint="eastAsia"/>
        </w:rPr>
        <w:t xml:space="preserve"> </w:t>
      </w:r>
      <w:r w:rsidR="009E63CB" w:rsidRPr="009E63CB">
        <w:rPr>
          <w:rFonts w:ascii="Arial" w:hAnsi="Arial" w:cs="Arial"/>
        </w:rPr>
        <w:t>and local epidemic dat</w:t>
      </w:r>
      <w:r w:rsidR="003B76B7">
        <w:rPr>
          <w:rFonts w:ascii="Arial" w:hAnsi="Arial" w:cs="Arial"/>
        </w:rPr>
        <w:t>a</w:t>
      </w:r>
      <w:r w:rsidR="0013003B">
        <w:rPr>
          <w:rFonts w:ascii="Arial" w:hAnsi="Arial" w:cs="Arial"/>
        </w:rPr>
        <w:t xml:space="preserve"> </w:t>
      </w:r>
      <m:oMath>
        <m:r>
          <w:rPr>
            <w:rFonts w:ascii="Cambria Math" w:hAnsi="Cambria Math" w:cs="Arial"/>
          </w:rPr>
          <m:t>d∈D</m:t>
        </m:r>
      </m:oMath>
      <w:r w:rsidR="009E63CB" w:rsidRPr="009E63CB">
        <w:rPr>
          <w:rFonts w:ascii="Arial" w:hAnsi="Arial" w:cs="Arial"/>
        </w:rPr>
        <w:t xml:space="preserve">, </w:t>
      </w:r>
      <m:oMath>
        <m:r>
          <w:rPr>
            <w:rFonts w:ascii="Cambria Math" w:hAnsi="Cambria Math" w:cs="Arial"/>
          </w:rPr>
          <m:t>MRA(f,d,t)</m:t>
        </m:r>
      </m:oMath>
      <w:r w:rsidR="009E63CB" w:rsidRPr="009E63CB">
        <w:rPr>
          <w:rFonts w:ascii="Arial" w:hAnsi="Arial" w:cs="Arial"/>
        </w:rPr>
        <w:t xml:space="preserve"> describes the risk of</w:t>
      </w:r>
      <w:r w:rsidR="0013003B">
        <w:rPr>
          <w:rFonts w:ascii="Arial" w:hAnsi="Arial" w:cs="Arial"/>
        </w:rPr>
        <w:t xml:space="preserve"> epidemic </w:t>
      </w:r>
      <w:r w:rsidR="003B76B7">
        <w:rPr>
          <w:rFonts w:ascii="Arial" w:hAnsi="Arial" w:cs="Arial"/>
        </w:rPr>
        <w:t>import from the region to</w:t>
      </w:r>
      <w:r w:rsidR="009E63CB" w:rsidRPr="009E63CB">
        <w:rPr>
          <w:rFonts w:ascii="Arial" w:hAnsi="Arial" w:cs="Arial"/>
        </w:rPr>
        <w:t xml:space="preserve"> China at time</w:t>
      </w:r>
      <w:r w:rsidR="0013003B">
        <w:rPr>
          <w:rFonts w:ascii="Arial" w:hAnsi="Arial" w:cs="Arial"/>
        </w:rPr>
        <w:t xml:space="preserve"> </w:t>
      </w:r>
      <m:oMath>
        <m:r>
          <w:rPr>
            <w:rFonts w:ascii="Cambria Math" w:hAnsi="Cambria Math" w:cs="Arial"/>
          </w:rPr>
          <m:t>t</m:t>
        </m:r>
      </m:oMath>
      <w:r w:rsidR="009E63CB" w:rsidRPr="009E63CB">
        <w:rPr>
          <w:rFonts w:ascii="Arial" w:hAnsi="Arial" w:cs="Arial"/>
        </w:rPr>
        <w:t>. The larger the</w:t>
      </w:r>
      <w:r w:rsidR="0013003B" w:rsidRPr="0013003B">
        <w:rPr>
          <w:rFonts w:ascii="Cambria Math" w:hAnsi="Cambria Math" w:cs="Arial"/>
          <w:i/>
        </w:rPr>
        <w:t xml:space="preserve"> </w:t>
      </w:r>
      <m:oMath>
        <m:r>
          <w:rPr>
            <w:rFonts w:ascii="Cambria Math" w:hAnsi="Cambria Math" w:cs="Arial"/>
          </w:rPr>
          <m:t>MRA(f,d,t)</m:t>
        </m:r>
      </m:oMath>
      <w:r w:rsidR="009E63CB" w:rsidRPr="009E63CB">
        <w:rPr>
          <w:rFonts w:ascii="Arial" w:hAnsi="Arial" w:cs="Arial"/>
        </w:rPr>
        <w:t xml:space="preserve">, the </w:t>
      </w:r>
      <w:r w:rsidR="0013003B">
        <w:rPr>
          <w:rFonts w:ascii="Arial" w:hAnsi="Arial" w:cs="Arial" w:hint="eastAsia"/>
        </w:rPr>
        <w:t>greater</w:t>
      </w:r>
      <w:r w:rsidR="0013003B">
        <w:rPr>
          <w:rFonts w:ascii="Arial" w:hAnsi="Arial" w:cs="Arial"/>
        </w:rPr>
        <w:t xml:space="preserve"> </w:t>
      </w:r>
      <w:r w:rsidR="009E63CB" w:rsidRPr="009E63CB">
        <w:rPr>
          <w:rFonts w:ascii="Arial" w:hAnsi="Arial" w:cs="Arial"/>
        </w:rPr>
        <w:t>the risk</w:t>
      </w:r>
      <w:r w:rsidR="0013003B">
        <w:rPr>
          <w:rFonts w:ascii="Arial" w:hAnsi="Arial" w:cs="Arial"/>
        </w:rPr>
        <w:t xml:space="preserve"> of </w:t>
      </w:r>
      <w:r w:rsidR="00960576" w:rsidRPr="00960576">
        <w:rPr>
          <w:rFonts w:ascii="Arial" w:hAnsi="Arial" w:cs="Arial"/>
        </w:rPr>
        <w:t>epidemic importation</w:t>
      </w:r>
      <w:r w:rsidR="009E63CB" w:rsidRPr="009E63CB">
        <w:rPr>
          <w:rFonts w:ascii="Arial" w:hAnsi="Arial" w:cs="Arial"/>
        </w:rPr>
        <w:t>.</w:t>
      </w:r>
    </w:p>
    <w:p w14:paraId="1609CE1F" w14:textId="1A711137" w:rsidR="009465E1" w:rsidRDefault="00265F9C" w:rsidP="008B0CF4">
      <w:pPr>
        <w:spacing w:line="276" w:lineRule="auto"/>
        <w:ind w:firstLine="420"/>
        <w:jc w:val="both"/>
        <w:rPr>
          <w:rFonts w:ascii="Arial" w:hAnsi="Arial" w:cs="Arial"/>
        </w:rPr>
      </w:pPr>
      <w:r w:rsidRPr="00265F9C">
        <w:rPr>
          <w:rFonts w:ascii="Arial" w:hAnsi="Arial" w:cs="Arial"/>
        </w:rPr>
        <w:t xml:space="preserve">Inbound flights are the main channel for cross-border infectious disease import </w:t>
      </w:r>
      <w:r w:rsidRPr="00B3127D">
        <w:rPr>
          <w:rFonts w:ascii="Arial" w:hAnsi="Arial" w:cs="Arial"/>
        </w:rPr>
        <w:t xml:space="preserve">under the impact of </w:t>
      </w:r>
      <w:r w:rsidR="00960576" w:rsidRPr="00B3127D">
        <w:rPr>
          <w:rFonts w:ascii="Arial" w:hAnsi="Arial" w:cs="Arial"/>
        </w:rPr>
        <w:t xml:space="preserve">current </w:t>
      </w:r>
      <w:r>
        <w:rPr>
          <w:rFonts w:ascii="Arial" w:hAnsi="Arial" w:cs="Arial"/>
        </w:rPr>
        <w:t>COVID-19</w:t>
      </w:r>
      <w:r w:rsidRPr="00B3127D">
        <w:rPr>
          <w:rFonts w:ascii="Arial" w:hAnsi="Arial" w:cs="Arial"/>
        </w:rPr>
        <w:t xml:space="preserve"> epidemic</w:t>
      </w:r>
      <w:r w:rsidRPr="00265F9C">
        <w:rPr>
          <w:rFonts w:ascii="Arial" w:hAnsi="Arial" w:cs="Arial"/>
        </w:rPr>
        <w:t xml:space="preserve"> prevention and control measures.</w:t>
      </w:r>
      <w:r>
        <w:rPr>
          <w:rFonts w:ascii="Arial" w:hAnsi="Arial" w:cs="Arial"/>
        </w:rPr>
        <w:t xml:space="preserve"> </w:t>
      </w:r>
      <w:r w:rsidR="00B3127D">
        <w:rPr>
          <w:rFonts w:ascii="Arial" w:hAnsi="Arial" w:cs="Arial"/>
        </w:rPr>
        <w:t>B</w:t>
      </w:r>
      <w:r w:rsidR="00B3127D" w:rsidRPr="00B3127D">
        <w:rPr>
          <w:rFonts w:ascii="Arial" w:hAnsi="Arial" w:cs="Arial"/>
        </w:rPr>
        <w:t>ased on air travel flows data for May, June and July</w:t>
      </w:r>
      <w:r w:rsidR="00B3127D">
        <w:rPr>
          <w:rFonts w:ascii="Arial" w:hAnsi="Arial" w:cs="Arial"/>
        </w:rPr>
        <w:t>,</w:t>
      </w:r>
      <w:r w:rsidR="00B3127D" w:rsidRPr="00B3127D">
        <w:rPr>
          <w:rFonts w:ascii="Arial" w:hAnsi="Arial" w:cs="Arial"/>
        </w:rPr>
        <w:t xml:space="preserve"> </w:t>
      </w:r>
      <w:r w:rsidR="00B3127D">
        <w:rPr>
          <w:rFonts w:ascii="Arial" w:hAnsi="Arial" w:cs="Arial"/>
        </w:rPr>
        <w:t>w</w:t>
      </w:r>
      <w:r w:rsidR="00B3127D" w:rsidRPr="00B3127D">
        <w:rPr>
          <w:rFonts w:ascii="Arial" w:hAnsi="Arial" w:cs="Arial"/>
        </w:rPr>
        <w:t xml:space="preserve">e </w:t>
      </w:r>
      <w:r w:rsidR="00012D24" w:rsidRPr="00012D24">
        <w:rPr>
          <w:rFonts w:ascii="Arial" w:hAnsi="Arial" w:cs="Arial"/>
        </w:rPr>
        <w:t>calculate</w:t>
      </w:r>
      <w:r w:rsidR="00012D24">
        <w:rPr>
          <w:rFonts w:ascii="Arial" w:hAnsi="Arial" w:cs="Arial"/>
        </w:rPr>
        <w:t xml:space="preserve">d </w:t>
      </w:r>
      <w:r w:rsidR="00012D24" w:rsidRPr="00012D24">
        <w:rPr>
          <w:rFonts w:ascii="Arial" w:hAnsi="Arial" w:cs="Arial"/>
        </w:rPr>
        <w:t>the average</w:t>
      </w:r>
      <w:r w:rsidR="00012D24">
        <w:rPr>
          <w:rFonts w:ascii="Arial" w:hAnsi="Arial" w:cs="Arial"/>
        </w:rPr>
        <w:t xml:space="preserve"> daily</w:t>
      </w:r>
      <w:r w:rsidR="00012D24" w:rsidRPr="00012D24">
        <w:rPr>
          <w:rFonts w:ascii="Arial" w:hAnsi="Arial" w:cs="Arial"/>
        </w:rPr>
        <w:t xml:space="preserve"> </w:t>
      </w:r>
      <w:r w:rsidR="00B3127D" w:rsidRPr="00B3127D">
        <w:rPr>
          <w:rFonts w:ascii="Arial" w:hAnsi="Arial" w:cs="Arial"/>
        </w:rPr>
        <w:t>inbound flights from countries around the world</w:t>
      </w:r>
      <w:r w:rsidR="00012D24">
        <w:rPr>
          <w:rFonts w:ascii="Arial" w:hAnsi="Arial" w:cs="Arial"/>
        </w:rPr>
        <w:t xml:space="preserve"> </w:t>
      </w:r>
      <w:r w:rsidR="00012D24" w:rsidRPr="00B3127D">
        <w:rPr>
          <w:rFonts w:ascii="Arial" w:hAnsi="Arial" w:cs="Arial"/>
        </w:rPr>
        <w:t>to major cities</w:t>
      </w:r>
      <w:r w:rsidR="00012D24">
        <w:rPr>
          <w:rFonts w:ascii="Arial" w:hAnsi="Arial" w:cs="Arial"/>
        </w:rPr>
        <w:t xml:space="preserve"> in China</w:t>
      </w:r>
      <w:r w:rsidR="00B3127D" w:rsidRPr="00B3127D">
        <w:rPr>
          <w:rFonts w:ascii="Arial" w:hAnsi="Arial" w:cs="Arial"/>
        </w:rPr>
        <w:t>.</w:t>
      </w:r>
      <w:r w:rsidR="00C50DC3">
        <w:rPr>
          <w:rFonts w:ascii="Arial" w:hAnsi="Arial" w:cs="Arial"/>
        </w:rPr>
        <w:t xml:space="preserve"> </w:t>
      </w:r>
    </w:p>
    <w:p w14:paraId="6F67D96B" w14:textId="668B5FF8" w:rsidR="00960576" w:rsidRDefault="004A30DE" w:rsidP="00CF4C74">
      <w:pPr>
        <w:spacing w:line="276" w:lineRule="auto"/>
        <w:ind w:firstLine="420"/>
        <w:jc w:val="both"/>
        <w:rPr>
          <w:rFonts w:ascii="Arial" w:hAnsi="Arial" w:cs="Arial"/>
        </w:rPr>
      </w:pPr>
      <w:r>
        <w:rPr>
          <w:rFonts w:ascii="Arial" w:hAnsi="Arial" w:cs="Arial" w:hint="eastAsia"/>
        </w:rPr>
        <w:t>A</w:t>
      </w:r>
      <w:r>
        <w:rPr>
          <w:rFonts w:ascii="Arial" w:hAnsi="Arial" w:cs="Arial"/>
        </w:rPr>
        <w:t xml:space="preserve">ssuming that </w:t>
      </w:r>
      <w:r w:rsidRPr="009465E1">
        <w:rPr>
          <w:rFonts w:ascii="Arial" w:hAnsi="Arial" w:cs="Arial"/>
        </w:rPr>
        <w:t>the epidemic</w:t>
      </w:r>
      <w:r>
        <w:rPr>
          <w:rFonts w:ascii="Arial" w:hAnsi="Arial" w:cs="Arial"/>
        </w:rPr>
        <w:t xml:space="preserve"> </w:t>
      </w:r>
      <w:r w:rsidRPr="009465E1">
        <w:rPr>
          <w:rFonts w:ascii="Arial" w:hAnsi="Arial" w:cs="Arial"/>
        </w:rPr>
        <w:t xml:space="preserve">time-series data </w:t>
      </w:r>
      <w:r>
        <w:rPr>
          <w:rFonts w:ascii="Arial" w:hAnsi="Arial" w:cs="Arial"/>
        </w:rPr>
        <w:t xml:space="preserve">observed in a region is </w:t>
      </w:r>
      <m:oMath>
        <m:r>
          <w:rPr>
            <w:rFonts w:ascii="Cambria Math" w:hAnsi="Cambria Math" w:cs="Arial"/>
          </w:rPr>
          <m:t>d∈D</m:t>
        </m:r>
      </m:oMath>
      <w:r w:rsidRPr="009E63CB">
        <w:rPr>
          <w:rFonts w:ascii="Arial" w:hAnsi="Arial" w:cs="Arial"/>
        </w:rPr>
        <w:t>,</w:t>
      </w:r>
      <w:r>
        <w:rPr>
          <w:rFonts w:ascii="Arial" w:hAnsi="Arial" w:cs="Arial"/>
        </w:rPr>
        <w:t xml:space="preserve"> we define the Local Epidemic Risk Index as follows:</w:t>
      </w:r>
    </w:p>
    <w:p w14:paraId="08E817A2" w14:textId="44CDC5B5" w:rsidR="004A30DE" w:rsidRPr="00DF2334" w:rsidRDefault="004A30DE" w:rsidP="004A30DE">
      <w:pPr>
        <w:spacing w:line="276" w:lineRule="auto"/>
        <w:ind w:firstLine="420"/>
        <w:jc w:val="both"/>
        <w:rPr>
          <w:rFonts w:ascii="Arial" w:hAnsi="Arial" w:cs="Arial"/>
        </w:rPr>
      </w:pPr>
      <m:oMathPara>
        <m:oMath>
          <m:r>
            <w:rPr>
              <w:rFonts w:ascii="Cambria Math" w:hAnsi="Cambria Math" w:cs="Arial"/>
            </w:rPr>
            <m:t>LERI</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prior</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posteriori</m:t>
              </m:r>
            </m:sub>
          </m:sSub>
          <m:d>
            <m:dPr>
              <m:ctrlPr>
                <w:rPr>
                  <w:rFonts w:ascii="Cambria Math" w:hAnsi="Cambria Math" w:cs="Arial"/>
                  <w:i/>
                </w:rPr>
              </m:ctrlPr>
            </m:dPr>
            <m:e>
              <m:r>
                <w:rPr>
                  <w:rFonts w:ascii="Cambria Math" w:hAnsi="Cambria Math" w:cs="Arial"/>
                </w:rPr>
                <m:t>t</m:t>
              </m:r>
            </m:e>
          </m:d>
        </m:oMath>
      </m:oMathPara>
    </w:p>
    <w:p w14:paraId="4E5454C9" w14:textId="483D901C" w:rsidR="00960576" w:rsidRDefault="004A30DE" w:rsidP="004A30DE">
      <w:pPr>
        <w:spacing w:line="276" w:lineRule="auto"/>
        <w:jc w:val="both"/>
        <w:rPr>
          <w:rFonts w:ascii="Arial" w:hAnsi="Arial" w:cs="Arial"/>
        </w:rPr>
      </w:pPr>
      <w:r>
        <w:rPr>
          <w:rFonts w:ascii="Arial" w:hAnsi="Arial" w:cs="Arial"/>
        </w:rPr>
        <w:t xml:space="preserve">Where </w:t>
      </w:r>
      <m:oMath>
        <m:sSub>
          <m:sSubPr>
            <m:ctrlPr>
              <w:rPr>
                <w:rFonts w:ascii="Cambria Math" w:hAnsi="Cambria Math" w:cs="Arial"/>
                <w:i/>
              </w:rPr>
            </m:ctrlPr>
          </m:sSubPr>
          <m:e>
            <m:r>
              <w:rPr>
                <w:rFonts w:ascii="Cambria Math" w:hAnsi="Cambria Math" w:cs="Arial"/>
              </w:rPr>
              <m:t>R</m:t>
            </m:r>
          </m:e>
          <m:sub>
            <m:r>
              <w:rPr>
                <w:rFonts w:ascii="Cambria Math" w:hAnsi="Cambria Math" w:cs="Arial"/>
              </w:rPr>
              <m:t>prior</m:t>
            </m:r>
          </m:sub>
        </m:sSub>
      </m:oMath>
      <w:r>
        <w:rPr>
          <w:rFonts w:ascii="Arial" w:hAnsi="Arial" w:cs="Arial" w:hint="eastAsia"/>
        </w:rPr>
        <w:t xml:space="preserve"> </w:t>
      </w:r>
      <w:r w:rsidR="000B14C8">
        <w:rPr>
          <w:rFonts w:ascii="Arial" w:hAnsi="Arial" w:cs="Arial"/>
        </w:rPr>
        <w:t xml:space="preserve">is a </w:t>
      </w:r>
      <w:r w:rsidR="000B14C8" w:rsidRPr="002D477B">
        <w:rPr>
          <w:rFonts w:ascii="Arial" w:hAnsi="Arial" w:cs="Arial"/>
        </w:rPr>
        <w:t>priori indicator</w:t>
      </w:r>
      <w:r w:rsidR="000B14C8">
        <w:rPr>
          <w:rFonts w:ascii="Arial" w:hAnsi="Arial" w:cs="Arial"/>
        </w:rPr>
        <w:t xml:space="preserve"> </w:t>
      </w:r>
      <w:r w:rsidR="000B14C8" w:rsidRPr="000B14C8">
        <w:rPr>
          <w:rFonts w:ascii="Arial" w:hAnsi="Arial" w:cs="Arial"/>
        </w:rPr>
        <w:t>related to the source area itself</w:t>
      </w:r>
      <w:r w:rsidR="000B14C8" w:rsidRPr="002D477B">
        <w:rPr>
          <w:rFonts w:ascii="Arial" w:hAnsi="Arial" w:cs="Arial"/>
        </w:rPr>
        <w:t xml:space="preserve"> before the</w:t>
      </w:r>
      <w:r w:rsidR="000B14C8" w:rsidRPr="000B14C8">
        <w:t xml:space="preserve"> </w:t>
      </w:r>
      <w:r w:rsidR="000B14C8" w:rsidRPr="000B14C8">
        <w:rPr>
          <w:rFonts w:ascii="Arial" w:hAnsi="Arial" w:cs="Arial"/>
        </w:rPr>
        <w:t>monkeypox</w:t>
      </w:r>
      <w:r w:rsidR="000B14C8" w:rsidRPr="002D477B">
        <w:rPr>
          <w:rFonts w:ascii="Arial" w:hAnsi="Arial" w:cs="Arial"/>
        </w:rPr>
        <w:t xml:space="preserve"> </w:t>
      </w:r>
      <w:r w:rsidR="000B14C8" w:rsidRPr="00B3127D">
        <w:rPr>
          <w:rFonts w:ascii="Arial" w:hAnsi="Arial" w:cs="Arial"/>
        </w:rPr>
        <w:t>epidemic</w:t>
      </w:r>
      <w:r w:rsidR="00152119">
        <w:t xml:space="preserve"> </w:t>
      </w:r>
      <w:r w:rsidR="00152119" w:rsidRPr="00152119">
        <w:rPr>
          <w:rFonts w:ascii="Arial" w:hAnsi="Arial" w:cs="Arial"/>
        </w:rPr>
        <w:t>(e.g., the sanitary status of the region, the state of sanitation facilities, etc.)</w:t>
      </w:r>
      <w:r w:rsidR="000B14C8">
        <w:rPr>
          <w:rFonts w:ascii="Arial" w:hAnsi="Arial" w:cs="Arial"/>
        </w:rPr>
        <w:t xml:space="preserve">, </w:t>
      </w:r>
      <w:r w:rsidR="00152119">
        <w:rPr>
          <w:rFonts w:ascii="Arial" w:hAnsi="Arial" w:cs="Arial"/>
        </w:rPr>
        <w:t xml:space="preserve">and </w:t>
      </w:r>
      <m:oMath>
        <m:sSub>
          <m:sSubPr>
            <m:ctrlPr>
              <w:rPr>
                <w:rFonts w:ascii="Cambria Math" w:hAnsi="Cambria Math" w:cs="Arial"/>
                <w:i/>
              </w:rPr>
            </m:ctrlPr>
          </m:sSubPr>
          <m:e>
            <m:r>
              <w:rPr>
                <w:rFonts w:ascii="Cambria Math" w:hAnsi="Cambria Math" w:cs="Arial"/>
              </w:rPr>
              <m:t>R</m:t>
            </m:r>
          </m:e>
          <m:sub>
            <m:r>
              <w:rPr>
                <w:rFonts w:ascii="Cambria Math" w:hAnsi="Cambria Math" w:cs="Arial"/>
              </w:rPr>
              <m:t>posteriori</m:t>
            </m:r>
          </m:sub>
        </m:sSub>
        <m:d>
          <m:dPr>
            <m:ctrlPr>
              <w:rPr>
                <w:rFonts w:ascii="Cambria Math" w:hAnsi="Cambria Math" w:cs="Arial"/>
                <w:i/>
              </w:rPr>
            </m:ctrlPr>
          </m:dPr>
          <m:e>
            <m:r>
              <w:rPr>
                <w:rFonts w:ascii="Cambria Math" w:hAnsi="Cambria Math" w:cs="Arial"/>
              </w:rPr>
              <m:t>t</m:t>
            </m:r>
          </m:e>
        </m:d>
      </m:oMath>
      <w:r w:rsidR="00152119">
        <w:rPr>
          <w:rFonts w:ascii="Arial" w:hAnsi="Arial" w:cs="Arial" w:hint="eastAsia"/>
        </w:rPr>
        <w:t xml:space="preserve"> </w:t>
      </w:r>
      <w:r w:rsidR="00152119">
        <w:rPr>
          <w:rFonts w:ascii="Arial" w:hAnsi="Arial" w:cs="Arial"/>
        </w:rPr>
        <w:t xml:space="preserve">is </w:t>
      </w:r>
      <w:r w:rsidR="00152119" w:rsidRPr="009465E1">
        <w:rPr>
          <w:rFonts w:ascii="Arial" w:hAnsi="Arial" w:cs="Arial"/>
        </w:rPr>
        <w:t xml:space="preserve">the risk index of the region at time </w:t>
      </w:r>
      <m:oMath>
        <m:r>
          <w:rPr>
            <w:rFonts w:ascii="Cambria Math" w:hAnsi="Cambria Math" w:cs="Arial"/>
          </w:rPr>
          <m:t>t</m:t>
        </m:r>
      </m:oMath>
      <w:r w:rsidR="00152119" w:rsidRPr="009465E1">
        <w:rPr>
          <w:rFonts w:ascii="Arial" w:hAnsi="Arial" w:cs="Arial"/>
        </w:rPr>
        <w:t xml:space="preserve"> assessed based on</w:t>
      </w:r>
      <w:r w:rsidR="00152119" w:rsidRPr="001F5136">
        <w:rPr>
          <w:rFonts w:ascii="Cambria Math" w:hAnsi="Cambria Math" w:cs="Arial"/>
          <w:i/>
        </w:rPr>
        <w:t xml:space="preserve"> </w:t>
      </w:r>
      <m:oMath>
        <m:r>
          <w:rPr>
            <w:rFonts w:ascii="Cambria Math" w:hAnsi="Cambria Math" w:cs="Arial"/>
          </w:rPr>
          <m:t>d</m:t>
        </m:r>
      </m:oMath>
      <w:r w:rsidR="00203936">
        <w:rPr>
          <w:rFonts w:ascii="Arial" w:hAnsi="Arial" w:cs="Arial"/>
        </w:rPr>
        <w:t xml:space="preserve">, </w:t>
      </w:r>
      <w:r w:rsidR="00203936" w:rsidRPr="001F5136">
        <w:rPr>
          <w:rFonts w:ascii="Arial" w:hAnsi="Arial" w:cs="Arial"/>
        </w:rPr>
        <w:t>reflect</w:t>
      </w:r>
      <w:r w:rsidR="00203936">
        <w:rPr>
          <w:rFonts w:ascii="Arial" w:hAnsi="Arial" w:cs="Arial"/>
        </w:rPr>
        <w:t>ing</w:t>
      </w:r>
      <w:r w:rsidR="00203936" w:rsidRPr="001F5136">
        <w:rPr>
          <w:rFonts w:ascii="Arial" w:hAnsi="Arial" w:cs="Arial"/>
        </w:rPr>
        <w:t xml:space="preserve"> the posterior knowledge derived from </w:t>
      </w:r>
      <w:r w:rsidR="00203936" w:rsidRPr="001F5136">
        <w:rPr>
          <w:rFonts w:ascii="Arial" w:hAnsi="Arial" w:cs="Arial"/>
        </w:rPr>
        <w:lastRenderedPageBreak/>
        <w:t xml:space="preserve">the quantitative measurement and assessment of the data </w:t>
      </w:r>
      <w:r w:rsidR="00203936" w:rsidRPr="00203936">
        <w:rPr>
          <w:rFonts w:ascii="Arial" w:hAnsi="Arial" w:cs="Arial"/>
        </w:rPr>
        <w:t>after the occurrence of the epidemic</w:t>
      </w:r>
      <w:r w:rsidR="00203936" w:rsidRPr="001F5136">
        <w:rPr>
          <w:rFonts w:ascii="Arial" w:hAnsi="Arial" w:cs="Arial"/>
        </w:rPr>
        <w:t>.</w:t>
      </w:r>
    </w:p>
    <w:p w14:paraId="1541FE88" w14:textId="4D7F5F31" w:rsidR="00FA6158" w:rsidRDefault="00FA6158" w:rsidP="00FA6158">
      <w:pPr>
        <w:spacing w:line="276" w:lineRule="auto"/>
        <w:ind w:firstLine="420"/>
        <w:jc w:val="both"/>
        <w:rPr>
          <w:rFonts w:ascii="Arial" w:hAnsi="Arial" w:cs="Arial"/>
        </w:rPr>
      </w:pPr>
      <w:r w:rsidRPr="00FA6158">
        <w:rPr>
          <w:rFonts w:ascii="Arial" w:hAnsi="Arial" w:cs="Arial"/>
        </w:rPr>
        <w:t xml:space="preserve">Considering the recent global COVID-19 </w:t>
      </w:r>
      <w:r>
        <w:rPr>
          <w:rFonts w:ascii="Arial" w:hAnsi="Arial" w:cs="Arial"/>
        </w:rPr>
        <w:t>pandemic</w:t>
      </w:r>
      <w:r w:rsidRPr="00FA6158">
        <w:rPr>
          <w:rFonts w:ascii="Arial" w:hAnsi="Arial" w:cs="Arial"/>
        </w:rPr>
        <w:t xml:space="preserve"> and the various initiatives and policies of countries in response to the epidemic, we chose the stringency index</w:t>
      </w:r>
      <w:r w:rsidR="00FE0390">
        <w:rPr>
          <w:rFonts w:ascii="Arial" w:hAnsi="Arial" w:cs="Arial"/>
        </w:rPr>
        <w:t xml:space="preserve"> </w:t>
      </w:r>
      <w:r w:rsidR="00FE0390">
        <w:rPr>
          <w:rFonts w:ascii="Arial" w:hAnsi="Arial" w:cs="Arial"/>
          <w:color w:val="FF0000"/>
          <w:highlight w:val="yellow"/>
        </w:rPr>
        <w:t xml:space="preserve">(Table </w:t>
      </w:r>
      <w:r w:rsidR="00AF4A38">
        <w:rPr>
          <w:rFonts w:ascii="Arial" w:hAnsi="Arial" w:cs="Arial"/>
          <w:color w:val="FF0000"/>
          <w:highlight w:val="yellow"/>
        </w:rPr>
        <w:t>S3</w:t>
      </w:r>
      <w:r w:rsidR="00FE0390">
        <w:rPr>
          <w:rFonts w:ascii="Arial" w:hAnsi="Arial" w:cs="Arial"/>
          <w:color w:val="FF0000"/>
          <w:highlight w:val="yellow"/>
        </w:rPr>
        <w:t xml:space="preserve"> in the Supplement)</w:t>
      </w:r>
      <w:r w:rsidRPr="00FA6158">
        <w:rPr>
          <w:rFonts w:ascii="Arial" w:hAnsi="Arial" w:cs="Arial"/>
        </w:rPr>
        <w:t xml:space="preserve"> derived from Oxford COVID-19 Government Response Tracker </w:t>
      </w:r>
      <w:commentRangeStart w:id="0"/>
      <w:r w:rsidRPr="00FA6158">
        <w:rPr>
          <w:rFonts w:ascii="Arial" w:hAnsi="Arial" w:cs="Arial"/>
        </w:rPr>
        <w:t>to</w:t>
      </w:r>
      <w:commentRangeEnd w:id="0"/>
      <w:r w:rsidR="00362548">
        <w:rPr>
          <w:rStyle w:val="ad"/>
        </w:rPr>
        <w:commentReference w:id="0"/>
      </w:r>
      <w:r w:rsidRPr="00FA6158">
        <w:rPr>
          <w:rFonts w:ascii="Arial" w:hAnsi="Arial" w:cs="Arial"/>
        </w:rPr>
        <w:t xml:space="preserve"> measure the ability of</w:t>
      </w:r>
      <w:r>
        <w:rPr>
          <w:rFonts w:ascii="Arial" w:hAnsi="Arial" w:cs="Arial"/>
        </w:rPr>
        <w:t xml:space="preserve"> </w:t>
      </w:r>
      <w:r w:rsidRPr="00FA6158">
        <w:rPr>
          <w:rFonts w:ascii="Arial" w:hAnsi="Arial" w:cs="Arial"/>
        </w:rPr>
        <w:t>region</w:t>
      </w:r>
      <w:r>
        <w:rPr>
          <w:rFonts w:ascii="Arial" w:hAnsi="Arial" w:cs="Arial"/>
        </w:rPr>
        <w:t>s</w:t>
      </w:r>
      <w:r w:rsidRPr="00FA6158">
        <w:rPr>
          <w:rFonts w:ascii="Arial" w:hAnsi="Arial" w:cs="Arial"/>
        </w:rPr>
        <w:t xml:space="preserve"> to prevent and control the spread of infectious diseases.</w:t>
      </w:r>
      <w:r>
        <w:rPr>
          <w:rFonts w:ascii="Arial" w:hAnsi="Arial" w:cs="Arial"/>
        </w:rPr>
        <w:t xml:space="preserve"> </w:t>
      </w:r>
      <w:r w:rsidR="00362548">
        <w:rPr>
          <w:rFonts w:ascii="Arial" w:hAnsi="Arial" w:cs="Arial"/>
        </w:rPr>
        <w:t>The s</w:t>
      </w:r>
      <w:r w:rsidR="00362548" w:rsidRPr="00FA6158">
        <w:rPr>
          <w:rFonts w:ascii="Arial" w:hAnsi="Arial" w:cs="Arial"/>
        </w:rPr>
        <w:t xml:space="preserve">tringency </w:t>
      </w:r>
      <w:r w:rsidRPr="00203936">
        <w:rPr>
          <w:rFonts w:ascii="Arial" w:hAnsi="Arial" w:cs="Arial"/>
        </w:rPr>
        <w:t xml:space="preserve">index records the strictness of </w:t>
      </w:r>
      <w:r w:rsidR="003C551B">
        <w:rPr>
          <w:rFonts w:ascii="Arial" w:hAnsi="Arial" w:cs="Arial"/>
        </w:rPr>
        <w:t>“</w:t>
      </w:r>
      <w:r w:rsidRPr="00203936">
        <w:rPr>
          <w:rFonts w:ascii="Arial" w:hAnsi="Arial" w:cs="Arial"/>
        </w:rPr>
        <w:t>lockdown style</w:t>
      </w:r>
      <w:r w:rsidR="003C551B">
        <w:rPr>
          <w:rFonts w:ascii="Arial" w:hAnsi="Arial" w:cs="Arial"/>
        </w:rPr>
        <w:t>”</w:t>
      </w:r>
      <w:r w:rsidRPr="00203936">
        <w:rPr>
          <w:rFonts w:ascii="Arial" w:hAnsi="Arial" w:cs="Arial"/>
        </w:rPr>
        <w:t xml:space="preserve"> policies that primarily restrict people’s behavior</w:t>
      </w:r>
      <w:r w:rsidR="00362548">
        <w:rPr>
          <w:rFonts w:ascii="Arial" w:hAnsi="Arial" w:cs="Arial"/>
        </w:rPr>
        <w:t xml:space="preserve">, </w:t>
      </w:r>
      <w:r w:rsidR="00362548" w:rsidRPr="00362548">
        <w:rPr>
          <w:rFonts w:ascii="Arial" w:hAnsi="Arial" w:cs="Arial"/>
        </w:rPr>
        <w:t>taking values between 0 and 100.</w:t>
      </w:r>
    </w:p>
    <w:p w14:paraId="2FB360BF" w14:textId="168B0329" w:rsidR="0058371D" w:rsidRDefault="00D61205" w:rsidP="004A30DE">
      <w:pPr>
        <w:spacing w:line="276" w:lineRule="auto"/>
        <w:jc w:val="both"/>
        <w:rPr>
          <w:rFonts w:ascii="Arial" w:hAnsi="Arial" w:cs="Arial"/>
        </w:rPr>
      </w:pPr>
      <w:r>
        <w:rPr>
          <w:rFonts w:ascii="Arial" w:hAnsi="Arial" w:cs="Arial"/>
        </w:rPr>
        <w:tab/>
      </w:r>
      <w:r w:rsidR="00893160" w:rsidRPr="00893160">
        <w:rPr>
          <w:rFonts w:ascii="Arial" w:hAnsi="Arial" w:cs="Arial"/>
        </w:rPr>
        <w:t>Denote</w:t>
      </w:r>
      <w:r w:rsidR="00893160">
        <w:rPr>
          <w:rFonts w:ascii="Arial" w:hAnsi="Arial" w:cs="Arial"/>
        </w:rPr>
        <w:t xml:space="preserve"> </w:t>
      </w:r>
      <m:oMath>
        <m:sSub>
          <m:sSubPr>
            <m:ctrlPr>
              <w:rPr>
                <w:rFonts w:ascii="Cambria Math" w:hAnsi="Cambria Math" w:cs="Arial"/>
                <w:i/>
              </w:rPr>
            </m:ctrlPr>
          </m:sSubPr>
          <m:e>
            <m:r>
              <w:rPr>
                <w:rFonts w:ascii="Cambria Math" w:hAnsi="Cambria Math" w:cs="Arial"/>
              </w:rPr>
              <m:t>R</m:t>
            </m:r>
          </m:e>
          <m:sub>
            <m:r>
              <w:rPr>
                <w:rFonts w:ascii="Cambria Math" w:hAnsi="Cambria Math" w:cs="Arial"/>
              </w:rPr>
              <m:t>posteriori</m:t>
            </m:r>
          </m:sub>
        </m:sSub>
        <m:d>
          <m:dPr>
            <m:ctrlPr>
              <w:rPr>
                <w:rFonts w:ascii="Cambria Math" w:hAnsi="Cambria Math" w:cs="Arial"/>
                <w:i/>
              </w:rPr>
            </m:ctrlPr>
          </m:dPr>
          <m:e>
            <m:r>
              <w:rPr>
                <w:rFonts w:ascii="Cambria Math" w:hAnsi="Cambria Math" w:cs="Arial"/>
              </w:rPr>
              <m:t>t</m:t>
            </m:r>
          </m:e>
        </m:d>
        <m:r>
          <w:rPr>
            <w:rFonts w:ascii="Cambria Math" w:hAnsi="Cambria Math" w:cs="Arial"/>
          </w:rPr>
          <m:t>=ω∙v(t)</m:t>
        </m:r>
      </m:oMath>
      <w:r w:rsidR="00893160">
        <w:rPr>
          <w:rFonts w:ascii="Arial" w:hAnsi="Arial" w:cs="Arial" w:hint="eastAsia"/>
        </w:rPr>
        <w:t>,</w:t>
      </w:r>
      <w:r w:rsidR="00893160">
        <w:rPr>
          <w:rFonts w:ascii="Arial" w:hAnsi="Arial" w:cs="Arial"/>
        </w:rPr>
        <w:t xml:space="preserve"> where </w:t>
      </w:r>
      <m:oMath>
        <m:r>
          <w:rPr>
            <w:rFonts w:ascii="Cambria Math" w:hAnsi="Cambria Math" w:cs="Arial"/>
          </w:rPr>
          <m:t>ω∈</m:t>
        </m:r>
        <m:sSup>
          <m:sSupPr>
            <m:ctrlPr>
              <w:rPr>
                <w:rFonts w:ascii="Cambria Math" w:hAnsi="Cambria Math" w:cs="Arial"/>
                <w:i/>
              </w:rPr>
            </m:ctrlPr>
          </m:sSupPr>
          <m:e>
            <m:r>
              <w:rPr>
                <w:rFonts w:ascii="Cambria Math" w:hAnsi="Cambria Math" w:cs="Arial"/>
              </w:rPr>
              <m:t>R</m:t>
            </m:r>
          </m:e>
          <m:sup>
            <m:r>
              <w:rPr>
                <w:rFonts w:ascii="Cambria Math" w:hAnsi="Cambria Math" w:cs="Arial"/>
              </w:rPr>
              <m:t>n</m:t>
            </m:r>
          </m:sup>
        </m:sSup>
      </m:oMath>
      <w:r w:rsidR="00893160">
        <w:rPr>
          <w:rFonts w:ascii="Arial" w:hAnsi="Arial" w:cs="Arial" w:hint="eastAsia"/>
        </w:rPr>
        <w:t xml:space="preserve"> </w:t>
      </w:r>
      <w:r w:rsidR="00893160">
        <w:rPr>
          <w:rFonts w:ascii="Arial" w:hAnsi="Arial" w:cs="Arial"/>
        </w:rPr>
        <w:t xml:space="preserve">is the </w:t>
      </w:r>
      <w:r w:rsidR="00893160" w:rsidRPr="00893160">
        <w:rPr>
          <w:rFonts w:ascii="Arial" w:hAnsi="Arial" w:cs="Arial"/>
        </w:rPr>
        <w:t>weight vector</w:t>
      </w:r>
      <w:r w:rsidR="00893160">
        <w:rPr>
          <w:rFonts w:ascii="Arial" w:hAnsi="Arial" w:cs="Arial"/>
        </w:rPr>
        <w:t xml:space="preserve"> and </w:t>
      </w:r>
      <m:oMath>
        <m:r>
          <w:rPr>
            <w:rFonts w:ascii="Cambria Math" w:hAnsi="Cambria Math" w:cs="Arial"/>
          </w:rPr>
          <m:t>v(t)∈</m:t>
        </m:r>
        <m:sSup>
          <m:sSupPr>
            <m:ctrlPr>
              <w:rPr>
                <w:rFonts w:ascii="Cambria Math" w:hAnsi="Cambria Math" w:cs="Arial"/>
                <w:i/>
              </w:rPr>
            </m:ctrlPr>
          </m:sSupPr>
          <m:e>
            <m:r>
              <w:rPr>
                <w:rFonts w:ascii="Cambria Math" w:hAnsi="Cambria Math" w:cs="Arial"/>
              </w:rPr>
              <m:t>R</m:t>
            </m:r>
          </m:e>
          <m:sup>
            <m:r>
              <w:rPr>
                <w:rFonts w:ascii="Cambria Math" w:hAnsi="Cambria Math" w:cs="Arial"/>
              </w:rPr>
              <m:t>n</m:t>
            </m:r>
          </m:sup>
        </m:sSup>
      </m:oMath>
      <w:r w:rsidR="00893160">
        <w:rPr>
          <w:rFonts w:ascii="Arial" w:hAnsi="Arial" w:cs="Arial" w:hint="eastAsia"/>
        </w:rPr>
        <w:t xml:space="preserve"> </w:t>
      </w:r>
      <w:r w:rsidR="00893160" w:rsidRPr="00893160">
        <w:rPr>
          <w:rFonts w:ascii="Arial" w:hAnsi="Arial" w:cs="Arial"/>
        </w:rPr>
        <w:t>is the n-dimensional vector associated with the epidemic, describing the risk level of the epidemic in</w:t>
      </w:r>
      <w:r w:rsidR="00893160">
        <w:rPr>
          <w:rFonts w:ascii="Arial" w:hAnsi="Arial" w:cs="Arial"/>
        </w:rPr>
        <w:t xml:space="preserve"> </w:t>
      </w:r>
      <w:r w:rsidR="00893160" w:rsidRPr="00893160">
        <w:rPr>
          <w:rFonts w:ascii="Arial" w:hAnsi="Arial" w:cs="Arial"/>
        </w:rPr>
        <w:t xml:space="preserve">a particular </w:t>
      </w:r>
      <w:r w:rsidR="00893160">
        <w:rPr>
          <w:rFonts w:ascii="Arial" w:hAnsi="Arial" w:cs="Arial"/>
        </w:rPr>
        <w:t>region</w:t>
      </w:r>
      <w:r w:rsidR="00893160" w:rsidRPr="00893160">
        <w:rPr>
          <w:rFonts w:ascii="Arial" w:hAnsi="Arial" w:cs="Arial"/>
        </w:rPr>
        <w:t xml:space="preserve"> in different dimensions, such as the number of infections, the rate of disease growth, etc.</w:t>
      </w:r>
      <w:r w:rsidR="0058371D">
        <w:rPr>
          <w:rFonts w:ascii="Arial" w:hAnsi="Arial" w:cs="Arial"/>
        </w:rPr>
        <w:t xml:space="preserve"> </w:t>
      </w:r>
      <w:r w:rsidR="0058371D" w:rsidRPr="0058371D">
        <w:rPr>
          <w:rFonts w:ascii="Arial" w:hAnsi="Arial" w:cs="Arial"/>
        </w:rPr>
        <w:t xml:space="preserve">We construct a simplified but reliable epidemic transmission model to obtain </w:t>
      </w:r>
      <m:oMath>
        <m:r>
          <w:rPr>
            <w:rFonts w:ascii="Cambria Math" w:hAnsi="Cambria Math" w:cs="Arial"/>
          </w:rPr>
          <m:t>v(t)</m:t>
        </m:r>
      </m:oMath>
      <w:r w:rsidR="0058371D">
        <w:rPr>
          <w:rFonts w:ascii="Arial" w:hAnsi="Arial" w:cs="Arial" w:hint="eastAsia"/>
        </w:rPr>
        <w:t xml:space="preserve"> </w:t>
      </w:r>
      <w:r w:rsidR="0058371D" w:rsidRPr="0058371D">
        <w:rPr>
          <w:rFonts w:ascii="Arial" w:hAnsi="Arial" w:cs="Arial"/>
        </w:rPr>
        <w:t>explicitly from the time-series data</w:t>
      </w:r>
      <w:r w:rsidR="0058371D">
        <w:rPr>
          <w:rFonts w:ascii="Arial" w:hAnsi="Arial" w:cs="Arial"/>
        </w:rPr>
        <w:t xml:space="preserve"> </w:t>
      </w:r>
      <m:oMath>
        <m:r>
          <w:rPr>
            <w:rFonts w:ascii="Cambria Math" w:hAnsi="Cambria Math" w:cs="Arial"/>
          </w:rPr>
          <m:t>d</m:t>
        </m:r>
      </m:oMath>
      <w:r w:rsidR="0058371D" w:rsidRPr="0058371D">
        <w:rPr>
          <w:rFonts w:ascii="Arial" w:hAnsi="Arial" w:cs="Arial"/>
        </w:rPr>
        <w:t>.</w:t>
      </w:r>
      <w:r w:rsidR="0058371D">
        <w:rPr>
          <w:rFonts w:ascii="Arial" w:hAnsi="Arial" w:cs="Arial"/>
        </w:rPr>
        <w:t xml:space="preserve"> </w:t>
      </w:r>
      <w:r w:rsidR="0058371D" w:rsidRPr="0058371D">
        <w:rPr>
          <w:rFonts w:ascii="Arial" w:hAnsi="Arial" w:cs="Arial"/>
        </w:rPr>
        <w:t>Let</w:t>
      </w:r>
      <w:r w:rsidR="0058371D">
        <w:rPr>
          <w:rFonts w:ascii="Arial" w:hAnsi="Arial" w:cs="Arial"/>
        </w:rPr>
        <w:t xml:space="preserve"> </w:t>
      </w:r>
      <m:oMath>
        <m:r>
          <w:rPr>
            <w:rFonts w:ascii="Cambria Math" w:hAnsi="Cambria Math" w:cs="Arial"/>
          </w:rPr>
          <m:t>P(t)</m:t>
        </m:r>
      </m:oMath>
      <w:r w:rsidR="0058371D" w:rsidRPr="0058371D">
        <w:rPr>
          <w:rFonts w:ascii="Arial" w:hAnsi="Arial" w:cs="Arial"/>
        </w:rPr>
        <w:t xml:space="preserve"> denote the number of infections in </w:t>
      </w:r>
      <w:r w:rsidR="0058371D">
        <w:rPr>
          <w:rFonts w:ascii="Arial" w:hAnsi="Arial" w:cs="Arial"/>
        </w:rPr>
        <w:t>a</w:t>
      </w:r>
      <w:r w:rsidR="0058371D" w:rsidRPr="0058371D">
        <w:rPr>
          <w:rFonts w:ascii="Arial" w:hAnsi="Arial" w:cs="Arial"/>
        </w:rPr>
        <w:t xml:space="preserve"> </w:t>
      </w:r>
      <w:r w:rsidR="0058371D">
        <w:rPr>
          <w:rFonts w:ascii="Arial" w:hAnsi="Arial" w:cs="Arial"/>
        </w:rPr>
        <w:t>region</w:t>
      </w:r>
      <w:r w:rsidR="0058371D" w:rsidRPr="0058371D">
        <w:rPr>
          <w:rFonts w:ascii="Arial" w:hAnsi="Arial" w:cs="Arial"/>
        </w:rPr>
        <w:t xml:space="preserve"> at time t</w:t>
      </w:r>
      <w:r w:rsidR="00E170D7">
        <w:rPr>
          <w:rFonts w:ascii="Arial" w:hAnsi="Arial" w:cs="Arial"/>
        </w:rPr>
        <w:t>,</w:t>
      </w:r>
      <w:r w:rsidR="0058371D" w:rsidRPr="0058371D">
        <w:rPr>
          <w:rFonts w:ascii="Arial" w:hAnsi="Arial" w:cs="Arial"/>
        </w:rPr>
        <w:t xml:space="preserve"> </w:t>
      </w:r>
      <w:r w:rsidR="00E170D7">
        <w:rPr>
          <w:rFonts w:ascii="Arial" w:hAnsi="Arial" w:cs="Arial"/>
        </w:rPr>
        <w:t>f</w:t>
      </w:r>
      <w:r w:rsidR="0058371D" w:rsidRPr="0058371D">
        <w:rPr>
          <w:rFonts w:ascii="Arial" w:hAnsi="Arial" w:cs="Arial"/>
        </w:rPr>
        <w:t xml:space="preserve">ollowing the idea of the SEIR model, </w:t>
      </w:r>
      <w:r w:rsidR="00E170D7" w:rsidRPr="00E170D7">
        <w:rPr>
          <w:rFonts w:ascii="Arial" w:hAnsi="Arial" w:cs="Arial"/>
        </w:rPr>
        <w:t>we can express</w:t>
      </w:r>
      <w:r w:rsidR="00E170D7">
        <w:rPr>
          <w:rFonts w:ascii="Arial" w:hAnsi="Arial" w:cs="Arial"/>
        </w:rPr>
        <w:t xml:space="preserve"> </w:t>
      </w:r>
      <m:oMath>
        <m:r>
          <w:rPr>
            <w:rFonts w:ascii="Cambria Math" w:hAnsi="Cambria Math" w:cs="Arial"/>
          </w:rPr>
          <m:t>P(t)</m:t>
        </m:r>
      </m:oMath>
      <w:r w:rsidR="00E170D7" w:rsidRPr="0058371D">
        <w:rPr>
          <w:rFonts w:ascii="Arial" w:hAnsi="Arial" w:cs="Arial"/>
        </w:rPr>
        <w:t xml:space="preserve"> </w:t>
      </w:r>
      <w:r w:rsidR="00E170D7" w:rsidRPr="00E170D7">
        <w:rPr>
          <w:rFonts w:ascii="Arial" w:hAnsi="Arial" w:cs="Arial"/>
        </w:rPr>
        <w:t>as an ordinary differential equation as follows</w:t>
      </w:r>
      <w:r w:rsidR="00E170D7">
        <w:rPr>
          <w:rFonts w:ascii="Arial" w:hAnsi="Arial" w:cs="Arial"/>
        </w:rPr>
        <w:t>:</w:t>
      </w:r>
    </w:p>
    <w:p w14:paraId="62D7E940" w14:textId="77777777" w:rsidR="00E170D7" w:rsidRPr="00246391" w:rsidRDefault="00000000" w:rsidP="00E170D7">
      <w:pPr>
        <w:spacing w:line="276" w:lineRule="auto"/>
        <w:rPr>
          <w:rFonts w:ascii="Arial" w:hAnsi="Arial" w:cs="Arial"/>
        </w:rPr>
      </w:pPr>
      <m:oMathPara>
        <m:oMath>
          <m:f>
            <m:fPr>
              <m:ctrlPr>
                <w:rPr>
                  <w:rFonts w:ascii="Cambria Math" w:hAnsi="Cambria Math" w:cs="Arial"/>
                  <w:i/>
                </w:rPr>
              </m:ctrlPr>
            </m:fPr>
            <m:num>
              <m:r>
                <w:rPr>
                  <w:rFonts w:ascii="Cambria Math" w:hAnsi="Cambria Math" w:cs="Arial"/>
                </w:rPr>
                <m:t>dP(t)</m:t>
              </m:r>
            </m:num>
            <m:den>
              <m:r>
                <w:rPr>
                  <w:rFonts w:ascii="Cambria Math" w:hAnsi="Cambria Math" w:cs="Arial"/>
                </w:rPr>
                <m:t>dt</m:t>
              </m:r>
            </m:den>
          </m:f>
          <m:r>
            <w:rPr>
              <w:rFonts w:ascii="Cambria Math" w:hAnsi="Cambria Math" w:cs="Arial"/>
            </w:rPr>
            <m:t>=λ(t)P(t)</m:t>
          </m:r>
        </m:oMath>
      </m:oMathPara>
    </w:p>
    <w:p w14:paraId="0EFFF6E2" w14:textId="13D97519" w:rsidR="00E21C48" w:rsidRDefault="00E170D7" w:rsidP="00453AB0">
      <w:pPr>
        <w:spacing w:line="276" w:lineRule="auto"/>
        <w:jc w:val="both"/>
        <w:rPr>
          <w:rFonts w:ascii="Arial" w:hAnsi="Arial" w:cs="Arial"/>
        </w:rPr>
      </w:pPr>
      <w:r>
        <w:rPr>
          <w:rFonts w:ascii="Arial" w:hAnsi="Arial" w:cs="Arial"/>
        </w:rPr>
        <w:t>Where</w:t>
      </w:r>
      <w:r w:rsidRPr="00E170D7">
        <w:rPr>
          <w:rFonts w:ascii="Cambria Math" w:hAnsi="Cambria Math" w:cs="Arial"/>
          <w:i/>
        </w:rPr>
        <w:t xml:space="preserve"> </w:t>
      </w:r>
      <m:oMath>
        <m:r>
          <w:rPr>
            <w:rFonts w:ascii="Cambria Math" w:hAnsi="Cambria Math" w:cs="Arial"/>
          </w:rPr>
          <m:t>λ(t)</m:t>
        </m:r>
      </m:oMath>
      <w:r w:rsidR="00E21C48">
        <w:rPr>
          <w:rFonts w:ascii="Cambria Math" w:hAnsi="Cambria Math" w:cs="Arial"/>
          <w:iCs/>
        </w:rPr>
        <w:t xml:space="preserve"> </w:t>
      </w:r>
      <w:r w:rsidRPr="00E170D7">
        <w:rPr>
          <w:rFonts w:ascii="Arial" w:hAnsi="Arial" w:cs="Arial"/>
        </w:rPr>
        <w:t xml:space="preserve">is a </w:t>
      </w:r>
      <w:r>
        <w:rPr>
          <w:rFonts w:ascii="Arial" w:hAnsi="Arial" w:cs="Arial"/>
        </w:rPr>
        <w:t>pooled</w:t>
      </w:r>
      <w:r w:rsidRPr="00E170D7">
        <w:rPr>
          <w:rFonts w:ascii="Arial" w:hAnsi="Arial" w:cs="Arial"/>
        </w:rPr>
        <w:t xml:space="preserve"> coefficient </w:t>
      </w:r>
      <w:r w:rsidR="00B80C19" w:rsidRPr="00B80C19">
        <w:rPr>
          <w:rFonts w:ascii="Arial" w:hAnsi="Arial" w:cs="Arial"/>
        </w:rPr>
        <w:t>used to describe the change in the number of infections over time,</w:t>
      </w:r>
      <w:r w:rsidR="00623AD2">
        <w:rPr>
          <w:rFonts w:ascii="Arial" w:hAnsi="Arial" w:cs="Arial"/>
        </w:rPr>
        <w:t xml:space="preserve"> </w:t>
      </w:r>
      <w:r w:rsidR="00072480">
        <w:rPr>
          <w:rFonts w:ascii="Arial" w:hAnsi="Arial" w:cs="Arial"/>
        </w:rPr>
        <w:t>taking into account</w:t>
      </w:r>
      <w:r w:rsidR="00623AD2">
        <w:rPr>
          <w:rFonts w:ascii="Arial" w:hAnsi="Arial" w:cs="Arial"/>
        </w:rPr>
        <w:t xml:space="preserve"> </w:t>
      </w:r>
      <w:r w:rsidRPr="00E170D7">
        <w:rPr>
          <w:rFonts w:ascii="Arial" w:hAnsi="Arial" w:cs="Arial"/>
        </w:rPr>
        <w:t xml:space="preserve">the </w:t>
      </w:r>
      <w:r>
        <w:rPr>
          <w:rFonts w:ascii="Arial" w:hAnsi="Arial" w:cs="Arial"/>
        </w:rPr>
        <w:t>basic</w:t>
      </w:r>
      <w:r w:rsidRPr="00E170D7">
        <w:rPr>
          <w:rFonts w:ascii="Arial" w:hAnsi="Arial" w:cs="Arial"/>
        </w:rPr>
        <w:t xml:space="preserve"> regeneration number, growth rate, and </w:t>
      </w:r>
      <w:r>
        <w:rPr>
          <w:rFonts w:ascii="Arial" w:hAnsi="Arial" w:cs="Arial"/>
        </w:rPr>
        <w:t>containment</w:t>
      </w:r>
      <w:r w:rsidRPr="00E170D7">
        <w:rPr>
          <w:rFonts w:ascii="Arial" w:hAnsi="Arial" w:cs="Arial"/>
        </w:rPr>
        <w:t xml:space="preserve"> intervention.</w:t>
      </w:r>
      <w:r w:rsidR="00453AB0">
        <w:rPr>
          <w:rFonts w:ascii="Arial" w:hAnsi="Arial" w:cs="Arial"/>
        </w:rPr>
        <w:t xml:space="preserve"> </w:t>
      </w:r>
      <w:r w:rsidR="00E21C48" w:rsidRPr="00E21C48">
        <w:rPr>
          <w:rFonts w:ascii="Arial" w:hAnsi="Arial" w:cs="Arial"/>
        </w:rPr>
        <w:t>Tak</w:t>
      </w:r>
      <w:r w:rsidR="00E21C48">
        <w:rPr>
          <w:rFonts w:ascii="Arial" w:hAnsi="Arial" w:cs="Arial"/>
        </w:rPr>
        <w:t>e</w:t>
      </w:r>
      <w:r w:rsidR="00E21C48" w:rsidRPr="00E21C48">
        <w:rPr>
          <w:rFonts w:ascii="Arial" w:hAnsi="Arial" w:cs="Arial"/>
        </w:rPr>
        <w:t xml:space="preserve"> a first-order approximation to </w:t>
      </w:r>
      <m:oMath>
        <m:r>
          <w:rPr>
            <w:rFonts w:ascii="Cambria Math" w:hAnsi="Cambria Math" w:cs="Arial"/>
          </w:rPr>
          <m:t>λ(t)</m:t>
        </m:r>
      </m:oMath>
      <w:r w:rsidR="00E21C48">
        <w:rPr>
          <w:rFonts w:ascii="Arial" w:hAnsi="Arial" w:cs="Arial"/>
        </w:rPr>
        <w:t>:</w:t>
      </w:r>
    </w:p>
    <w:p w14:paraId="7F413CC3" w14:textId="77777777" w:rsidR="00E21C48" w:rsidRPr="009453CC" w:rsidRDefault="00E21C48" w:rsidP="00E21C48">
      <w:pPr>
        <w:spacing w:line="276" w:lineRule="auto"/>
        <w:rPr>
          <w:rFonts w:ascii="Arial" w:hAnsi="Arial" w:cs="Arial"/>
          <w:i/>
        </w:rPr>
      </w:pPr>
      <m:oMathPara>
        <m:oMath>
          <m:r>
            <w:rPr>
              <w:rFonts w:ascii="Cambria Math" w:hAnsi="Cambria Math" w:cs="Arial"/>
            </w:rPr>
            <m:t>λ</m:t>
          </m:r>
          <m:d>
            <m:dPr>
              <m:ctrlPr>
                <w:rPr>
                  <w:rFonts w:ascii="Cambria Math" w:hAnsi="Cambria Math" w:cs="Arial"/>
                  <w:i/>
                </w:rPr>
              </m:ctrlPr>
            </m:dPr>
            <m:e>
              <m:r>
                <w:rPr>
                  <w:rFonts w:ascii="Cambria Math" w:hAnsi="Cambria Math" w:cs="Arial"/>
                </w:rPr>
                <m:t>t</m:t>
              </m:r>
            </m:e>
          </m:d>
          <m:r>
            <w:rPr>
              <w:rFonts w:ascii="Cambria Math" w:hAnsi="Cambria Math" w:cs="Arial"/>
            </w:rPr>
            <m:t>=at+b</m:t>
          </m:r>
        </m:oMath>
      </m:oMathPara>
    </w:p>
    <w:p w14:paraId="248FA078" w14:textId="01D93484" w:rsidR="00DF2334" w:rsidRDefault="00E21C48" w:rsidP="00CF4C74">
      <w:pPr>
        <w:spacing w:line="276" w:lineRule="auto"/>
        <w:ind w:firstLine="420"/>
        <w:jc w:val="both"/>
        <w:rPr>
          <w:rFonts w:ascii="Arial" w:hAnsi="Arial" w:cs="Arial"/>
        </w:rPr>
      </w:pPr>
      <w:r w:rsidRPr="00E21C48">
        <w:rPr>
          <w:rFonts w:ascii="Arial" w:hAnsi="Arial" w:cs="Arial"/>
        </w:rPr>
        <w:t xml:space="preserve">We can solve </w:t>
      </w:r>
      <w:r>
        <w:rPr>
          <w:rFonts w:ascii="Arial" w:hAnsi="Arial" w:cs="Arial"/>
        </w:rPr>
        <w:t>the above</w:t>
      </w:r>
      <w:r w:rsidRPr="00E21C48">
        <w:rPr>
          <w:rFonts w:ascii="Arial" w:hAnsi="Arial" w:cs="Arial"/>
        </w:rPr>
        <w:t xml:space="preserve"> differential equation and obtain</w:t>
      </w:r>
      <w:r w:rsidRPr="00E21C48">
        <w:rPr>
          <w:rFonts w:ascii="Cambria Math" w:hAnsi="Cambria Math" w:cs="Arial"/>
          <w:i/>
        </w:rPr>
        <w:t xml:space="preserve"> </w:t>
      </w:r>
      <m:oMath>
        <m:r>
          <w:rPr>
            <w:rFonts w:ascii="Cambria Math" w:hAnsi="Cambria Math" w:cs="Arial"/>
          </w:rPr>
          <m:t>P(t)</m:t>
        </m:r>
      </m:oMath>
      <w:r>
        <w:rPr>
          <w:rFonts w:ascii="Arial" w:hAnsi="Arial" w:cs="Arial"/>
        </w:rPr>
        <w:t>:</w:t>
      </w:r>
    </w:p>
    <w:p w14:paraId="4E8C4A3C" w14:textId="20330C36" w:rsidR="009453CC" w:rsidRPr="009453CC" w:rsidRDefault="00E21C48" w:rsidP="009453CC">
      <w:pPr>
        <w:spacing w:line="276" w:lineRule="auto"/>
        <w:rPr>
          <w:rFonts w:ascii="Arial" w:hAnsi="Arial" w:cs="Arial"/>
          <w:i/>
        </w:rPr>
      </w:pPr>
      <m:oMathPara>
        <m:oMath>
          <m:r>
            <w:rPr>
              <w:rFonts w:ascii="Cambria Math" w:hAnsi="Cambria Math" w:cs="Arial"/>
            </w:rPr>
            <m:t>P</m:t>
          </m:r>
          <m:d>
            <m:dPr>
              <m:ctrlPr>
                <w:rPr>
                  <w:rFonts w:ascii="Cambria Math" w:hAnsi="Cambria Math" w:cs="Arial"/>
                  <w:i/>
                </w:rPr>
              </m:ctrlPr>
            </m:dPr>
            <m:e>
              <m:r>
                <w:rPr>
                  <w:rFonts w:ascii="Cambria Math" w:hAnsi="Cambria Math" w:cs="Arial"/>
                </w:rPr>
                <m:t>t</m:t>
              </m:r>
            </m:e>
          </m:d>
          <m:r>
            <w:rPr>
              <w:rFonts w:ascii="Cambria Math" w:hAnsi="Cambria Math" w:cs="Arial"/>
            </w:rPr>
            <m:t>=P</m:t>
          </m:r>
          <m:d>
            <m:dPr>
              <m:ctrlPr>
                <w:rPr>
                  <w:rFonts w:ascii="Cambria Math" w:hAnsi="Cambria Math" w:cs="Arial"/>
                  <w:i/>
                </w:rPr>
              </m:ctrlPr>
            </m:dPr>
            <m:e>
              <m:r>
                <w:rPr>
                  <w:rFonts w:ascii="Cambria Math" w:hAnsi="Cambria Math" w:cs="Arial"/>
                </w:rPr>
                <m:t>0</m:t>
              </m:r>
            </m:e>
          </m:d>
          <m:sSup>
            <m:sSupPr>
              <m:ctrlPr>
                <w:rPr>
                  <w:rFonts w:ascii="Cambria Math" w:hAnsi="Cambria Math" w:cs="Arial"/>
                  <w:i/>
                </w:rPr>
              </m:ctrlPr>
            </m:sSupPr>
            <m:e>
              <m:r>
                <w:rPr>
                  <w:rFonts w:ascii="Cambria Math" w:hAnsi="Cambria Math" w:cs="Arial"/>
                </w:rPr>
                <m:t>e</m:t>
              </m:r>
            </m:e>
            <m:sup>
              <m:f>
                <m:fPr>
                  <m:ctrlPr>
                    <w:rPr>
                      <w:rFonts w:ascii="Cambria Math" w:hAnsi="Cambria Math" w:cs="Arial"/>
                      <w:i/>
                    </w:rPr>
                  </m:ctrlPr>
                </m:fPr>
                <m:num>
                  <m:r>
                    <w:rPr>
                      <w:rFonts w:ascii="Cambria Math" w:hAnsi="Cambria Math" w:cs="Arial"/>
                    </w:rPr>
                    <m:t>a</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t</m:t>
                  </m:r>
                </m:e>
                <m:sup>
                  <m:r>
                    <w:rPr>
                      <w:rFonts w:ascii="Cambria Math" w:hAnsi="Cambria Math" w:cs="Arial"/>
                    </w:rPr>
                    <m:t>2</m:t>
                  </m:r>
                </m:sup>
              </m:sSup>
              <m:r>
                <w:rPr>
                  <w:rFonts w:ascii="Cambria Math" w:hAnsi="Cambria Math" w:cs="Arial"/>
                </w:rPr>
                <m:t>+bt</m:t>
              </m:r>
            </m:sup>
          </m:sSup>
        </m:oMath>
      </m:oMathPara>
    </w:p>
    <w:p w14:paraId="07821CA4" w14:textId="469C4655" w:rsidR="009453CC" w:rsidRDefault="00A907D1" w:rsidP="00055B67">
      <w:pPr>
        <w:spacing w:line="276" w:lineRule="auto"/>
        <w:rPr>
          <w:rFonts w:ascii="Arial" w:hAnsi="Arial" w:cs="Arial"/>
        </w:rPr>
      </w:pPr>
      <w:r>
        <w:rPr>
          <w:rFonts w:ascii="Arial" w:hAnsi="Arial" w:cs="Arial"/>
        </w:rPr>
        <w:tab/>
      </w:r>
      <w:r w:rsidRPr="00A907D1">
        <w:rPr>
          <w:rFonts w:ascii="Arial" w:hAnsi="Arial" w:cs="Arial"/>
        </w:rPr>
        <w:t xml:space="preserve">The parameters </w:t>
      </w:r>
      <m:oMath>
        <m:r>
          <w:rPr>
            <w:rFonts w:ascii="Cambria Math" w:hAnsi="Cambria Math" w:cs="Arial"/>
          </w:rPr>
          <m:t>a</m:t>
        </m:r>
      </m:oMath>
      <w:r w:rsidRPr="00A907D1">
        <w:rPr>
          <w:rFonts w:ascii="Arial" w:hAnsi="Arial" w:cs="Arial"/>
        </w:rPr>
        <w:t xml:space="preserve"> and </w:t>
      </w:r>
      <m:oMath>
        <m:r>
          <w:rPr>
            <w:rFonts w:ascii="Cambria Math" w:hAnsi="Cambria Math" w:cs="Arial"/>
          </w:rPr>
          <m:t>b</m:t>
        </m:r>
      </m:oMath>
      <w:r w:rsidRPr="00A907D1">
        <w:rPr>
          <w:rFonts w:ascii="Arial" w:hAnsi="Arial" w:cs="Arial"/>
        </w:rPr>
        <w:t xml:space="preserve"> can be estimated from the time-series data</w:t>
      </w:r>
      <w:r w:rsidR="00F87E01">
        <w:rPr>
          <w:rFonts w:ascii="Arial" w:hAnsi="Arial" w:cs="Arial"/>
        </w:rPr>
        <w:t xml:space="preserve"> </w:t>
      </w:r>
      <m:oMath>
        <m:r>
          <w:rPr>
            <w:rFonts w:ascii="Cambria Math" w:hAnsi="Cambria Math" w:cs="Arial"/>
          </w:rPr>
          <m:t>d∈D</m:t>
        </m:r>
      </m:oMath>
      <w:r w:rsidR="00F87E01">
        <w:rPr>
          <w:rFonts w:ascii="Arial" w:hAnsi="Arial" w:cs="Arial"/>
        </w:rPr>
        <w:t>,</w:t>
      </w:r>
      <w:r w:rsidR="00055B67">
        <w:rPr>
          <w:rFonts w:ascii="Arial" w:hAnsi="Arial" w:cs="Arial"/>
        </w:rPr>
        <w:t xml:space="preserve"> </w:t>
      </w:r>
      <w:r w:rsidR="00F87E01" w:rsidRPr="00F87E01">
        <w:rPr>
          <w:rFonts w:ascii="Arial" w:hAnsi="Arial" w:cs="Arial"/>
        </w:rPr>
        <w:t>and according to</w:t>
      </w:r>
      <w:r w:rsidR="00F87E01">
        <w:rPr>
          <w:rFonts w:ascii="Arial" w:hAnsi="Arial" w:cs="Arial"/>
        </w:rPr>
        <w:t xml:space="preserve"> </w:t>
      </w:r>
      <m:oMath>
        <m:r>
          <w:rPr>
            <w:rFonts w:ascii="Cambria Math" w:hAnsi="Cambria Math" w:cs="Arial"/>
          </w:rPr>
          <m:t>λ</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t</m:t>
                </m:r>
              </m:e>
              <m:sup>
                <m:r>
                  <w:rPr>
                    <w:rFonts w:ascii="Cambria Math" w:hAnsi="Cambria Math" w:cs="Arial"/>
                  </w:rPr>
                  <m:t>*</m:t>
                </m:r>
              </m:sup>
            </m:sSup>
          </m:e>
        </m:d>
        <m:r>
          <w:rPr>
            <w:rFonts w:ascii="Cambria Math" w:hAnsi="Cambria Math" w:cs="Arial"/>
          </w:rPr>
          <m:t>=0</m:t>
        </m:r>
      </m:oMath>
      <w:r w:rsidR="00055B67" w:rsidRPr="00055B67">
        <w:rPr>
          <w:rFonts w:ascii="Arial" w:hAnsi="Arial" w:cs="Arial"/>
        </w:rPr>
        <w:t>, the inflection point of the epidemic can be deduced as</w:t>
      </w:r>
      <w:r w:rsidR="00F87E01">
        <w:rPr>
          <w:rFonts w:ascii="Arial" w:hAnsi="Arial" w:cs="Arial"/>
        </w:rPr>
        <w:t xml:space="preserve"> follows</w:t>
      </w:r>
      <w:r w:rsidR="00055B67" w:rsidRPr="00055B67">
        <w:rPr>
          <w:rFonts w:ascii="Arial" w:hAnsi="Arial" w:cs="Arial"/>
        </w:rPr>
        <w:t>:</w:t>
      </w:r>
      <w:r w:rsidR="00055B67">
        <w:rPr>
          <w:rFonts w:ascii="Arial" w:hAnsi="Arial" w:cs="Arial"/>
        </w:rPr>
        <w:t xml:space="preserve"> </w:t>
      </w:r>
    </w:p>
    <w:p w14:paraId="7819E4C7" w14:textId="35B9A205" w:rsidR="009453CC" w:rsidRPr="009453CC" w:rsidRDefault="00000000" w:rsidP="009453CC">
      <w:pPr>
        <w:spacing w:line="276" w:lineRule="auto"/>
        <w:rPr>
          <w:rFonts w:ascii="Arial" w:hAnsi="Arial" w:cs="Arial"/>
          <w:iCs/>
        </w:rPr>
      </w:pPr>
      <m:oMathPara>
        <m:oMath>
          <m:sSup>
            <m:sSupPr>
              <m:ctrlPr>
                <w:rPr>
                  <w:rFonts w:ascii="Cambria Math" w:hAnsi="Cambria Math" w:cs="Arial"/>
                  <w:i/>
                </w:rPr>
              </m:ctrlPr>
            </m:sSupPr>
            <m:e>
              <m:r>
                <w:rPr>
                  <w:rFonts w:ascii="Cambria Math" w:hAnsi="Cambria Math" w:cs="Arial"/>
                </w:rPr>
                <m:t>t</m:t>
              </m:r>
            </m:e>
            <m:sup>
              <m:r>
                <w:rPr>
                  <w:rFonts w:ascii="Cambria Math" w:hAnsi="Cambria Math" w:cs="Arial"/>
                </w:rPr>
                <m:t>*</m:t>
              </m:r>
            </m:sup>
          </m:sSup>
          <m:r>
            <w:rPr>
              <w:rFonts w:ascii="Cambria Math" w:hAnsi="Cambria Math" w:cs="Arial"/>
            </w:rPr>
            <m:t>=-</m:t>
          </m:r>
          <m:f>
            <m:fPr>
              <m:ctrlPr>
                <w:rPr>
                  <w:rFonts w:ascii="Cambria Math" w:hAnsi="Cambria Math" w:cs="Arial"/>
                  <w:i/>
                </w:rPr>
              </m:ctrlPr>
            </m:fPr>
            <m:num>
              <m:r>
                <w:rPr>
                  <w:rFonts w:ascii="Cambria Math" w:hAnsi="Cambria Math" w:cs="Arial"/>
                </w:rPr>
                <m:t>b</m:t>
              </m:r>
            </m:num>
            <m:den>
              <m:r>
                <w:rPr>
                  <w:rFonts w:ascii="Cambria Math" w:hAnsi="Cambria Math" w:cs="Arial"/>
                </w:rPr>
                <m:t>a</m:t>
              </m:r>
            </m:den>
          </m:f>
        </m:oMath>
      </m:oMathPara>
    </w:p>
    <w:p w14:paraId="5F46FE63" w14:textId="7AC169BE" w:rsidR="005B77FA" w:rsidRDefault="005B77FA" w:rsidP="005D0D08">
      <w:pPr>
        <w:spacing w:line="276" w:lineRule="auto"/>
        <w:ind w:firstLine="420"/>
        <w:jc w:val="both"/>
        <w:rPr>
          <w:rFonts w:ascii="Arial" w:hAnsi="Arial" w:cs="Arial"/>
        </w:rPr>
      </w:pPr>
      <w:r w:rsidRPr="005B77FA">
        <w:rPr>
          <w:rFonts w:ascii="Arial" w:hAnsi="Arial" w:cs="Arial"/>
        </w:rPr>
        <w:t xml:space="preserve">Here, the parameter </w:t>
      </w:r>
      <m:oMath>
        <m:r>
          <w:rPr>
            <w:rFonts w:ascii="Cambria Math" w:hAnsi="Cambria Math" w:cs="Arial"/>
          </w:rPr>
          <m:t>a</m:t>
        </m:r>
      </m:oMath>
      <w:r>
        <w:rPr>
          <w:rFonts w:ascii="Arial" w:hAnsi="Arial" w:cs="Arial"/>
        </w:rPr>
        <w:t xml:space="preserve"> </w:t>
      </w:r>
      <w:r w:rsidRPr="005B77FA">
        <w:rPr>
          <w:rFonts w:ascii="Arial" w:hAnsi="Arial" w:cs="Arial"/>
        </w:rPr>
        <w:t>actually describes the acceleration of the infection rate under the combined influence of various factors, which is difficult to be estimated directly by the original SEIR model.</w:t>
      </w:r>
    </w:p>
    <w:p w14:paraId="2DEBF40F" w14:textId="0BD0E68F" w:rsidR="009453CC" w:rsidRDefault="00490E50" w:rsidP="00AE1A11">
      <w:pPr>
        <w:spacing w:line="276" w:lineRule="auto"/>
        <w:jc w:val="both"/>
        <w:rPr>
          <w:rFonts w:ascii="Arial" w:hAnsi="Arial" w:cs="Arial"/>
        </w:rPr>
      </w:pPr>
      <w:r w:rsidRPr="00490E50">
        <w:rPr>
          <w:rFonts w:ascii="Arial" w:hAnsi="Arial" w:cs="Arial"/>
        </w:rPr>
        <w:t>In addition to the above derivation that provides us with chronological information on the development of the epidemic, we need to consider statistics related to the epidemic itself.</w:t>
      </w:r>
      <w:r w:rsidR="00AE1A11">
        <w:rPr>
          <w:rFonts w:ascii="Arial" w:hAnsi="Arial" w:cs="Arial"/>
        </w:rPr>
        <w:t xml:space="preserve"> </w:t>
      </w:r>
      <w:r w:rsidR="002D73BE" w:rsidRPr="002D73BE">
        <w:rPr>
          <w:rFonts w:ascii="Arial" w:hAnsi="Arial" w:cs="Arial"/>
        </w:rPr>
        <w:t xml:space="preserve">Available studies suggest that the basic regeneration number of monkeypox is approximately 2.4 in the MSM population </w:t>
      </w:r>
      <w:r w:rsidR="002D73BE" w:rsidRPr="002D73BE">
        <w:rPr>
          <w:rFonts w:ascii="Arial" w:hAnsi="Arial" w:cs="Arial"/>
        </w:rPr>
        <w:lastRenderedPageBreak/>
        <w:t>and 0.8 in the non-MSM population.</w:t>
      </w:r>
      <w:r w:rsidR="002D73BE" w:rsidRPr="002D73BE">
        <w:t xml:space="preserve"> </w:t>
      </w:r>
      <w:r w:rsidR="002D73BE" w:rsidRPr="002D73BE">
        <w:rPr>
          <w:rFonts w:ascii="Arial" w:hAnsi="Arial" w:cs="Arial"/>
        </w:rPr>
        <w:t>To better characterize the population transmission of monkeypox,</w:t>
      </w:r>
      <w:r w:rsidR="002D73BE">
        <w:rPr>
          <w:rFonts w:ascii="Arial" w:hAnsi="Arial" w:cs="Arial"/>
        </w:rPr>
        <w:t xml:space="preserve"> </w:t>
      </w:r>
      <w:r w:rsidR="00AE1A11" w:rsidRPr="00AE1A11">
        <w:rPr>
          <w:rFonts w:ascii="Arial" w:hAnsi="Arial" w:cs="Arial"/>
        </w:rPr>
        <w:t xml:space="preserve">we divided the infected individuals at time </w:t>
      </w:r>
      <m:oMath>
        <m:r>
          <w:rPr>
            <w:rFonts w:ascii="Cambria Math" w:hAnsi="Cambria Math" w:cs="Arial"/>
          </w:rPr>
          <m:t>t</m:t>
        </m:r>
      </m:oMath>
      <w:r w:rsidR="00AE1A11" w:rsidRPr="00AE1A11">
        <w:rPr>
          <w:rFonts w:ascii="Arial" w:hAnsi="Arial" w:cs="Arial"/>
        </w:rPr>
        <w:t xml:space="preserve"> into MSM population (denoted as </w:t>
      </w:r>
      <m:oMath>
        <m:sSub>
          <m:sSubPr>
            <m:ctrlPr>
              <w:rPr>
                <w:rFonts w:ascii="Cambria Math" w:hAnsi="Cambria Math" w:cs="Arial"/>
                <w:i/>
              </w:rPr>
            </m:ctrlPr>
          </m:sSubPr>
          <m:e>
            <m:r>
              <w:rPr>
                <w:rFonts w:ascii="Cambria Math" w:hAnsi="Cambria Math" w:cs="Arial"/>
              </w:rPr>
              <m:t>P</m:t>
            </m:r>
          </m:e>
          <m:sub>
            <m:r>
              <w:rPr>
                <w:rFonts w:ascii="Cambria Math" w:hAnsi="Cambria Math" w:cs="Arial"/>
              </w:rPr>
              <m:t>MSM</m:t>
            </m:r>
          </m:sub>
        </m:sSub>
        <m:r>
          <w:rPr>
            <w:rFonts w:ascii="Cambria Math" w:hAnsi="Cambria Math" w:cs="Arial"/>
          </w:rPr>
          <m:t>(t)</m:t>
        </m:r>
      </m:oMath>
      <w:r w:rsidR="00AE1A11" w:rsidRPr="00AE1A11">
        <w:rPr>
          <w:rFonts w:ascii="Arial" w:hAnsi="Arial" w:cs="Arial"/>
        </w:rPr>
        <w:t xml:space="preserve">) and non-MSM population (denoted as </w:t>
      </w:r>
      <m:oMath>
        <m:sSub>
          <m:sSubPr>
            <m:ctrlPr>
              <w:rPr>
                <w:rFonts w:ascii="Cambria Math" w:hAnsi="Cambria Math" w:cs="Arial"/>
                <w:i/>
              </w:rPr>
            </m:ctrlPr>
          </m:sSubPr>
          <m:e>
            <m:r>
              <w:rPr>
                <w:rFonts w:ascii="Cambria Math" w:hAnsi="Cambria Math" w:cs="Arial"/>
              </w:rPr>
              <m:t>P</m:t>
            </m:r>
          </m:e>
          <m:sub>
            <m:r>
              <w:rPr>
                <w:rFonts w:ascii="Cambria Math" w:hAnsi="Cambria Math" w:cs="Arial"/>
              </w:rPr>
              <m:t>nonMSM</m:t>
            </m:r>
          </m:sub>
        </m:sSub>
        <m:r>
          <w:rPr>
            <w:rFonts w:ascii="Cambria Math" w:hAnsi="Cambria Math" w:cs="Arial"/>
          </w:rPr>
          <m:t>(t)</m:t>
        </m:r>
      </m:oMath>
      <w:r w:rsidR="00AE1A11" w:rsidRPr="00AE1A11">
        <w:rPr>
          <w:rFonts w:ascii="Arial" w:hAnsi="Arial" w:cs="Arial"/>
        </w:rPr>
        <w:t xml:space="preserve">) according to </w:t>
      </w:r>
      <w:r w:rsidR="00AE1A11" w:rsidRPr="00E86D61">
        <w:rPr>
          <w:rFonts w:ascii="Arial" w:hAnsi="Arial" w:cs="Arial"/>
          <w:highlight w:val="yellow"/>
        </w:rPr>
        <w:t>the proportion of case statistics provided</w:t>
      </w:r>
      <w:r w:rsidR="00AE1A11" w:rsidRPr="00AE1A11">
        <w:rPr>
          <w:rFonts w:ascii="Arial" w:hAnsi="Arial" w:cs="Arial"/>
        </w:rPr>
        <w:t xml:space="preserve"> by WHO</w:t>
      </w:r>
      <w:r w:rsidR="00FE0390">
        <w:rPr>
          <w:rFonts w:ascii="Arial" w:hAnsi="Arial" w:cs="Arial"/>
        </w:rPr>
        <w:t xml:space="preserve"> </w:t>
      </w:r>
      <w:r w:rsidR="00FE0390" w:rsidRPr="00FE0390">
        <w:rPr>
          <w:rFonts w:ascii="Arial" w:hAnsi="Arial" w:cs="Arial"/>
          <w:color w:val="FF0000"/>
          <w:highlight w:val="yellow"/>
        </w:rPr>
        <w:t xml:space="preserve">(Table </w:t>
      </w:r>
      <w:r w:rsidR="00AF4A38">
        <w:rPr>
          <w:rFonts w:ascii="Arial" w:hAnsi="Arial" w:cs="Arial"/>
          <w:color w:val="FF0000"/>
          <w:highlight w:val="yellow"/>
        </w:rPr>
        <w:t>S4</w:t>
      </w:r>
      <w:r w:rsidR="00FE0390" w:rsidRPr="00FE0390">
        <w:rPr>
          <w:rFonts w:ascii="Arial" w:hAnsi="Arial" w:cs="Arial"/>
          <w:color w:val="FF0000"/>
          <w:highlight w:val="yellow"/>
        </w:rPr>
        <w:t xml:space="preserve"> in the Supplement)</w:t>
      </w:r>
      <w:r w:rsidR="00AE1A11" w:rsidRPr="00AE1A11">
        <w:rPr>
          <w:rFonts w:ascii="Arial" w:hAnsi="Arial" w:cs="Arial"/>
        </w:rPr>
        <w:t>.</w:t>
      </w:r>
    </w:p>
    <w:p w14:paraId="76ADEDF6" w14:textId="217F6A05" w:rsidR="00EF770D" w:rsidRDefault="00EF770D" w:rsidP="005D0D08">
      <w:pPr>
        <w:spacing w:line="276" w:lineRule="auto"/>
        <w:ind w:firstLine="420"/>
        <w:jc w:val="both"/>
        <w:rPr>
          <w:rFonts w:ascii="Arial" w:hAnsi="Arial" w:cs="Arial"/>
        </w:rPr>
      </w:pPr>
      <w:r w:rsidRPr="00EF770D">
        <w:rPr>
          <w:rFonts w:ascii="Arial" w:hAnsi="Arial" w:cs="Arial"/>
        </w:rPr>
        <w:t xml:space="preserve">Denoting the total population of the source country as </w:t>
      </w:r>
      <m:oMath>
        <m:r>
          <w:rPr>
            <w:rFonts w:ascii="Cambria Math" w:hAnsi="Cambria Math" w:cs="Arial"/>
          </w:rPr>
          <m:t>N</m:t>
        </m:r>
      </m:oMath>
      <w:r w:rsidR="00FE0390">
        <w:rPr>
          <w:rFonts w:ascii="Arial" w:hAnsi="Arial" w:cs="Arial" w:hint="eastAsia"/>
        </w:rPr>
        <w:t xml:space="preserve"> </w:t>
      </w:r>
      <w:r w:rsidR="00FE0390">
        <w:rPr>
          <w:rFonts w:ascii="Arial" w:hAnsi="Arial" w:cs="Arial"/>
          <w:color w:val="FF0000"/>
          <w:highlight w:val="yellow"/>
        </w:rPr>
        <w:t xml:space="preserve">(Table </w:t>
      </w:r>
      <w:r w:rsidR="00AF4A38">
        <w:rPr>
          <w:rFonts w:ascii="Arial" w:hAnsi="Arial" w:cs="Arial"/>
          <w:color w:val="FF0000"/>
          <w:highlight w:val="yellow"/>
        </w:rPr>
        <w:t>S5</w:t>
      </w:r>
      <w:r w:rsidR="00FE0390">
        <w:rPr>
          <w:rFonts w:ascii="Arial" w:hAnsi="Arial" w:cs="Arial"/>
          <w:color w:val="FF0000"/>
          <w:highlight w:val="yellow"/>
        </w:rPr>
        <w:t xml:space="preserve"> in the Supplement)</w:t>
      </w:r>
      <w:r w:rsidRPr="00EF770D">
        <w:rPr>
          <w:rFonts w:ascii="Arial" w:hAnsi="Arial" w:cs="Arial"/>
        </w:rPr>
        <w:t>,</w:t>
      </w:r>
      <w:r>
        <w:rPr>
          <w:rFonts w:ascii="Arial" w:hAnsi="Arial" w:cs="Arial"/>
        </w:rPr>
        <w:t xml:space="preserve"> </w:t>
      </w:r>
      <w:r w:rsidRPr="00EF770D">
        <w:rPr>
          <w:rFonts w:ascii="Arial" w:hAnsi="Arial" w:cs="Arial"/>
        </w:rPr>
        <w:t>we select the following five-dimensional vector to describe the epidemic risk situation in the region:</w:t>
      </w:r>
    </w:p>
    <w:p w14:paraId="6A894A2D" w14:textId="77777777" w:rsidR="00D33B2C" w:rsidRPr="009453CC" w:rsidRDefault="00D33B2C" w:rsidP="00D33B2C">
      <w:pPr>
        <w:spacing w:line="276" w:lineRule="auto"/>
        <w:jc w:val="center"/>
        <w:rPr>
          <w:rFonts w:ascii="Arial" w:hAnsi="Arial" w:cs="Arial"/>
          <w:iCs/>
        </w:rPr>
      </w:pPr>
      <m:oMath>
        <m:r>
          <w:rPr>
            <w:rFonts w:ascii="Cambria Math" w:hAnsi="Cambria Math" w:cs="Arial"/>
          </w:rPr>
          <m:t>v</m:t>
        </m:r>
        <m:d>
          <m:dPr>
            <m:ctrlPr>
              <w:rPr>
                <w:rFonts w:ascii="Cambria Math" w:hAnsi="Cambria Math" w:cs="Arial"/>
                <w:i/>
              </w:rPr>
            </m:ctrlPr>
          </m:dPr>
          <m:e>
            <m:r>
              <w:rPr>
                <w:rFonts w:ascii="Cambria Math" w:hAnsi="Cambria Math" w:cs="Arial"/>
              </w:rPr>
              <m:t>t</m:t>
            </m:r>
          </m:e>
        </m:d>
        <m:r>
          <w:rPr>
            <w:rFonts w:ascii="Cambria Math" w:hAnsi="Cambria Math" w:cs="Arial"/>
          </w:rPr>
          <m:t>=(</m:t>
        </m:r>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t</m:t>
                </m:r>
              </m:e>
              <m:sup>
                <m:r>
                  <w:rPr>
                    <w:rFonts w:ascii="Cambria Math" w:hAnsi="Cambria Math" w:cs="Arial"/>
                  </w:rPr>
                  <m:t>*</m:t>
                </m:r>
              </m:sup>
            </m:sSup>
            <m:r>
              <w:rPr>
                <w:rFonts w:ascii="Cambria Math" w:hAnsi="Cambria Math" w:cs="Arial"/>
              </w:rPr>
              <m:t>-t</m:t>
            </m:r>
          </m:e>
        </m:d>
        <m:r>
          <w:rPr>
            <w:rFonts w:ascii="Cambria Math" w:hAnsi="Cambria Math" w:cs="Arial"/>
          </w:rPr>
          <m:t>, λ</m:t>
        </m:r>
        <m:d>
          <m:dPr>
            <m:ctrlPr>
              <w:rPr>
                <w:rFonts w:ascii="Cambria Math" w:hAnsi="Cambria Math" w:cs="Arial"/>
                <w:i/>
              </w:rPr>
            </m:ctrlPr>
          </m:dPr>
          <m:e>
            <m:r>
              <w:rPr>
                <w:rFonts w:ascii="Cambria Math" w:hAnsi="Cambria Math" w:cs="Arial"/>
              </w:rPr>
              <m:t>t</m:t>
            </m:r>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P</m:t>
            </m:r>
          </m:e>
          <m:sub>
            <m:r>
              <w:rPr>
                <w:rFonts w:ascii="Cambria Math" w:hAnsi="Cambria Math" w:cs="Arial"/>
              </w:rPr>
              <m:t>MSM</m:t>
            </m:r>
          </m:sub>
        </m:sSub>
        <m:r>
          <w:rPr>
            <w:rFonts w:ascii="Cambria Math" w:hAnsi="Cambria Math" w:cs="Arial"/>
          </w:rPr>
          <m:t>(t),</m:t>
        </m:r>
        <m:sSub>
          <m:sSubPr>
            <m:ctrlPr>
              <w:rPr>
                <w:rFonts w:ascii="Cambria Math" w:hAnsi="Cambria Math" w:cs="Arial"/>
                <w:i/>
              </w:rPr>
            </m:ctrlPr>
          </m:sSubPr>
          <m:e>
            <m:r>
              <w:rPr>
                <w:rFonts w:ascii="Cambria Math" w:hAnsi="Cambria Math" w:cs="Arial"/>
              </w:rPr>
              <m:t>P</m:t>
            </m:r>
          </m:e>
          <m:sub>
            <m:r>
              <w:rPr>
                <w:rFonts w:ascii="Cambria Math" w:hAnsi="Cambria Math" w:cs="Arial"/>
              </w:rPr>
              <m:t>nonMSM</m:t>
            </m:r>
          </m:sub>
        </m:sSub>
        <m:r>
          <w:rPr>
            <w:rFonts w:ascii="Cambria Math" w:hAnsi="Cambria Math" w:cs="Arial"/>
          </w:rPr>
          <m:t>(t),</m:t>
        </m:r>
        <m:f>
          <m:fPr>
            <m:ctrlPr>
              <w:rPr>
                <w:rFonts w:ascii="Cambria Math" w:hAnsi="Cambria Math" w:cs="Arial"/>
                <w:i/>
              </w:rPr>
            </m:ctrlPr>
          </m:fPr>
          <m:num>
            <m:r>
              <w:rPr>
                <w:rFonts w:ascii="Cambria Math" w:hAnsi="Cambria Math" w:cs="Arial"/>
              </w:rPr>
              <m:t>P(t)</m:t>
            </m:r>
          </m:num>
          <m:den>
            <m:r>
              <w:rPr>
                <w:rFonts w:ascii="Cambria Math" w:hAnsi="Cambria Math" w:cs="Arial"/>
              </w:rPr>
              <m:t>N</m:t>
            </m:r>
          </m:den>
        </m:f>
      </m:oMath>
      <w:r>
        <w:rPr>
          <w:rFonts w:ascii="Arial" w:hAnsi="Arial" w:cs="Arial" w:hint="eastAsia"/>
        </w:rPr>
        <w:t>)</w:t>
      </w:r>
    </w:p>
    <w:p w14:paraId="1331EAC0" w14:textId="45A989D9" w:rsidR="0085248F" w:rsidRPr="00CD2A8C" w:rsidRDefault="00EF770D" w:rsidP="004B1B9A">
      <w:pPr>
        <w:spacing w:line="276" w:lineRule="auto"/>
        <w:jc w:val="both"/>
        <w:rPr>
          <w:rFonts w:ascii="Arial" w:hAnsi="Arial" w:cs="Arial"/>
        </w:rPr>
      </w:pPr>
      <w:r w:rsidRPr="00EF770D">
        <w:rPr>
          <w:rFonts w:ascii="Arial" w:hAnsi="Arial" w:cs="Arial"/>
        </w:rPr>
        <w:t xml:space="preserve">where the first two dimensions incorporate the main time-series information, i.e., the assessed epidemic inflection points and </w:t>
      </w:r>
      <w:r w:rsidR="00E90E16" w:rsidRPr="00E90E16">
        <w:rPr>
          <w:rFonts w:ascii="Arial" w:hAnsi="Arial" w:cs="Arial"/>
          <w:color w:val="FF0000"/>
        </w:rPr>
        <w:t xml:space="preserve">growth </w:t>
      </w:r>
      <w:r w:rsidR="00D33B2C" w:rsidRPr="00E90E16">
        <w:rPr>
          <w:rFonts w:ascii="Arial" w:hAnsi="Arial" w:cs="Arial"/>
          <w:color w:val="FF0000"/>
          <w:highlight w:val="yellow"/>
        </w:rPr>
        <w:t>coefficient</w:t>
      </w:r>
      <w:r w:rsidRPr="00972FF4">
        <w:rPr>
          <w:rFonts w:ascii="Arial" w:hAnsi="Arial" w:cs="Arial"/>
          <w:highlight w:val="yellow"/>
        </w:rPr>
        <w:t>,</w:t>
      </w:r>
      <w:r w:rsidRPr="00EF770D">
        <w:rPr>
          <w:rFonts w:ascii="Arial" w:hAnsi="Arial" w:cs="Arial"/>
        </w:rPr>
        <w:t xml:space="preserve"> and the last three dimensions incorporate the main epidemic-related vital statistics, </w:t>
      </w:r>
      <w:r w:rsidR="00D33B2C">
        <w:rPr>
          <w:rFonts w:ascii="Arial" w:hAnsi="Arial" w:cs="Arial" w:hint="eastAsia"/>
        </w:rPr>
        <w:t>namely</w:t>
      </w:r>
      <w:r w:rsidRPr="00EF770D">
        <w:rPr>
          <w:rFonts w:ascii="Arial" w:hAnsi="Arial" w:cs="Arial"/>
        </w:rPr>
        <w:t xml:space="preserve"> the number of </w:t>
      </w:r>
      <w:r w:rsidR="00D33B2C" w:rsidRPr="00D33B2C">
        <w:rPr>
          <w:rFonts w:ascii="Arial" w:hAnsi="Arial" w:cs="Arial"/>
        </w:rPr>
        <w:t>MSM infections</w:t>
      </w:r>
      <w:r w:rsidRPr="00EF770D">
        <w:rPr>
          <w:rFonts w:ascii="Arial" w:hAnsi="Arial" w:cs="Arial"/>
        </w:rPr>
        <w:t xml:space="preserve">, the number of </w:t>
      </w:r>
      <w:r w:rsidR="00D33B2C" w:rsidRPr="00D33B2C">
        <w:rPr>
          <w:rFonts w:ascii="Arial" w:hAnsi="Arial" w:cs="Arial"/>
        </w:rPr>
        <w:t>non-MSM infections</w:t>
      </w:r>
      <w:r w:rsidRPr="00EF770D">
        <w:rPr>
          <w:rFonts w:ascii="Arial" w:hAnsi="Arial" w:cs="Arial"/>
        </w:rPr>
        <w:t>, and the infection rate.</w:t>
      </w:r>
      <w:r w:rsidR="00D33B2C">
        <w:rPr>
          <w:rFonts w:ascii="Arial" w:hAnsi="Arial" w:cs="Arial"/>
        </w:rPr>
        <w:t xml:space="preserve"> </w:t>
      </w:r>
      <w:r w:rsidR="00715716" w:rsidRPr="00715716">
        <w:rPr>
          <w:rFonts w:ascii="Arial" w:hAnsi="Arial" w:cs="Arial"/>
        </w:rPr>
        <w:t>We use min-max normalization to linearly map the data values of each dimension into the interval [0, 1]</w:t>
      </w:r>
      <w:r w:rsidR="00F34B25">
        <w:rPr>
          <w:rFonts w:ascii="Arial" w:hAnsi="Arial" w:cs="Arial"/>
        </w:rPr>
        <w:t xml:space="preserve"> </w:t>
      </w:r>
      <w:r w:rsidR="00F34B25" w:rsidRPr="00F34B25">
        <w:rPr>
          <w:rFonts w:ascii="Arial" w:hAnsi="Arial" w:cs="Arial"/>
        </w:rPr>
        <w:t xml:space="preserve">and calculate the risk index of the region </w:t>
      </w:r>
      <m:oMath>
        <m:sSub>
          <m:sSubPr>
            <m:ctrlPr>
              <w:rPr>
                <w:rFonts w:ascii="Cambria Math" w:hAnsi="Cambria Math" w:cs="Arial"/>
                <w:i/>
              </w:rPr>
            </m:ctrlPr>
          </m:sSubPr>
          <m:e>
            <m:r>
              <w:rPr>
                <w:rFonts w:ascii="Cambria Math" w:hAnsi="Cambria Math" w:cs="Arial"/>
              </w:rPr>
              <m:t>R</m:t>
            </m:r>
          </m:e>
          <m:sub>
            <m:r>
              <w:rPr>
                <w:rFonts w:ascii="Cambria Math" w:hAnsi="Cambria Math" w:cs="Arial"/>
              </w:rPr>
              <m:t>posteriori</m:t>
            </m:r>
          </m:sub>
        </m:sSub>
        <m:d>
          <m:dPr>
            <m:ctrlPr>
              <w:rPr>
                <w:rFonts w:ascii="Cambria Math" w:hAnsi="Cambria Math" w:cs="Arial"/>
                <w:i/>
              </w:rPr>
            </m:ctrlPr>
          </m:dPr>
          <m:e>
            <m:r>
              <w:rPr>
                <w:rFonts w:ascii="Cambria Math" w:hAnsi="Cambria Math" w:cs="Arial"/>
              </w:rPr>
              <m:t>t</m:t>
            </m:r>
          </m:e>
        </m:d>
      </m:oMath>
      <w:r w:rsidR="00F34B25">
        <w:rPr>
          <w:rFonts w:ascii="Arial" w:hAnsi="Arial" w:cs="Arial" w:hint="eastAsia"/>
        </w:rPr>
        <w:t xml:space="preserve"> </w:t>
      </w:r>
      <w:r w:rsidR="00F34B25" w:rsidRPr="00F34B25">
        <w:rPr>
          <w:rFonts w:ascii="Arial" w:hAnsi="Arial" w:cs="Arial"/>
        </w:rPr>
        <w:t xml:space="preserve">by the weight vector </w:t>
      </w:r>
      <m:oMath>
        <m:r>
          <w:rPr>
            <w:rFonts w:ascii="Cambria Math" w:hAnsi="Cambria Math" w:cs="Arial"/>
          </w:rPr>
          <m:t>ω=(0. 15, 0.15, 0.3, 0.1, 0.3)</m:t>
        </m:r>
      </m:oMath>
      <w:r w:rsidR="00EF0907">
        <w:rPr>
          <w:rFonts w:ascii="Arial" w:hAnsi="Arial" w:cs="Arial"/>
        </w:rPr>
        <w:t xml:space="preserve">. </w:t>
      </w:r>
      <w:r w:rsidR="005D0D08">
        <w:rPr>
          <w:rFonts w:ascii="Arial" w:hAnsi="Arial" w:cs="Arial"/>
        </w:rPr>
        <w:t>M</w:t>
      </w:r>
      <w:r w:rsidR="00EF0907" w:rsidRPr="00EF0907">
        <w:rPr>
          <w:rFonts w:ascii="Arial" w:hAnsi="Arial" w:cs="Arial"/>
        </w:rPr>
        <w:t>ultiplying by the priori knowledge of a region</w:t>
      </w:r>
      <w:r w:rsidR="00EF0907">
        <w:rPr>
          <w:rFonts w:ascii="Arial" w:hAnsi="Arial" w:cs="Arial"/>
        </w:rPr>
        <w:t xml:space="preserve"> </w:t>
      </w:r>
      <m:oMath>
        <m:sSub>
          <m:sSubPr>
            <m:ctrlPr>
              <w:rPr>
                <w:rFonts w:ascii="Cambria Math" w:hAnsi="Cambria Math" w:cs="Arial"/>
                <w:i/>
              </w:rPr>
            </m:ctrlPr>
          </m:sSubPr>
          <m:e>
            <m:r>
              <w:rPr>
                <w:rFonts w:ascii="Cambria Math" w:hAnsi="Cambria Math" w:cs="Arial"/>
              </w:rPr>
              <m:t>R</m:t>
            </m:r>
          </m:e>
          <m:sub>
            <m:r>
              <w:rPr>
                <w:rFonts w:ascii="Cambria Math" w:hAnsi="Cambria Math" w:cs="Arial"/>
              </w:rPr>
              <m:t>prior</m:t>
            </m:r>
          </m:sub>
        </m:sSub>
      </m:oMath>
      <w:r w:rsidR="00EF0907" w:rsidRPr="00EF0907">
        <w:rPr>
          <w:rFonts w:ascii="Arial" w:hAnsi="Arial" w:cs="Arial"/>
        </w:rPr>
        <w:t xml:space="preserve"> and the number of flights at </w:t>
      </w:r>
      <w:r w:rsidR="00EF0907">
        <w:rPr>
          <w:rFonts w:ascii="Arial" w:hAnsi="Arial" w:cs="Arial"/>
        </w:rPr>
        <w:t>time</w:t>
      </w:r>
      <w:r w:rsidR="00EF0907" w:rsidRPr="00EF0907">
        <w:rPr>
          <w:rFonts w:ascii="Cambria Math" w:hAnsi="Cambria Math" w:cs="Arial"/>
          <w:i/>
        </w:rPr>
        <w:t xml:space="preserve"> </w:t>
      </w:r>
      <m:oMath>
        <m:r>
          <w:rPr>
            <w:rFonts w:ascii="Cambria Math" w:hAnsi="Cambria Math" w:cs="Arial"/>
          </w:rPr>
          <m:t>t</m:t>
        </m:r>
      </m:oMath>
      <w:r w:rsidR="00EF0907" w:rsidRPr="00EF0907">
        <w:rPr>
          <w:rFonts w:ascii="Arial" w:hAnsi="Arial" w:cs="Arial"/>
        </w:rPr>
        <w:t xml:space="preserve">, </w:t>
      </w:r>
      <w:r w:rsidR="004B1B9A" w:rsidRPr="009E63CB">
        <w:rPr>
          <w:rFonts w:ascii="Arial" w:hAnsi="Arial" w:cs="Arial"/>
        </w:rPr>
        <w:t>the risk of</w:t>
      </w:r>
      <w:r w:rsidR="004B1B9A">
        <w:rPr>
          <w:rFonts w:ascii="Arial" w:hAnsi="Arial" w:cs="Arial"/>
        </w:rPr>
        <w:t xml:space="preserve"> epidemic import from the region to</w:t>
      </w:r>
      <w:r w:rsidR="004B1B9A" w:rsidRPr="009E63CB">
        <w:rPr>
          <w:rFonts w:ascii="Arial" w:hAnsi="Arial" w:cs="Arial"/>
        </w:rPr>
        <w:t xml:space="preserve"> China</w:t>
      </w:r>
      <w:r w:rsidR="00EF0907" w:rsidRPr="00EF0907">
        <w:rPr>
          <w:rFonts w:ascii="Arial" w:hAnsi="Arial" w:cs="Arial"/>
        </w:rPr>
        <w:t xml:space="preserve"> </w:t>
      </w:r>
      <m:oMath>
        <m:r>
          <w:rPr>
            <w:rFonts w:ascii="Cambria Math" w:hAnsi="Cambria Math" w:cs="Arial"/>
          </w:rPr>
          <m:t xml:space="preserve">MRA(f,d,t) </m:t>
        </m:r>
      </m:oMath>
      <w:r w:rsidR="00EF0907">
        <w:rPr>
          <w:rFonts w:ascii="Arial" w:hAnsi="Arial" w:cs="Arial" w:hint="eastAsia"/>
        </w:rPr>
        <w:t xml:space="preserve"> </w:t>
      </w:r>
      <w:r w:rsidR="00EF0907" w:rsidRPr="00EF0907">
        <w:rPr>
          <w:rFonts w:ascii="Arial" w:hAnsi="Arial" w:cs="Arial"/>
        </w:rPr>
        <w:t>can be estimated.</w:t>
      </w:r>
    </w:p>
    <w:p w14:paraId="71B4F525" w14:textId="4487FC93" w:rsidR="00E5713A" w:rsidRDefault="00E5713A" w:rsidP="005D0D08">
      <w:pPr>
        <w:spacing w:line="276" w:lineRule="auto"/>
        <w:ind w:firstLine="420"/>
        <w:jc w:val="both"/>
        <w:rPr>
          <w:rFonts w:ascii="Arial" w:hAnsi="Arial" w:cs="Arial"/>
        </w:rPr>
      </w:pPr>
      <w:r w:rsidRPr="00E5713A">
        <w:rPr>
          <w:rFonts w:ascii="Arial" w:hAnsi="Arial" w:cs="Arial"/>
        </w:rPr>
        <w:t>All analyses were conducted in RStudio</w:t>
      </w:r>
      <w:r>
        <w:rPr>
          <w:rFonts w:ascii="Arial" w:hAnsi="Arial" w:cs="Arial"/>
        </w:rPr>
        <w:t xml:space="preserve"> software using </w:t>
      </w:r>
      <w:r w:rsidRPr="00E5713A">
        <w:rPr>
          <w:rFonts w:ascii="Arial" w:hAnsi="Arial" w:cs="Arial"/>
        </w:rPr>
        <w:t xml:space="preserve">R version </w:t>
      </w:r>
      <w:r>
        <w:rPr>
          <w:rFonts w:ascii="Arial" w:hAnsi="Arial" w:cs="Arial"/>
        </w:rPr>
        <w:t>4.2.1</w:t>
      </w:r>
      <w:r w:rsidRPr="00E5713A">
        <w:rPr>
          <w:rFonts w:ascii="Arial" w:hAnsi="Arial" w:cs="Arial"/>
        </w:rPr>
        <w:t xml:space="preserve">. </w:t>
      </w:r>
      <w:r w:rsidRPr="00701B6A">
        <w:rPr>
          <w:rFonts w:ascii="Arial" w:hAnsi="Arial" w:cs="Arial"/>
          <w:color w:val="FF0000"/>
        </w:rPr>
        <w:t>The code used for this study is available online.</w:t>
      </w:r>
      <w:r w:rsidRPr="00E5713A">
        <w:rPr>
          <w:rFonts w:ascii="Arial" w:hAnsi="Arial" w:cs="Arial"/>
        </w:rPr>
        <w:t xml:space="preserve"> Data were analyzed from </w:t>
      </w:r>
      <w:r>
        <w:rPr>
          <w:rFonts w:ascii="Arial" w:hAnsi="Arial" w:cs="Arial"/>
        </w:rPr>
        <w:t xml:space="preserve">May </w:t>
      </w:r>
      <w:r w:rsidRPr="00E5713A">
        <w:rPr>
          <w:rFonts w:ascii="Arial" w:hAnsi="Arial" w:cs="Arial"/>
        </w:rPr>
        <w:t>to October 202</w:t>
      </w:r>
      <w:r>
        <w:rPr>
          <w:rFonts w:ascii="Arial" w:hAnsi="Arial" w:cs="Arial"/>
        </w:rPr>
        <w:t>2</w:t>
      </w:r>
      <w:r w:rsidR="00642EE9">
        <w:rPr>
          <w:rFonts w:ascii="Arial" w:hAnsi="Arial" w:cs="Arial"/>
        </w:rPr>
        <w:t xml:space="preserve">, and the results were calculated from 100 </w:t>
      </w:r>
      <w:r w:rsidR="00F83293" w:rsidRPr="00642EE9">
        <w:rPr>
          <w:rFonts w:ascii="Arial" w:hAnsi="Arial" w:cs="Arial"/>
        </w:rPr>
        <w:t xml:space="preserve">randomized </w:t>
      </w:r>
      <w:r w:rsidR="00F83293">
        <w:rPr>
          <w:rFonts w:ascii="Arial" w:hAnsi="Arial" w:cs="Arial"/>
        </w:rPr>
        <w:t>experiments</w:t>
      </w:r>
      <w:r w:rsidR="00701B6A">
        <w:rPr>
          <w:rFonts w:ascii="Arial" w:hAnsi="Arial" w:cs="Arial"/>
        </w:rPr>
        <w:t xml:space="preserve"> </w:t>
      </w:r>
      <w:r w:rsidR="00701B6A" w:rsidRPr="00701B6A">
        <w:rPr>
          <w:rFonts w:ascii="Arial" w:hAnsi="Arial" w:cs="Arial"/>
          <w:color w:val="FF0000"/>
        </w:rPr>
        <w:t xml:space="preserve">with different </w:t>
      </w:r>
      <w:r w:rsidR="00701B6A" w:rsidRPr="00701B6A">
        <w:rPr>
          <w:rFonts w:ascii="Arial" w:hAnsi="Arial" w:cs="Arial"/>
          <w:color w:val="FF0000"/>
        </w:rPr>
        <w:t>infectious</w:t>
      </w:r>
      <w:r w:rsidR="00701B6A" w:rsidRPr="00701B6A">
        <w:rPr>
          <w:rFonts w:ascii="Arial" w:hAnsi="Arial" w:cs="Arial"/>
          <w:color w:val="FF0000"/>
        </w:rPr>
        <w:t xml:space="preserve"> periods.</w:t>
      </w:r>
    </w:p>
    <w:p w14:paraId="60FEB615" w14:textId="269C23D7" w:rsidR="0085248F" w:rsidRPr="00392CD0" w:rsidRDefault="0085248F" w:rsidP="00FE0A3C">
      <w:pPr>
        <w:spacing w:line="276" w:lineRule="auto"/>
        <w:rPr>
          <w:rFonts w:ascii="Arial" w:hAnsi="Arial" w:cs="Arial"/>
        </w:rPr>
      </w:pPr>
    </w:p>
    <w:p w14:paraId="4F17AB46" w14:textId="6559B0F1" w:rsidR="0085248F" w:rsidRDefault="00C40AF8" w:rsidP="00FE0A3C">
      <w:pPr>
        <w:spacing w:line="276" w:lineRule="auto"/>
        <w:rPr>
          <w:rFonts w:ascii="Arial" w:hAnsi="Arial" w:cs="Arial"/>
          <w:color w:val="FF0000"/>
        </w:rPr>
      </w:pPr>
      <w:r w:rsidRPr="00E415BE">
        <w:rPr>
          <w:rFonts w:ascii="Arial" w:hAnsi="Arial" w:cs="Arial" w:hint="eastAsia"/>
          <w:color w:val="FF0000"/>
        </w:rPr>
        <w:t>Limitation</w:t>
      </w:r>
      <w:r w:rsidRPr="00E415BE">
        <w:rPr>
          <w:rFonts w:ascii="Arial" w:hAnsi="Arial" w:cs="Arial"/>
          <w:color w:val="FF0000"/>
        </w:rPr>
        <w:t>:</w:t>
      </w:r>
    </w:p>
    <w:p w14:paraId="3CE5E870" w14:textId="737FAB7B" w:rsidR="00DE4499" w:rsidRPr="00E415BE" w:rsidRDefault="00DE4499" w:rsidP="00FE0A3C">
      <w:pPr>
        <w:spacing w:line="276" w:lineRule="auto"/>
        <w:rPr>
          <w:rFonts w:ascii="Arial" w:hAnsi="Arial" w:cs="Arial"/>
          <w:color w:val="FF0000"/>
        </w:rPr>
      </w:pPr>
      <w:r w:rsidRPr="00DE4499">
        <w:rPr>
          <w:rFonts w:ascii="Arial" w:hAnsi="Arial" w:cs="Arial" w:hint="eastAsia"/>
          <w:color w:val="FF0000"/>
        </w:rPr>
        <w:t>我们选取的五维向量</w:t>
      </w:r>
      <w:r w:rsidRPr="00DE4499">
        <w:rPr>
          <w:rFonts w:ascii="Arial" w:hAnsi="Arial" w:cs="Arial"/>
          <w:color w:val="FF0000"/>
        </w:rPr>
        <w:t>v(t)</w:t>
      </w:r>
      <w:r w:rsidRPr="00DE4499">
        <w:rPr>
          <w:rFonts w:ascii="Arial" w:hAnsi="Arial" w:cs="Arial"/>
          <w:color w:val="FF0000"/>
        </w:rPr>
        <w:t>中有两个维度与传染病的</w:t>
      </w:r>
      <w:proofErr w:type="gramStart"/>
      <w:r w:rsidRPr="00DE4499">
        <w:rPr>
          <w:rFonts w:ascii="Arial" w:hAnsi="Arial" w:cs="Arial"/>
          <w:color w:val="FF0000"/>
        </w:rPr>
        <w:t>的</w:t>
      </w:r>
      <w:proofErr w:type="gramEnd"/>
      <w:r w:rsidRPr="00DE4499">
        <w:rPr>
          <w:rFonts w:ascii="Arial" w:hAnsi="Arial" w:cs="Arial"/>
          <w:color w:val="FF0000"/>
        </w:rPr>
        <w:t>流行过程密切相关，但是一些国家的病例数极少，仅有少数天零星几例，不足以体现疫情流行的变化趋势，因此难以直接应用我们的风险指数评估模型。</w:t>
      </w:r>
      <w:r w:rsidR="003F4294" w:rsidRPr="003F4294">
        <w:rPr>
          <w:rFonts w:ascii="Arial" w:hAnsi="Arial" w:cs="Arial" w:hint="eastAsia"/>
          <w:color w:val="FF0000"/>
        </w:rPr>
        <w:t>对于此类情况，我们主要考虑</w:t>
      </w:r>
      <w:r w:rsidR="003F4294" w:rsidRPr="003F4294">
        <w:rPr>
          <w:rFonts w:ascii="Arial" w:hAnsi="Arial" w:cs="Arial"/>
          <w:color w:val="FF0000"/>
        </w:rPr>
        <w:t>epidemic-related vital statistics</w:t>
      </w:r>
      <w:r w:rsidR="003F4294" w:rsidRPr="003F4294">
        <w:rPr>
          <w:rFonts w:ascii="Arial" w:hAnsi="Arial" w:cs="Arial"/>
          <w:color w:val="FF0000"/>
        </w:rPr>
        <w:t>，并将时序相关因素的影响置于最低。</w:t>
      </w:r>
    </w:p>
    <w:p w14:paraId="38ADE8C5" w14:textId="390346FE" w:rsidR="00757997" w:rsidRPr="00757997" w:rsidRDefault="00E415BE" w:rsidP="00757997">
      <w:pPr>
        <w:spacing w:line="276" w:lineRule="auto"/>
        <w:rPr>
          <w:rFonts w:ascii="Arial" w:hAnsi="Arial" w:cs="Arial"/>
          <w:color w:val="FF0000"/>
        </w:rPr>
      </w:pPr>
      <w:r w:rsidRPr="00DE4499">
        <w:rPr>
          <w:rFonts w:ascii="Arial" w:hAnsi="Arial" w:cs="Arial"/>
          <w:strike/>
          <w:color w:val="FF0000"/>
        </w:rPr>
        <w:t xml:space="preserve">In order to assess the epidemic risk more accurately, we need to consider multiple dimensions of epidemic data. </w:t>
      </w:r>
      <w:r w:rsidRPr="00E415BE">
        <w:rPr>
          <w:rFonts w:ascii="Arial" w:hAnsi="Arial" w:cs="Arial"/>
          <w:color w:val="FF0000"/>
        </w:rPr>
        <w:t xml:space="preserve">Two dimensions of our selected five-dimensional vector </w:t>
      </w:r>
      <m:oMath>
        <m:r>
          <w:rPr>
            <w:rFonts w:ascii="Cambria Math" w:hAnsi="Cambria Math" w:cs="Arial"/>
          </w:rPr>
          <m:t>v</m:t>
        </m:r>
        <m:d>
          <m:dPr>
            <m:ctrlPr>
              <w:rPr>
                <w:rFonts w:ascii="Cambria Math" w:hAnsi="Cambria Math" w:cs="Arial"/>
                <w:i/>
              </w:rPr>
            </m:ctrlPr>
          </m:dPr>
          <m:e>
            <m:r>
              <w:rPr>
                <w:rFonts w:ascii="Cambria Math" w:hAnsi="Cambria Math" w:cs="Arial"/>
              </w:rPr>
              <m:t>t</m:t>
            </m:r>
          </m:e>
        </m:d>
      </m:oMath>
      <w:r w:rsidRPr="00E415BE">
        <w:rPr>
          <w:rFonts w:ascii="Arial" w:hAnsi="Arial" w:cs="Arial"/>
          <w:color w:val="FF0000"/>
        </w:rPr>
        <w:t xml:space="preserve"> are closely related to the epidemic process of infectious diseases, but the number of cases in some countries is extremely small, with only a few sporadic cases on a few days, </w:t>
      </w:r>
      <w:r w:rsidR="00DE4499" w:rsidRPr="00DE4499">
        <w:rPr>
          <w:rFonts w:ascii="Arial" w:hAnsi="Arial" w:cs="Arial"/>
          <w:color w:val="FF0000"/>
        </w:rPr>
        <w:t>which is insufficient to reflect the changing trend of the epidemic</w:t>
      </w:r>
      <w:r w:rsidR="00DE4499">
        <w:rPr>
          <w:rFonts w:ascii="Arial" w:hAnsi="Arial" w:cs="Arial"/>
          <w:color w:val="FF0000"/>
        </w:rPr>
        <w:t xml:space="preserve">, </w:t>
      </w:r>
      <w:r w:rsidR="00DE4499" w:rsidRPr="00DE4499">
        <w:rPr>
          <w:rFonts w:ascii="Arial" w:hAnsi="Arial" w:cs="Arial"/>
          <w:color w:val="FF0000"/>
        </w:rPr>
        <w:t>so it is difficult to directly apply our risk index assessment model.</w:t>
      </w:r>
      <w:r w:rsidRPr="00E415BE">
        <w:rPr>
          <w:rFonts w:ascii="Arial" w:hAnsi="Arial" w:cs="Arial"/>
          <w:color w:val="FF0000"/>
        </w:rPr>
        <w:t xml:space="preserve"> </w:t>
      </w:r>
      <w:r w:rsidR="003F4294" w:rsidRPr="003F4294">
        <w:rPr>
          <w:rFonts w:ascii="Arial" w:hAnsi="Arial" w:cs="Arial"/>
          <w:color w:val="FF0000"/>
        </w:rPr>
        <w:t>For such cases, we mainly consider epidemic-related vital statistics and place the influence of time-series related factors at a minimum.</w:t>
      </w:r>
      <w:r w:rsidR="00757997">
        <w:rPr>
          <w:rFonts w:ascii="Arial" w:hAnsi="Arial" w:cs="Arial"/>
          <w:color w:val="FF0000"/>
        </w:rPr>
        <w:t xml:space="preserve"> In addition, t</w:t>
      </w:r>
      <w:r w:rsidR="00757997" w:rsidRPr="00757997">
        <w:rPr>
          <w:rFonts w:ascii="Arial" w:hAnsi="Arial" w:cs="Arial"/>
          <w:color w:val="FF0000"/>
        </w:rPr>
        <w:t xml:space="preserve">here are multiple routes of cross-border transmission of infectious diseases, and this outbreak </w:t>
      </w:r>
      <w:r w:rsidR="00757997">
        <w:rPr>
          <w:rFonts w:ascii="Arial" w:hAnsi="Arial" w:cs="Arial"/>
          <w:color w:val="FF0000"/>
        </w:rPr>
        <w:t xml:space="preserve">of </w:t>
      </w:r>
      <w:r w:rsidR="00757997" w:rsidRPr="00757997">
        <w:rPr>
          <w:rFonts w:ascii="Arial" w:hAnsi="Arial" w:cs="Arial"/>
          <w:color w:val="FF0000"/>
        </w:rPr>
        <w:t>monkeypox is mainly human-to-</w:t>
      </w:r>
      <w:r w:rsidR="00757997" w:rsidRPr="00757997">
        <w:rPr>
          <w:rFonts w:ascii="Arial" w:hAnsi="Arial" w:cs="Arial"/>
          <w:color w:val="FF0000"/>
        </w:rPr>
        <w:lastRenderedPageBreak/>
        <w:t>human transmission. The assessment model mainly takes into account the risks associated with cross-border flights, and other risks such as ground travel, animal and food transmission risks are not included.</w:t>
      </w:r>
      <w:r w:rsidR="00757997" w:rsidRPr="00757997">
        <w:rPr>
          <w:rFonts w:ascii="Arial" w:hAnsi="Arial" w:cs="Arial"/>
          <w:color w:val="FF0000"/>
        </w:rPr>
        <w:t xml:space="preserve"> </w:t>
      </w:r>
    </w:p>
    <w:sectPr w:rsidR="00757997" w:rsidRPr="00757997" w:rsidSect="008C364A">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qr air" w:date="2022-11-04T00:00:00Z" w:initials="ha">
    <w:p w14:paraId="178E244B" w14:textId="77777777" w:rsidR="00362548" w:rsidRDefault="00362548" w:rsidP="006204A9">
      <w:pPr>
        <w:pStyle w:val="ae"/>
      </w:pPr>
      <w:r>
        <w:rPr>
          <w:rStyle w:val="ad"/>
        </w:rPr>
        <w:annotationRef/>
      </w:r>
      <w:r>
        <w:rPr>
          <w:i/>
          <w:iCs/>
        </w:rPr>
        <w:t>Thomas Hale, Noam Angrist, Rafael Goldszmidt, Beatriz Kira, Anna Petherick, Toby Phillips, Samuel Webster, Emily Cameron-Blake, Laura Hallas, Saptarshi Majumdar, and Helen Tatlow. (2021). “A global panel database of pandemic policies (Oxford COVID-19 Government Response Tracker).” Nature Human Behaviour. https://doi.org/10.1038/s41562-021-01079-8)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8E24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ED4B0" w16cex:dateUtc="2022-11-03T16: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8E244B" w16cid:durableId="270ED4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876F4" w14:textId="77777777" w:rsidR="00C34127" w:rsidRDefault="00C34127" w:rsidP="004D7145">
      <w:r>
        <w:separator/>
      </w:r>
    </w:p>
  </w:endnote>
  <w:endnote w:type="continuationSeparator" w:id="0">
    <w:p w14:paraId="05C003C7" w14:textId="77777777" w:rsidR="00C34127" w:rsidRDefault="00C34127" w:rsidP="004D7145">
      <w:r>
        <w:continuationSeparator/>
      </w:r>
    </w:p>
  </w:endnote>
  <w:endnote w:id="1">
    <w:p w14:paraId="1D649E96" w14:textId="77777777" w:rsidR="00CC5B3F" w:rsidRDefault="00CC5B3F" w:rsidP="00CC5B3F">
      <w:pPr>
        <w:pStyle w:val="a3"/>
      </w:pPr>
      <w:r>
        <w:rPr>
          <w:rStyle w:val="a5"/>
        </w:rPr>
        <w:endnoteRef/>
      </w:r>
      <w:r>
        <w:t xml:space="preserve"> </w:t>
      </w:r>
      <w:r w:rsidRPr="004D7145">
        <w:t>Monkeypox as a PHEIC: implications for global health governance</w:t>
      </w:r>
      <w:r>
        <w:t xml:space="preserve"> </w:t>
      </w:r>
      <w:proofErr w:type="spellStart"/>
      <w:proofErr w:type="gramStart"/>
      <w:r w:rsidRPr="004D7145">
        <w:t>DOI:https</w:t>
      </w:r>
      <w:proofErr w:type="spellEnd"/>
      <w:r w:rsidRPr="004D7145">
        <w:t>://doi.org/10.1016/S0140-6736(22)01437-4</w:t>
      </w:r>
      <w:proofErr w:type="gramEnd"/>
    </w:p>
    <w:p w14:paraId="382497A4" w14:textId="77777777" w:rsidR="00CC5B3F" w:rsidRDefault="00CC5B3F" w:rsidP="00CC5B3F">
      <w:pPr>
        <w:pStyle w:val="a3"/>
      </w:pPr>
    </w:p>
    <w:p w14:paraId="4CFBF4C3" w14:textId="5E657096" w:rsidR="003C52BE" w:rsidRDefault="003C52BE" w:rsidP="003C52BE">
      <w:pPr>
        <w:widowControl w:val="0"/>
        <w:spacing w:line="276" w:lineRule="auto"/>
        <w:jc w:val="both"/>
        <w:rPr>
          <w:rFonts w:ascii="Arial" w:eastAsiaTheme="minorEastAsia" w:hAnsi="Arial" w:cs="Arial"/>
          <w:kern w:val="2"/>
          <w:sz w:val="21"/>
        </w:rPr>
      </w:pPr>
      <w:r w:rsidRPr="003A38D6">
        <w:rPr>
          <w:rFonts w:ascii="Arial" w:eastAsiaTheme="minorEastAsia" w:hAnsi="Arial" w:cs="Arial"/>
          <w:kern w:val="2"/>
          <w:sz w:val="21"/>
        </w:rPr>
        <w:t>2. </w:t>
      </w:r>
      <w:proofErr w:type="spellStart"/>
      <w:r w:rsidRPr="003A38D6">
        <w:rPr>
          <w:rFonts w:ascii="Arial" w:eastAsiaTheme="minorEastAsia" w:hAnsi="Arial" w:cs="Arial"/>
          <w:kern w:val="2"/>
          <w:sz w:val="21"/>
        </w:rPr>
        <w:t>Daszak</w:t>
      </w:r>
      <w:proofErr w:type="spellEnd"/>
      <w:r w:rsidRPr="003A38D6">
        <w:rPr>
          <w:rFonts w:ascii="Arial" w:eastAsiaTheme="minorEastAsia" w:hAnsi="Arial" w:cs="Arial"/>
          <w:kern w:val="2"/>
          <w:sz w:val="21"/>
        </w:rPr>
        <w:t xml:space="preserve"> P. Anatomy of a pandemic. </w:t>
      </w:r>
      <w:r w:rsidRPr="003A38D6">
        <w:rPr>
          <w:rFonts w:ascii="Arial" w:eastAsiaTheme="minorEastAsia" w:hAnsi="Arial" w:cs="Arial"/>
          <w:i/>
          <w:iCs/>
          <w:kern w:val="2"/>
          <w:sz w:val="21"/>
        </w:rPr>
        <w:t>Lancet. </w:t>
      </w:r>
      <w:proofErr w:type="gramStart"/>
      <w:r w:rsidRPr="003A38D6">
        <w:rPr>
          <w:rFonts w:ascii="Arial" w:eastAsiaTheme="minorEastAsia" w:hAnsi="Arial" w:cs="Arial"/>
          <w:kern w:val="2"/>
          <w:sz w:val="21"/>
        </w:rPr>
        <w:t>2012;380:1883</w:t>
      </w:r>
      <w:proofErr w:type="gramEnd"/>
      <w:r w:rsidRPr="003A38D6">
        <w:rPr>
          <w:rFonts w:ascii="Arial" w:eastAsiaTheme="minorEastAsia" w:hAnsi="Arial" w:cs="Arial"/>
          <w:kern w:val="2"/>
          <w:sz w:val="21"/>
        </w:rPr>
        <w:t>–4.</w:t>
      </w:r>
    </w:p>
    <w:p w14:paraId="749D1437" w14:textId="77777777" w:rsidR="003C52BE" w:rsidRPr="003A38D6" w:rsidRDefault="003C52BE" w:rsidP="003C52BE">
      <w:pPr>
        <w:widowControl w:val="0"/>
        <w:spacing w:line="276" w:lineRule="auto"/>
        <w:jc w:val="both"/>
        <w:rPr>
          <w:rFonts w:ascii="Arial" w:eastAsiaTheme="minorEastAsia" w:hAnsi="Arial" w:cs="Arial"/>
          <w:kern w:val="2"/>
          <w:sz w:val="21"/>
        </w:rPr>
      </w:pPr>
    </w:p>
    <w:p w14:paraId="78E9B6D3" w14:textId="42CC08F5" w:rsidR="003C52BE" w:rsidRDefault="003C52BE" w:rsidP="003C52BE">
      <w:pPr>
        <w:widowControl w:val="0"/>
        <w:spacing w:line="276" w:lineRule="auto"/>
        <w:jc w:val="both"/>
        <w:rPr>
          <w:rFonts w:ascii="Arial" w:eastAsiaTheme="minorEastAsia" w:hAnsi="Arial" w:cs="Arial"/>
          <w:kern w:val="2"/>
          <w:sz w:val="21"/>
        </w:rPr>
      </w:pPr>
      <w:r w:rsidRPr="003A38D6">
        <w:rPr>
          <w:rFonts w:ascii="Arial" w:eastAsiaTheme="minorEastAsia" w:hAnsi="Arial" w:cs="Arial"/>
          <w:kern w:val="2"/>
          <w:sz w:val="21"/>
        </w:rPr>
        <w:t>3. </w:t>
      </w:r>
      <w:proofErr w:type="spellStart"/>
      <w:r w:rsidRPr="003A38D6">
        <w:rPr>
          <w:rFonts w:ascii="Arial" w:eastAsiaTheme="minorEastAsia" w:hAnsi="Arial" w:cs="Arial"/>
          <w:kern w:val="2"/>
          <w:sz w:val="21"/>
        </w:rPr>
        <w:t>Khn</w:t>
      </w:r>
      <w:proofErr w:type="spellEnd"/>
      <w:r w:rsidRPr="003A38D6">
        <w:rPr>
          <w:rFonts w:ascii="Arial" w:eastAsiaTheme="minorEastAsia" w:hAnsi="Arial" w:cs="Arial"/>
          <w:kern w:val="2"/>
          <w:sz w:val="21"/>
        </w:rPr>
        <w:t xml:space="preserve"> K, </w:t>
      </w:r>
      <w:proofErr w:type="spellStart"/>
      <w:r w:rsidRPr="003A38D6">
        <w:rPr>
          <w:rFonts w:ascii="Arial" w:eastAsiaTheme="minorEastAsia" w:hAnsi="Arial" w:cs="Arial"/>
          <w:kern w:val="2"/>
          <w:sz w:val="21"/>
        </w:rPr>
        <w:t>Arino</w:t>
      </w:r>
      <w:proofErr w:type="spellEnd"/>
      <w:r w:rsidRPr="003A38D6">
        <w:rPr>
          <w:rFonts w:ascii="Arial" w:eastAsiaTheme="minorEastAsia" w:hAnsi="Arial" w:cs="Arial"/>
          <w:kern w:val="2"/>
          <w:sz w:val="21"/>
        </w:rPr>
        <w:t xml:space="preserve"> J, Hu W, </w:t>
      </w:r>
      <w:proofErr w:type="spellStart"/>
      <w:r w:rsidRPr="003A38D6">
        <w:rPr>
          <w:rFonts w:ascii="Arial" w:eastAsiaTheme="minorEastAsia" w:hAnsi="Arial" w:cs="Arial"/>
          <w:kern w:val="2"/>
          <w:sz w:val="21"/>
        </w:rPr>
        <w:t>Raposo</w:t>
      </w:r>
      <w:proofErr w:type="spellEnd"/>
      <w:r w:rsidRPr="003A38D6">
        <w:rPr>
          <w:rFonts w:ascii="Arial" w:eastAsiaTheme="minorEastAsia" w:hAnsi="Arial" w:cs="Arial"/>
          <w:kern w:val="2"/>
          <w:sz w:val="21"/>
        </w:rPr>
        <w:t xml:space="preserve"> P, Sears J, Calderon F, et al. Spread of a novel influenza A (H1N1) virus via global airline transportation. </w:t>
      </w:r>
      <w:r w:rsidRPr="003A38D6">
        <w:rPr>
          <w:rFonts w:ascii="Arial" w:eastAsiaTheme="minorEastAsia" w:hAnsi="Arial" w:cs="Arial"/>
          <w:i/>
          <w:iCs/>
          <w:kern w:val="2"/>
          <w:sz w:val="21"/>
        </w:rPr>
        <w:t xml:space="preserve">N </w:t>
      </w:r>
      <w:proofErr w:type="spellStart"/>
      <w:r w:rsidRPr="003A38D6">
        <w:rPr>
          <w:rFonts w:ascii="Arial" w:eastAsiaTheme="minorEastAsia" w:hAnsi="Arial" w:cs="Arial"/>
          <w:i/>
          <w:iCs/>
          <w:kern w:val="2"/>
          <w:sz w:val="21"/>
        </w:rPr>
        <w:t>Engl</w:t>
      </w:r>
      <w:proofErr w:type="spellEnd"/>
      <w:r w:rsidRPr="003A38D6">
        <w:rPr>
          <w:rFonts w:ascii="Arial" w:eastAsiaTheme="minorEastAsia" w:hAnsi="Arial" w:cs="Arial"/>
          <w:i/>
          <w:iCs/>
          <w:kern w:val="2"/>
          <w:sz w:val="21"/>
        </w:rPr>
        <w:t xml:space="preserve"> J Med. </w:t>
      </w:r>
      <w:proofErr w:type="gramStart"/>
      <w:r w:rsidRPr="003A38D6">
        <w:rPr>
          <w:rFonts w:ascii="Arial" w:eastAsiaTheme="minorEastAsia" w:hAnsi="Arial" w:cs="Arial"/>
          <w:kern w:val="2"/>
          <w:sz w:val="21"/>
        </w:rPr>
        <w:t>2009;361:212</w:t>
      </w:r>
      <w:proofErr w:type="gramEnd"/>
      <w:r w:rsidRPr="003A38D6">
        <w:rPr>
          <w:rFonts w:ascii="Arial" w:eastAsiaTheme="minorEastAsia" w:hAnsi="Arial" w:cs="Arial"/>
          <w:kern w:val="2"/>
          <w:sz w:val="21"/>
        </w:rPr>
        <w:t>–14. </w:t>
      </w:r>
    </w:p>
    <w:p w14:paraId="080A6596" w14:textId="77777777" w:rsidR="003C52BE" w:rsidRPr="003A38D6" w:rsidRDefault="003C52BE" w:rsidP="003C52BE">
      <w:pPr>
        <w:widowControl w:val="0"/>
        <w:spacing w:line="276" w:lineRule="auto"/>
        <w:jc w:val="both"/>
        <w:rPr>
          <w:rFonts w:ascii="Arial" w:eastAsiaTheme="minorEastAsia" w:hAnsi="Arial" w:cs="Arial"/>
          <w:kern w:val="2"/>
          <w:sz w:val="21"/>
        </w:rPr>
      </w:pPr>
    </w:p>
    <w:p w14:paraId="3917C2A0" w14:textId="2F9B3587" w:rsidR="003C52BE" w:rsidRPr="003C001C" w:rsidRDefault="003C52BE" w:rsidP="003C52BE">
      <w:pPr>
        <w:widowControl w:val="0"/>
        <w:spacing w:line="276" w:lineRule="auto"/>
        <w:jc w:val="both"/>
        <w:rPr>
          <w:rFonts w:ascii="Arial" w:eastAsiaTheme="minorEastAsia" w:hAnsi="Arial" w:cs="Arial"/>
          <w:kern w:val="2"/>
          <w:sz w:val="21"/>
        </w:rPr>
      </w:pPr>
      <w:r w:rsidRPr="003A38D6">
        <w:rPr>
          <w:rFonts w:ascii="Arial" w:eastAsiaTheme="minorEastAsia" w:hAnsi="Arial" w:cs="Arial"/>
          <w:kern w:val="2"/>
          <w:sz w:val="21"/>
        </w:rPr>
        <w:t>4. McNeill WH. </w:t>
      </w:r>
      <w:r w:rsidRPr="003A38D6">
        <w:rPr>
          <w:rFonts w:ascii="Arial" w:eastAsiaTheme="minorEastAsia" w:hAnsi="Arial" w:cs="Arial"/>
          <w:i/>
          <w:iCs/>
          <w:kern w:val="2"/>
          <w:sz w:val="21"/>
        </w:rPr>
        <w:t>Plagues and peoples.</w:t>
      </w:r>
      <w:r w:rsidRPr="003A38D6">
        <w:rPr>
          <w:rFonts w:ascii="Arial" w:eastAsiaTheme="minorEastAsia" w:hAnsi="Arial" w:cs="Arial"/>
          <w:kern w:val="2"/>
          <w:sz w:val="21"/>
        </w:rPr>
        <w:t> Garden City, NY: Anchor Press; 1976. </w:t>
      </w:r>
    </w:p>
    <w:p w14:paraId="5F924545" w14:textId="77777777" w:rsidR="003C52BE" w:rsidRDefault="003C52BE" w:rsidP="003C52BE">
      <w:pPr>
        <w:rPr>
          <w:rFonts w:ascii="Arial" w:eastAsiaTheme="minorEastAsia" w:hAnsi="Arial" w:cs="Arial"/>
          <w:kern w:val="2"/>
          <w:sz w:val="21"/>
        </w:rPr>
      </w:pPr>
    </w:p>
    <w:p w14:paraId="09785D68" w14:textId="77777777" w:rsidR="003C52BE" w:rsidRPr="003A38D6" w:rsidRDefault="003C52BE" w:rsidP="003C52BE">
      <w:pPr>
        <w:rPr>
          <w:rFonts w:ascii="Arial" w:eastAsiaTheme="minorEastAsia" w:hAnsi="Arial" w:cs="Arial"/>
          <w:kern w:val="2"/>
          <w:sz w:val="21"/>
        </w:rPr>
      </w:pPr>
      <w:r>
        <w:rPr>
          <w:rFonts w:ascii="Arial" w:eastAsiaTheme="minorEastAsia" w:hAnsi="Arial" w:cs="Arial"/>
          <w:kern w:val="2"/>
          <w:sz w:val="21"/>
        </w:rPr>
        <w:t>R</w:t>
      </w:r>
      <w:r>
        <w:rPr>
          <w:rFonts w:ascii="Arial" w:eastAsiaTheme="minorEastAsia" w:hAnsi="Arial" w:cs="Arial" w:hint="eastAsia"/>
          <w:kern w:val="2"/>
          <w:sz w:val="21"/>
        </w:rPr>
        <w:t>ef</w:t>
      </w:r>
      <w:r>
        <w:rPr>
          <w:rFonts w:ascii="Arial" w:eastAsiaTheme="minorEastAsia" w:hAnsi="Arial" w:cs="Arial"/>
          <w:kern w:val="2"/>
          <w:sz w:val="21"/>
        </w:rPr>
        <w:t>1</w:t>
      </w:r>
      <w:r>
        <w:rPr>
          <w:rFonts w:ascii="Arial" w:eastAsiaTheme="minorEastAsia" w:hAnsi="Arial" w:cs="Arial" w:hint="eastAsia"/>
          <w:kern w:val="2"/>
          <w:sz w:val="21"/>
        </w:rPr>
        <w:t>：</w:t>
      </w:r>
      <w:r w:rsidRPr="003A38D6">
        <w:rPr>
          <w:rFonts w:ascii="Arial" w:eastAsiaTheme="minorEastAsia" w:hAnsi="Arial" w:cs="Arial" w:hint="eastAsia"/>
          <w:kern w:val="2"/>
          <w:sz w:val="21"/>
        </w:rPr>
        <w:t>S</w:t>
      </w:r>
      <w:r w:rsidRPr="003A38D6">
        <w:rPr>
          <w:rFonts w:ascii="Arial" w:eastAsiaTheme="minorEastAsia" w:hAnsi="Arial" w:cs="Arial"/>
          <w:kern w:val="2"/>
          <w:sz w:val="21"/>
        </w:rPr>
        <w:t xml:space="preserve">uk JE, Van </w:t>
      </w:r>
      <w:proofErr w:type="spellStart"/>
      <w:r w:rsidRPr="003A38D6">
        <w:rPr>
          <w:rFonts w:ascii="Arial" w:eastAsiaTheme="minorEastAsia" w:hAnsi="Arial" w:cs="Arial"/>
          <w:kern w:val="2"/>
          <w:sz w:val="21"/>
        </w:rPr>
        <w:t>Cangh</w:t>
      </w:r>
      <w:proofErr w:type="spellEnd"/>
      <w:r w:rsidRPr="003A38D6">
        <w:rPr>
          <w:rFonts w:ascii="Arial" w:eastAsiaTheme="minorEastAsia" w:hAnsi="Arial" w:cs="Arial"/>
          <w:kern w:val="2"/>
          <w:sz w:val="21"/>
        </w:rPr>
        <w:t xml:space="preserve"> T, </w:t>
      </w:r>
      <w:proofErr w:type="spellStart"/>
      <w:r w:rsidRPr="003A38D6">
        <w:rPr>
          <w:rFonts w:ascii="Arial" w:eastAsiaTheme="minorEastAsia" w:hAnsi="Arial" w:cs="Arial"/>
          <w:kern w:val="2"/>
          <w:sz w:val="21"/>
        </w:rPr>
        <w:t>Beauté</w:t>
      </w:r>
      <w:proofErr w:type="spellEnd"/>
      <w:r w:rsidRPr="003A38D6">
        <w:rPr>
          <w:rFonts w:ascii="Arial" w:eastAsiaTheme="minorEastAsia" w:hAnsi="Arial" w:cs="Arial"/>
          <w:kern w:val="2"/>
          <w:sz w:val="21"/>
        </w:rPr>
        <w:t xml:space="preserve"> J, Bartels C, </w:t>
      </w:r>
      <w:proofErr w:type="spellStart"/>
      <w:r w:rsidRPr="003A38D6">
        <w:rPr>
          <w:rFonts w:ascii="Arial" w:eastAsiaTheme="minorEastAsia" w:hAnsi="Arial" w:cs="Arial"/>
          <w:kern w:val="2"/>
          <w:sz w:val="21"/>
        </w:rPr>
        <w:t>Tsolova</w:t>
      </w:r>
      <w:proofErr w:type="spellEnd"/>
      <w:r w:rsidRPr="003A38D6">
        <w:rPr>
          <w:rFonts w:ascii="Arial" w:eastAsiaTheme="minorEastAsia" w:hAnsi="Arial" w:cs="Arial"/>
          <w:kern w:val="2"/>
          <w:sz w:val="21"/>
        </w:rPr>
        <w:t xml:space="preserve"> S, </w:t>
      </w:r>
      <w:proofErr w:type="spellStart"/>
      <w:r w:rsidRPr="003A38D6">
        <w:rPr>
          <w:rFonts w:ascii="Arial" w:eastAsiaTheme="minorEastAsia" w:hAnsi="Arial" w:cs="Arial"/>
          <w:kern w:val="2"/>
          <w:sz w:val="21"/>
        </w:rPr>
        <w:t>Pharris</w:t>
      </w:r>
      <w:proofErr w:type="spellEnd"/>
      <w:r w:rsidRPr="003A38D6">
        <w:rPr>
          <w:rFonts w:ascii="Arial" w:eastAsiaTheme="minorEastAsia" w:hAnsi="Arial" w:cs="Arial"/>
          <w:kern w:val="2"/>
          <w:sz w:val="21"/>
        </w:rPr>
        <w:t xml:space="preserve"> A, </w:t>
      </w:r>
      <w:proofErr w:type="spellStart"/>
      <w:r w:rsidRPr="003A38D6">
        <w:rPr>
          <w:rFonts w:ascii="Arial" w:eastAsiaTheme="minorEastAsia" w:hAnsi="Arial" w:cs="Arial"/>
          <w:kern w:val="2"/>
          <w:sz w:val="21"/>
        </w:rPr>
        <w:t>Ciotti</w:t>
      </w:r>
      <w:proofErr w:type="spellEnd"/>
      <w:r w:rsidRPr="003A38D6">
        <w:rPr>
          <w:rFonts w:ascii="Arial" w:eastAsiaTheme="minorEastAsia" w:hAnsi="Arial" w:cs="Arial"/>
          <w:kern w:val="2"/>
          <w:sz w:val="21"/>
        </w:rPr>
        <w:t xml:space="preserve"> M, </w:t>
      </w:r>
      <w:proofErr w:type="spellStart"/>
      <w:r w:rsidRPr="003A38D6">
        <w:rPr>
          <w:rFonts w:ascii="Arial" w:eastAsiaTheme="minorEastAsia" w:hAnsi="Arial" w:cs="Arial"/>
          <w:kern w:val="2"/>
          <w:sz w:val="21"/>
        </w:rPr>
        <w:t>Semenza</w:t>
      </w:r>
      <w:proofErr w:type="spellEnd"/>
      <w:r w:rsidRPr="003A38D6">
        <w:rPr>
          <w:rFonts w:ascii="Arial" w:eastAsiaTheme="minorEastAsia" w:hAnsi="Arial" w:cs="Arial"/>
          <w:kern w:val="2"/>
          <w:sz w:val="21"/>
        </w:rPr>
        <w:t xml:space="preserve"> JC. The interconnected and cross-border nature of risks posed by infectious diseases. Glob Health Action. 2014 Oct </w:t>
      </w:r>
      <w:proofErr w:type="gramStart"/>
      <w:r w:rsidRPr="003A38D6">
        <w:rPr>
          <w:rFonts w:ascii="Arial" w:eastAsiaTheme="minorEastAsia" w:hAnsi="Arial" w:cs="Arial"/>
          <w:kern w:val="2"/>
          <w:sz w:val="21"/>
        </w:rPr>
        <w:t>10;7:25287</w:t>
      </w:r>
      <w:proofErr w:type="gramEnd"/>
      <w:r w:rsidRPr="003A38D6">
        <w:rPr>
          <w:rFonts w:ascii="Arial" w:eastAsiaTheme="minorEastAsia" w:hAnsi="Arial" w:cs="Arial"/>
          <w:kern w:val="2"/>
          <w:sz w:val="21"/>
        </w:rPr>
        <w:t xml:space="preserve">. </w:t>
      </w:r>
      <w:proofErr w:type="spellStart"/>
      <w:r w:rsidRPr="003A38D6">
        <w:rPr>
          <w:rFonts w:ascii="Arial" w:eastAsiaTheme="minorEastAsia" w:hAnsi="Arial" w:cs="Arial"/>
          <w:kern w:val="2"/>
          <w:sz w:val="21"/>
        </w:rPr>
        <w:t>doi</w:t>
      </w:r>
      <w:proofErr w:type="spellEnd"/>
      <w:r w:rsidRPr="003A38D6">
        <w:rPr>
          <w:rFonts w:ascii="Arial" w:eastAsiaTheme="minorEastAsia" w:hAnsi="Arial" w:cs="Arial"/>
          <w:kern w:val="2"/>
          <w:sz w:val="21"/>
        </w:rPr>
        <w:t>: 10.3402/</w:t>
      </w:r>
      <w:proofErr w:type="gramStart"/>
      <w:r w:rsidRPr="003A38D6">
        <w:rPr>
          <w:rFonts w:ascii="Arial" w:eastAsiaTheme="minorEastAsia" w:hAnsi="Arial" w:cs="Arial"/>
          <w:kern w:val="2"/>
          <w:sz w:val="21"/>
        </w:rPr>
        <w:t>gha.v</w:t>
      </w:r>
      <w:proofErr w:type="gramEnd"/>
      <w:r w:rsidRPr="003A38D6">
        <w:rPr>
          <w:rFonts w:ascii="Arial" w:eastAsiaTheme="minorEastAsia" w:hAnsi="Arial" w:cs="Arial"/>
          <w:kern w:val="2"/>
          <w:sz w:val="21"/>
        </w:rPr>
        <w:t xml:space="preserve">7.25287. Erratum in: Glob Health Action. </w:t>
      </w:r>
      <w:proofErr w:type="gramStart"/>
      <w:r w:rsidRPr="003A38D6">
        <w:rPr>
          <w:rFonts w:ascii="Arial" w:eastAsiaTheme="minorEastAsia" w:hAnsi="Arial" w:cs="Arial"/>
          <w:kern w:val="2"/>
          <w:sz w:val="21"/>
        </w:rPr>
        <w:t>2015;8:27635</w:t>
      </w:r>
      <w:proofErr w:type="gramEnd"/>
      <w:r w:rsidRPr="003A38D6">
        <w:rPr>
          <w:rFonts w:ascii="Arial" w:eastAsiaTheme="minorEastAsia" w:hAnsi="Arial" w:cs="Arial"/>
          <w:kern w:val="2"/>
          <w:sz w:val="21"/>
        </w:rPr>
        <w:t>. PMID: 25308818; PMCID: PMC4195207.</w:t>
      </w:r>
    </w:p>
    <w:p w14:paraId="69A4237D" w14:textId="11E7E3FE" w:rsidR="003C52BE" w:rsidRPr="003C52BE" w:rsidRDefault="003C52BE" w:rsidP="003C52BE">
      <w:pPr>
        <w:spacing w:line="276" w:lineRule="auto"/>
        <w:rPr>
          <w:rFonts w:ascii="Arial" w:eastAsiaTheme="minorEastAsia" w:hAnsi="Arial" w:cs="Arial"/>
          <w:kern w:val="2"/>
          <w:sz w:val="21"/>
        </w:rPr>
      </w:pPr>
      <w:r w:rsidRPr="003C52BE">
        <w:rPr>
          <w:rFonts w:ascii="Arial" w:eastAsiaTheme="minorEastAsia" w:hAnsi="Arial" w:cs="Arial"/>
          <w:kern w:val="2"/>
          <w:sz w:val="21"/>
        </w:rPr>
        <w:t>R</w:t>
      </w:r>
      <w:r w:rsidRPr="003C52BE">
        <w:rPr>
          <w:rFonts w:ascii="Arial" w:eastAsiaTheme="minorEastAsia" w:hAnsi="Arial" w:cs="Arial" w:hint="eastAsia"/>
          <w:kern w:val="2"/>
          <w:sz w:val="21"/>
        </w:rPr>
        <w:t>ef</w:t>
      </w:r>
      <w:r w:rsidRPr="003C52BE">
        <w:rPr>
          <w:rFonts w:ascii="Arial" w:eastAsiaTheme="minorEastAsia" w:hAnsi="Arial" w:cs="Arial"/>
          <w:kern w:val="2"/>
          <w:sz w:val="21"/>
        </w:rPr>
        <w:t>2: WHO. World Health Organization; Geneva: 2005. Article 1, International Health Regulations (2005) UNTS 2509.</w:t>
      </w:r>
    </w:p>
    <w:p w14:paraId="6EDA3C6D" w14:textId="77777777" w:rsidR="00CC5B3F" w:rsidRPr="003C52BE" w:rsidRDefault="00CC5B3F" w:rsidP="00CC5B3F">
      <w:pPr>
        <w:pStyle w:val="a3"/>
      </w:pPr>
    </w:p>
    <w:p w14:paraId="454D173C" w14:textId="77777777" w:rsidR="00CC5B3F" w:rsidRDefault="00CC5B3F" w:rsidP="00CC5B3F">
      <w:pPr>
        <w:pStyle w:val="a3"/>
      </w:pPr>
    </w:p>
    <w:p w14:paraId="39813988" w14:textId="77777777" w:rsidR="00CC5B3F" w:rsidRDefault="00CC5B3F" w:rsidP="00CC5B3F">
      <w:pPr>
        <w:pStyle w:val="a3"/>
      </w:pPr>
    </w:p>
    <w:p w14:paraId="2D88DCFD" w14:textId="77777777" w:rsidR="00CC5B3F" w:rsidRDefault="00CC5B3F" w:rsidP="00CC5B3F">
      <w:pPr>
        <w:pStyle w:val="a3"/>
      </w:pPr>
    </w:p>
    <w:p w14:paraId="7692B3CB" w14:textId="77777777" w:rsidR="00CC5B3F" w:rsidRDefault="00CC5B3F" w:rsidP="00CC5B3F">
      <w:pPr>
        <w:pStyle w:val="a3"/>
      </w:pPr>
    </w:p>
    <w:p w14:paraId="01AEAEB2" w14:textId="77777777" w:rsidR="00CC5B3F" w:rsidRPr="004D7145" w:rsidRDefault="00CC5B3F" w:rsidP="00CC5B3F">
      <w:pPr>
        <w:pStyle w:val="a3"/>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D98A9" w14:textId="77777777" w:rsidR="00C34127" w:rsidRDefault="00C34127" w:rsidP="004D7145">
      <w:r>
        <w:separator/>
      </w:r>
    </w:p>
  </w:footnote>
  <w:footnote w:type="continuationSeparator" w:id="0">
    <w:p w14:paraId="63C19420" w14:textId="77777777" w:rsidR="00C34127" w:rsidRDefault="00C34127" w:rsidP="004D714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qr air">
    <w15:presenceInfo w15:providerId="Windows Live" w15:userId="b21d938ab4c53b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A3C"/>
    <w:rsid w:val="0000411D"/>
    <w:rsid w:val="00012D24"/>
    <w:rsid w:val="00041D9F"/>
    <w:rsid w:val="00055B67"/>
    <w:rsid w:val="00064941"/>
    <w:rsid w:val="00065A17"/>
    <w:rsid w:val="00072480"/>
    <w:rsid w:val="00072A29"/>
    <w:rsid w:val="000B03F2"/>
    <w:rsid w:val="000B14C8"/>
    <w:rsid w:val="000B6ED1"/>
    <w:rsid w:val="000C4182"/>
    <w:rsid w:val="000D709E"/>
    <w:rsid w:val="000E050D"/>
    <w:rsid w:val="000F603D"/>
    <w:rsid w:val="001071E3"/>
    <w:rsid w:val="00115845"/>
    <w:rsid w:val="0013003B"/>
    <w:rsid w:val="00150FB1"/>
    <w:rsid w:val="0015173A"/>
    <w:rsid w:val="00152119"/>
    <w:rsid w:val="00174BE8"/>
    <w:rsid w:val="0019430B"/>
    <w:rsid w:val="001A0C45"/>
    <w:rsid w:val="001E678D"/>
    <w:rsid w:val="001F5136"/>
    <w:rsid w:val="00203936"/>
    <w:rsid w:val="00206279"/>
    <w:rsid w:val="00220FAD"/>
    <w:rsid w:val="0024149B"/>
    <w:rsid w:val="00246391"/>
    <w:rsid w:val="0025238B"/>
    <w:rsid w:val="00262AF3"/>
    <w:rsid w:val="00263F04"/>
    <w:rsid w:val="00265F9C"/>
    <w:rsid w:val="00267DF7"/>
    <w:rsid w:val="002722DD"/>
    <w:rsid w:val="00277857"/>
    <w:rsid w:val="00283E00"/>
    <w:rsid w:val="002B24A0"/>
    <w:rsid w:val="002C78E5"/>
    <w:rsid w:val="002D477B"/>
    <w:rsid w:val="002D73BE"/>
    <w:rsid w:val="002F5583"/>
    <w:rsid w:val="0030145C"/>
    <w:rsid w:val="00313D12"/>
    <w:rsid w:val="00316723"/>
    <w:rsid w:val="0032645A"/>
    <w:rsid w:val="00343148"/>
    <w:rsid w:val="00362548"/>
    <w:rsid w:val="00382091"/>
    <w:rsid w:val="00392CD0"/>
    <w:rsid w:val="0039498C"/>
    <w:rsid w:val="00395291"/>
    <w:rsid w:val="003A38D6"/>
    <w:rsid w:val="003A7B5E"/>
    <w:rsid w:val="003B76B7"/>
    <w:rsid w:val="003C001C"/>
    <w:rsid w:val="003C2DA1"/>
    <w:rsid w:val="003C4FAF"/>
    <w:rsid w:val="003C52BE"/>
    <w:rsid w:val="003C551B"/>
    <w:rsid w:val="003C5573"/>
    <w:rsid w:val="003E54E7"/>
    <w:rsid w:val="003F4294"/>
    <w:rsid w:val="003F585E"/>
    <w:rsid w:val="004004A0"/>
    <w:rsid w:val="0040131E"/>
    <w:rsid w:val="00434B19"/>
    <w:rsid w:val="00441A7F"/>
    <w:rsid w:val="00445048"/>
    <w:rsid w:val="00453AB0"/>
    <w:rsid w:val="004674ED"/>
    <w:rsid w:val="00477F95"/>
    <w:rsid w:val="004804B2"/>
    <w:rsid w:val="0048283B"/>
    <w:rsid w:val="00490E50"/>
    <w:rsid w:val="004A30DE"/>
    <w:rsid w:val="004B1623"/>
    <w:rsid w:val="004B1B9A"/>
    <w:rsid w:val="004D1F38"/>
    <w:rsid w:val="004D7145"/>
    <w:rsid w:val="004F4E34"/>
    <w:rsid w:val="00516279"/>
    <w:rsid w:val="00552783"/>
    <w:rsid w:val="00582A13"/>
    <w:rsid w:val="0058371D"/>
    <w:rsid w:val="00587191"/>
    <w:rsid w:val="0059479C"/>
    <w:rsid w:val="005A188D"/>
    <w:rsid w:val="005B77FA"/>
    <w:rsid w:val="005D0D08"/>
    <w:rsid w:val="005D3DD3"/>
    <w:rsid w:val="005E4AB6"/>
    <w:rsid w:val="006052DD"/>
    <w:rsid w:val="00622607"/>
    <w:rsid w:val="00623AD2"/>
    <w:rsid w:val="00626890"/>
    <w:rsid w:val="0063153D"/>
    <w:rsid w:val="00636FD2"/>
    <w:rsid w:val="00642EE9"/>
    <w:rsid w:val="00646E9B"/>
    <w:rsid w:val="006502F7"/>
    <w:rsid w:val="00692C2C"/>
    <w:rsid w:val="006B256C"/>
    <w:rsid w:val="006B59A5"/>
    <w:rsid w:val="006D0893"/>
    <w:rsid w:val="006D59F7"/>
    <w:rsid w:val="006E37D9"/>
    <w:rsid w:val="006F09AE"/>
    <w:rsid w:val="006F4D13"/>
    <w:rsid w:val="00701B6A"/>
    <w:rsid w:val="00702408"/>
    <w:rsid w:val="00710898"/>
    <w:rsid w:val="00713A13"/>
    <w:rsid w:val="007140F8"/>
    <w:rsid w:val="00715716"/>
    <w:rsid w:val="00726983"/>
    <w:rsid w:val="007316F9"/>
    <w:rsid w:val="007343F4"/>
    <w:rsid w:val="00735903"/>
    <w:rsid w:val="00736306"/>
    <w:rsid w:val="00757997"/>
    <w:rsid w:val="007717EF"/>
    <w:rsid w:val="007B588F"/>
    <w:rsid w:val="007B7484"/>
    <w:rsid w:val="007E4732"/>
    <w:rsid w:val="007E5957"/>
    <w:rsid w:val="007E63DC"/>
    <w:rsid w:val="007F0400"/>
    <w:rsid w:val="007F6A65"/>
    <w:rsid w:val="00804D4C"/>
    <w:rsid w:val="008327F0"/>
    <w:rsid w:val="0085248F"/>
    <w:rsid w:val="00855AB1"/>
    <w:rsid w:val="00874992"/>
    <w:rsid w:val="00893160"/>
    <w:rsid w:val="00893DF9"/>
    <w:rsid w:val="008A75C4"/>
    <w:rsid w:val="008B0CF4"/>
    <w:rsid w:val="008B6D27"/>
    <w:rsid w:val="008C364A"/>
    <w:rsid w:val="008D15A2"/>
    <w:rsid w:val="008D3F47"/>
    <w:rsid w:val="008F3792"/>
    <w:rsid w:val="00902B00"/>
    <w:rsid w:val="00911DDD"/>
    <w:rsid w:val="00934886"/>
    <w:rsid w:val="009453CC"/>
    <w:rsid w:val="009465E1"/>
    <w:rsid w:val="00960576"/>
    <w:rsid w:val="00967AC5"/>
    <w:rsid w:val="009726E4"/>
    <w:rsid w:val="00972FF4"/>
    <w:rsid w:val="009835EA"/>
    <w:rsid w:val="009874CC"/>
    <w:rsid w:val="009B19CC"/>
    <w:rsid w:val="009E63CB"/>
    <w:rsid w:val="009E6A73"/>
    <w:rsid w:val="00A16F8A"/>
    <w:rsid w:val="00A23E94"/>
    <w:rsid w:val="00A27803"/>
    <w:rsid w:val="00A31307"/>
    <w:rsid w:val="00A41C82"/>
    <w:rsid w:val="00A4201B"/>
    <w:rsid w:val="00A46E4F"/>
    <w:rsid w:val="00A5303A"/>
    <w:rsid w:val="00A54477"/>
    <w:rsid w:val="00A55CD4"/>
    <w:rsid w:val="00A762A8"/>
    <w:rsid w:val="00A77863"/>
    <w:rsid w:val="00A907D1"/>
    <w:rsid w:val="00AA4717"/>
    <w:rsid w:val="00AA7495"/>
    <w:rsid w:val="00AC7585"/>
    <w:rsid w:val="00AE1A11"/>
    <w:rsid w:val="00AF4A38"/>
    <w:rsid w:val="00B05A51"/>
    <w:rsid w:val="00B3127D"/>
    <w:rsid w:val="00B31A30"/>
    <w:rsid w:val="00B7434E"/>
    <w:rsid w:val="00B77F71"/>
    <w:rsid w:val="00B80C19"/>
    <w:rsid w:val="00B80F98"/>
    <w:rsid w:val="00B838A2"/>
    <w:rsid w:val="00BB31A1"/>
    <w:rsid w:val="00BB3A27"/>
    <w:rsid w:val="00BD4428"/>
    <w:rsid w:val="00BF210C"/>
    <w:rsid w:val="00BF6671"/>
    <w:rsid w:val="00C00E47"/>
    <w:rsid w:val="00C16347"/>
    <w:rsid w:val="00C34127"/>
    <w:rsid w:val="00C40AF8"/>
    <w:rsid w:val="00C50DC3"/>
    <w:rsid w:val="00C57CE0"/>
    <w:rsid w:val="00C744D9"/>
    <w:rsid w:val="00C87F91"/>
    <w:rsid w:val="00C94210"/>
    <w:rsid w:val="00CB0996"/>
    <w:rsid w:val="00CB69F1"/>
    <w:rsid w:val="00CC5B3F"/>
    <w:rsid w:val="00CD2A8C"/>
    <w:rsid w:val="00CE5FEC"/>
    <w:rsid w:val="00CF4C74"/>
    <w:rsid w:val="00D01A8C"/>
    <w:rsid w:val="00D33B2C"/>
    <w:rsid w:val="00D4317F"/>
    <w:rsid w:val="00D61205"/>
    <w:rsid w:val="00D711AE"/>
    <w:rsid w:val="00DE4499"/>
    <w:rsid w:val="00DF2334"/>
    <w:rsid w:val="00DF47C8"/>
    <w:rsid w:val="00E023E4"/>
    <w:rsid w:val="00E15245"/>
    <w:rsid w:val="00E170D7"/>
    <w:rsid w:val="00E21C48"/>
    <w:rsid w:val="00E21E27"/>
    <w:rsid w:val="00E25EF9"/>
    <w:rsid w:val="00E32FD4"/>
    <w:rsid w:val="00E415BE"/>
    <w:rsid w:val="00E5713A"/>
    <w:rsid w:val="00E629C9"/>
    <w:rsid w:val="00E73933"/>
    <w:rsid w:val="00E768FC"/>
    <w:rsid w:val="00E8476B"/>
    <w:rsid w:val="00E86D61"/>
    <w:rsid w:val="00E90E16"/>
    <w:rsid w:val="00EA00AE"/>
    <w:rsid w:val="00EB1B95"/>
    <w:rsid w:val="00ED4DC9"/>
    <w:rsid w:val="00EF0907"/>
    <w:rsid w:val="00EF770D"/>
    <w:rsid w:val="00F02EA3"/>
    <w:rsid w:val="00F332C1"/>
    <w:rsid w:val="00F34B25"/>
    <w:rsid w:val="00F41FDF"/>
    <w:rsid w:val="00F56B15"/>
    <w:rsid w:val="00F61571"/>
    <w:rsid w:val="00F83293"/>
    <w:rsid w:val="00F87E01"/>
    <w:rsid w:val="00FA6158"/>
    <w:rsid w:val="00FC6D6A"/>
    <w:rsid w:val="00FC7DD3"/>
    <w:rsid w:val="00FE0390"/>
    <w:rsid w:val="00FE0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B8A3A"/>
  <w15:chartTrackingRefBased/>
  <w15:docId w15:val="{EFC60B91-E1A3-494E-BD13-9824C95A9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3B2C"/>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4D7145"/>
    <w:pPr>
      <w:widowControl w:val="0"/>
      <w:snapToGrid w:val="0"/>
    </w:pPr>
    <w:rPr>
      <w:rFonts w:asciiTheme="minorHAnsi" w:eastAsiaTheme="minorEastAsia" w:hAnsiTheme="minorHAnsi" w:cstheme="minorBidi"/>
      <w:kern w:val="2"/>
      <w:sz w:val="21"/>
    </w:rPr>
  </w:style>
  <w:style w:type="character" w:customStyle="1" w:styleId="a4">
    <w:name w:val="尾注文本 字符"/>
    <w:basedOn w:val="a0"/>
    <w:link w:val="a3"/>
    <w:uiPriority w:val="99"/>
    <w:semiHidden/>
    <w:rsid w:val="004D7145"/>
  </w:style>
  <w:style w:type="character" w:styleId="a5">
    <w:name w:val="endnote reference"/>
    <w:basedOn w:val="a0"/>
    <w:uiPriority w:val="99"/>
    <w:semiHidden/>
    <w:unhideWhenUsed/>
    <w:rsid w:val="004D7145"/>
    <w:rPr>
      <w:vertAlign w:val="superscript"/>
    </w:rPr>
  </w:style>
  <w:style w:type="character" w:styleId="a6">
    <w:name w:val="Hyperlink"/>
    <w:basedOn w:val="a0"/>
    <w:uiPriority w:val="99"/>
    <w:unhideWhenUsed/>
    <w:rsid w:val="003A38D6"/>
    <w:rPr>
      <w:color w:val="0563C1" w:themeColor="hyperlink"/>
      <w:u w:val="single"/>
    </w:rPr>
  </w:style>
  <w:style w:type="character" w:styleId="a7">
    <w:name w:val="Unresolved Mention"/>
    <w:basedOn w:val="a0"/>
    <w:uiPriority w:val="99"/>
    <w:semiHidden/>
    <w:unhideWhenUsed/>
    <w:rsid w:val="003A38D6"/>
    <w:rPr>
      <w:color w:val="605E5C"/>
      <w:shd w:val="clear" w:color="auto" w:fill="E1DFDD"/>
    </w:rPr>
  </w:style>
  <w:style w:type="paragraph" w:styleId="a8">
    <w:name w:val="header"/>
    <w:basedOn w:val="a"/>
    <w:link w:val="a9"/>
    <w:uiPriority w:val="99"/>
    <w:unhideWhenUsed/>
    <w:rsid w:val="0085248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5248F"/>
    <w:rPr>
      <w:rFonts w:ascii="宋体" w:eastAsia="宋体" w:hAnsi="宋体" w:cs="宋体"/>
      <w:kern w:val="0"/>
      <w:sz w:val="18"/>
      <w:szCs w:val="18"/>
    </w:rPr>
  </w:style>
  <w:style w:type="paragraph" w:styleId="aa">
    <w:name w:val="footer"/>
    <w:basedOn w:val="a"/>
    <w:link w:val="ab"/>
    <w:uiPriority w:val="99"/>
    <w:unhideWhenUsed/>
    <w:rsid w:val="0085248F"/>
    <w:pPr>
      <w:tabs>
        <w:tab w:val="center" w:pos="4153"/>
        <w:tab w:val="right" w:pos="8306"/>
      </w:tabs>
      <w:snapToGrid w:val="0"/>
    </w:pPr>
    <w:rPr>
      <w:sz w:val="18"/>
      <w:szCs w:val="18"/>
    </w:rPr>
  </w:style>
  <w:style w:type="character" w:customStyle="1" w:styleId="ab">
    <w:name w:val="页脚 字符"/>
    <w:basedOn w:val="a0"/>
    <w:link w:val="aa"/>
    <w:uiPriority w:val="99"/>
    <w:rsid w:val="0085248F"/>
    <w:rPr>
      <w:rFonts w:ascii="宋体" w:eastAsia="宋体" w:hAnsi="宋体" w:cs="宋体"/>
      <w:kern w:val="0"/>
      <w:sz w:val="18"/>
      <w:szCs w:val="18"/>
    </w:rPr>
  </w:style>
  <w:style w:type="character" w:styleId="ac">
    <w:name w:val="Placeholder Text"/>
    <w:basedOn w:val="a0"/>
    <w:uiPriority w:val="99"/>
    <w:semiHidden/>
    <w:rsid w:val="00EA00AE"/>
    <w:rPr>
      <w:color w:val="808080"/>
    </w:rPr>
  </w:style>
  <w:style w:type="character" w:styleId="ad">
    <w:name w:val="annotation reference"/>
    <w:basedOn w:val="a0"/>
    <w:uiPriority w:val="99"/>
    <w:semiHidden/>
    <w:unhideWhenUsed/>
    <w:rsid w:val="00362548"/>
    <w:rPr>
      <w:sz w:val="21"/>
      <w:szCs w:val="21"/>
    </w:rPr>
  </w:style>
  <w:style w:type="paragraph" w:styleId="ae">
    <w:name w:val="annotation text"/>
    <w:basedOn w:val="a"/>
    <w:link w:val="af"/>
    <w:uiPriority w:val="99"/>
    <w:unhideWhenUsed/>
    <w:rsid w:val="00362548"/>
  </w:style>
  <w:style w:type="character" w:customStyle="1" w:styleId="af">
    <w:name w:val="批注文字 字符"/>
    <w:basedOn w:val="a0"/>
    <w:link w:val="ae"/>
    <w:uiPriority w:val="99"/>
    <w:rsid w:val="00362548"/>
    <w:rPr>
      <w:rFonts w:ascii="宋体" w:eastAsia="宋体" w:hAnsi="宋体" w:cs="宋体"/>
      <w:kern w:val="0"/>
      <w:sz w:val="24"/>
    </w:rPr>
  </w:style>
  <w:style w:type="paragraph" w:styleId="af0">
    <w:name w:val="annotation subject"/>
    <w:basedOn w:val="ae"/>
    <w:next w:val="ae"/>
    <w:link w:val="af1"/>
    <w:uiPriority w:val="99"/>
    <w:semiHidden/>
    <w:unhideWhenUsed/>
    <w:rsid w:val="00362548"/>
    <w:rPr>
      <w:b/>
      <w:bCs/>
    </w:rPr>
  </w:style>
  <w:style w:type="character" w:customStyle="1" w:styleId="af1">
    <w:name w:val="批注主题 字符"/>
    <w:basedOn w:val="af"/>
    <w:link w:val="af0"/>
    <w:uiPriority w:val="99"/>
    <w:semiHidden/>
    <w:rsid w:val="00362548"/>
    <w:rPr>
      <w:rFonts w:ascii="宋体" w:eastAsia="宋体" w:hAnsi="宋体" w:cs="宋体"/>
      <w:b/>
      <w:bCs/>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0931">
      <w:bodyDiv w:val="1"/>
      <w:marLeft w:val="0"/>
      <w:marRight w:val="0"/>
      <w:marTop w:val="0"/>
      <w:marBottom w:val="0"/>
      <w:divBdr>
        <w:top w:val="none" w:sz="0" w:space="0" w:color="auto"/>
        <w:left w:val="none" w:sz="0" w:space="0" w:color="auto"/>
        <w:bottom w:val="none" w:sz="0" w:space="0" w:color="auto"/>
        <w:right w:val="none" w:sz="0" w:space="0" w:color="auto"/>
      </w:divBdr>
    </w:div>
    <w:div w:id="161314661">
      <w:bodyDiv w:val="1"/>
      <w:marLeft w:val="0"/>
      <w:marRight w:val="0"/>
      <w:marTop w:val="0"/>
      <w:marBottom w:val="0"/>
      <w:divBdr>
        <w:top w:val="none" w:sz="0" w:space="0" w:color="auto"/>
        <w:left w:val="none" w:sz="0" w:space="0" w:color="auto"/>
        <w:bottom w:val="none" w:sz="0" w:space="0" w:color="auto"/>
        <w:right w:val="none" w:sz="0" w:space="0" w:color="auto"/>
      </w:divBdr>
    </w:div>
    <w:div w:id="254673801">
      <w:bodyDiv w:val="1"/>
      <w:marLeft w:val="0"/>
      <w:marRight w:val="0"/>
      <w:marTop w:val="0"/>
      <w:marBottom w:val="0"/>
      <w:divBdr>
        <w:top w:val="none" w:sz="0" w:space="0" w:color="auto"/>
        <w:left w:val="none" w:sz="0" w:space="0" w:color="auto"/>
        <w:bottom w:val="none" w:sz="0" w:space="0" w:color="auto"/>
        <w:right w:val="none" w:sz="0" w:space="0" w:color="auto"/>
      </w:divBdr>
      <w:divsChild>
        <w:div w:id="1224826001">
          <w:marLeft w:val="0"/>
          <w:marRight w:val="0"/>
          <w:marTop w:val="200"/>
          <w:marBottom w:val="200"/>
          <w:divBdr>
            <w:top w:val="none" w:sz="0" w:space="0" w:color="auto"/>
            <w:left w:val="none" w:sz="0" w:space="0" w:color="auto"/>
            <w:bottom w:val="none" w:sz="0" w:space="0" w:color="auto"/>
            <w:right w:val="none" w:sz="0" w:space="0" w:color="auto"/>
          </w:divBdr>
        </w:div>
        <w:div w:id="1461341353">
          <w:marLeft w:val="0"/>
          <w:marRight w:val="0"/>
          <w:marTop w:val="200"/>
          <w:marBottom w:val="200"/>
          <w:divBdr>
            <w:top w:val="none" w:sz="0" w:space="0" w:color="auto"/>
            <w:left w:val="none" w:sz="0" w:space="0" w:color="auto"/>
            <w:bottom w:val="none" w:sz="0" w:space="0" w:color="auto"/>
            <w:right w:val="none" w:sz="0" w:space="0" w:color="auto"/>
          </w:divBdr>
        </w:div>
        <w:div w:id="258606134">
          <w:marLeft w:val="0"/>
          <w:marRight w:val="0"/>
          <w:marTop w:val="200"/>
          <w:marBottom w:val="200"/>
          <w:divBdr>
            <w:top w:val="none" w:sz="0" w:space="0" w:color="auto"/>
            <w:left w:val="none" w:sz="0" w:space="0" w:color="auto"/>
            <w:bottom w:val="none" w:sz="0" w:space="0" w:color="auto"/>
            <w:right w:val="none" w:sz="0" w:space="0" w:color="auto"/>
          </w:divBdr>
        </w:div>
      </w:divsChild>
    </w:div>
    <w:div w:id="319964231">
      <w:bodyDiv w:val="1"/>
      <w:marLeft w:val="0"/>
      <w:marRight w:val="0"/>
      <w:marTop w:val="0"/>
      <w:marBottom w:val="0"/>
      <w:divBdr>
        <w:top w:val="none" w:sz="0" w:space="0" w:color="auto"/>
        <w:left w:val="none" w:sz="0" w:space="0" w:color="auto"/>
        <w:bottom w:val="none" w:sz="0" w:space="0" w:color="auto"/>
        <w:right w:val="none" w:sz="0" w:space="0" w:color="auto"/>
      </w:divBdr>
    </w:div>
    <w:div w:id="553197511">
      <w:bodyDiv w:val="1"/>
      <w:marLeft w:val="0"/>
      <w:marRight w:val="0"/>
      <w:marTop w:val="0"/>
      <w:marBottom w:val="0"/>
      <w:divBdr>
        <w:top w:val="none" w:sz="0" w:space="0" w:color="auto"/>
        <w:left w:val="none" w:sz="0" w:space="0" w:color="auto"/>
        <w:bottom w:val="none" w:sz="0" w:space="0" w:color="auto"/>
        <w:right w:val="none" w:sz="0" w:space="0" w:color="auto"/>
      </w:divBdr>
    </w:div>
    <w:div w:id="611127421">
      <w:bodyDiv w:val="1"/>
      <w:marLeft w:val="0"/>
      <w:marRight w:val="0"/>
      <w:marTop w:val="0"/>
      <w:marBottom w:val="0"/>
      <w:divBdr>
        <w:top w:val="none" w:sz="0" w:space="0" w:color="auto"/>
        <w:left w:val="none" w:sz="0" w:space="0" w:color="auto"/>
        <w:bottom w:val="none" w:sz="0" w:space="0" w:color="auto"/>
        <w:right w:val="none" w:sz="0" w:space="0" w:color="auto"/>
      </w:divBdr>
    </w:div>
    <w:div w:id="838158543">
      <w:bodyDiv w:val="1"/>
      <w:marLeft w:val="0"/>
      <w:marRight w:val="0"/>
      <w:marTop w:val="0"/>
      <w:marBottom w:val="0"/>
      <w:divBdr>
        <w:top w:val="none" w:sz="0" w:space="0" w:color="auto"/>
        <w:left w:val="none" w:sz="0" w:space="0" w:color="auto"/>
        <w:bottom w:val="none" w:sz="0" w:space="0" w:color="auto"/>
        <w:right w:val="none" w:sz="0" w:space="0" w:color="auto"/>
      </w:divBdr>
    </w:div>
    <w:div w:id="913466403">
      <w:bodyDiv w:val="1"/>
      <w:marLeft w:val="0"/>
      <w:marRight w:val="0"/>
      <w:marTop w:val="0"/>
      <w:marBottom w:val="0"/>
      <w:divBdr>
        <w:top w:val="none" w:sz="0" w:space="0" w:color="auto"/>
        <w:left w:val="none" w:sz="0" w:space="0" w:color="auto"/>
        <w:bottom w:val="none" w:sz="0" w:space="0" w:color="auto"/>
        <w:right w:val="none" w:sz="0" w:space="0" w:color="auto"/>
      </w:divBdr>
    </w:div>
    <w:div w:id="1066683656">
      <w:bodyDiv w:val="1"/>
      <w:marLeft w:val="0"/>
      <w:marRight w:val="0"/>
      <w:marTop w:val="0"/>
      <w:marBottom w:val="0"/>
      <w:divBdr>
        <w:top w:val="none" w:sz="0" w:space="0" w:color="auto"/>
        <w:left w:val="none" w:sz="0" w:space="0" w:color="auto"/>
        <w:bottom w:val="none" w:sz="0" w:space="0" w:color="auto"/>
        <w:right w:val="none" w:sz="0" w:space="0" w:color="auto"/>
      </w:divBdr>
    </w:div>
    <w:div w:id="1308781239">
      <w:bodyDiv w:val="1"/>
      <w:marLeft w:val="0"/>
      <w:marRight w:val="0"/>
      <w:marTop w:val="0"/>
      <w:marBottom w:val="0"/>
      <w:divBdr>
        <w:top w:val="none" w:sz="0" w:space="0" w:color="auto"/>
        <w:left w:val="none" w:sz="0" w:space="0" w:color="auto"/>
        <w:bottom w:val="none" w:sz="0" w:space="0" w:color="auto"/>
        <w:right w:val="none" w:sz="0" w:space="0" w:color="auto"/>
      </w:divBdr>
    </w:div>
    <w:div w:id="171573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9964F-D035-C048-AA25-BF61B1934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2015</TotalTime>
  <Pages>1</Pages>
  <Words>1464</Words>
  <Characters>8345</Characters>
  <Application>Microsoft Office Word</Application>
  <DocSecurity>0</DocSecurity>
  <Lines>69</Lines>
  <Paragraphs>19</Paragraphs>
  <ScaleCrop>false</ScaleCrop>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hqr air</cp:lastModifiedBy>
  <cp:revision>55</cp:revision>
  <dcterms:created xsi:type="dcterms:W3CDTF">2022-11-01T14:16:00Z</dcterms:created>
  <dcterms:modified xsi:type="dcterms:W3CDTF">2022-11-07T14:51:00Z</dcterms:modified>
</cp:coreProperties>
</file>