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</w:pPr>
      <w:r>
        <w:rPr>
          <w:color w:val="000000"/>
          <w:u w:val="none"/>
        </w:rPr>
        <w:t>简单外卖四端平台功能介绍</w:t>
      </w:r>
    </w:p>
    <w:p>
      <w:pPr>
        <w:pStyle w:val="Subtitle"/>
      </w:pPr>
      <w:r>
        <w:rPr>
          <w:color w:val="000000"/>
          <w:u w:val="none"/>
        </w:rPr>
        <w:t>HarmonyOS NEXT 四端应用及网页端    更新日期 2026年10月26日</w:t>
      </w:r>
    </w:p>
    <w:p>
      <w:r>
        <w:t>简单外卖连接用户点餐、商户出餐、骑手配送和平台管理，手机端与网页端共用服务端账号及业务数据。本文介绍六批业务与交互改造后的已有功能、交易规则和真实验收边界，适用于项目展示与功能说明。</w:t>
      </w:r>
    </w:p>
    <w:p>
      <w:r>
        <w:t>技术栈为 HarmonyOS NEXT API 26、ArkTS 与 ArkUI，后端为 Spring Boot 3.5.16、Java 25、JdbcTemplate、MySQL 8.4 与 Redis 7。入口为 https://hqyx.website/takeout/。当前版本 ux-20261026-1950-sync-r2，运行源码 fc37a14，于 2026-10-26 20:30:14 +0800 核验；安全复测数据另列为历史基线。</w:t>
      </w:r>
    </w:p>
    <w:p>
      <w:pPr>
        <w:pStyle w:val="Heading1"/>
      </w:pPr>
      <w:r>
        <w:rPr>
          <w:color w:val="000000"/>
          <w:u w:val="none"/>
        </w:rPr>
        <w:t>一 用户端功能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6EDF2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6EDF2"/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/>
                <w:color w:val="000000"/>
                <w:sz w:val="20"/>
              </w:rPr>
              <w:t>当前功能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首页与搜索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分类、公告、店铺与菜品搜索、推荐、榜单和秒杀；支持定位或手动选点及配送范围提示。搜索区分零结果与加载失败，保留关键词并可重试。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店铺与购物车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店内分类、多规格 SKU、库存与评价、收藏；购物车按账号及商品规格保存。App 单项删除有 6 秒撤销，整店或批量删除先确认；服务端按本店商品、规格、数量核对并精确删车。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下单与优惠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按商品额判断券门槛，券后含配送实付须为正；解释过期、门槛等不可用原因，预估推荐并尊重主动不用券。营销叠加与最终金额由服务端计算；地址往返和失败保留备注及选择。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支付与订单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下单为待付款，默认 15 分钟期限；余额与支付宝沙箱支付、真实进度、确认收到和再来一单。多店分别反馈结果，只重试失败部分；结果未知沿用原请求核对。新单仅立即外卖配送。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优惠券与地址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领券与台账、默认地址；地图位置与楼层门牌分开维护，坐标和标签持久化，最多 20 条。删除先确认，重复新增防重，数据按账号隔离。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售后与评价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本人订单退款历史展示编号、类型、金额、时间和拒绝理由；失败保留输入，同一重试幂等，其他原因必填说明。星级、标签、图文评价及商家回复；Web 由用户真实选择后提交。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钱包与资料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真实余额、银行卡及掩码展示；完整卡号查看要求独立支付密码。修改绑定身份要求当前密码，演示充值与注册赠金停用。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AI 助手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订单、余额等查询使用当前账号真实数据；管理员配置后可进行一般问答，服务异常保留本地业务查询。售后说明不提供虚构热线、赔付或送达时间。</w:t>
            </w:r>
          </w:p>
        </w:tc>
      </w:tr>
    </w:tbl>
    <w:p>
      <w:pPr>
        <w:spacing w:after="0"/>
      </w:pPr>
    </w:p>
    <w:p>
      <w:r/>
    </w:p>
    <w:p>
      <w:pPr>
        <w:pStyle w:val="Heading1"/>
      </w:pPr>
      <w:r>
        <w:rPr>
          <w:color w:val="000000"/>
          <w:u w:val="none"/>
        </w:rPr>
        <w:t>二 商户端功能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6EDF2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6EDF2"/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/>
                <w:color w:val="000000"/>
                <w:sz w:val="20"/>
              </w:rPr>
              <w:t>当前功能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门店与商品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维护门店资料、公告、营业状态、配送费与起送价；商品上下架、库存、多规格和分类操作校验店铺归属。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订单与拒单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未付款不进入待处理。接单、出餐后进入骑手池；展示规格、备注与配送信息。待接单可选择无法接单原因；缺货核对订单商品及规格后停售，退款按原渠道并恢复有效券。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经营与营销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查看已结算及待结算金额、回复评价；具备营销、套餐及员工接口。用户只看到服务端可信拒单原因，内部备注不下发；制作中异常队列仍待补齐。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  <w:u w:val="none"/>
        </w:rPr>
        <w:t>三 骑手端功能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6EDF2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6EDF2"/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/>
                <w:color w:val="000000"/>
                <w:sz w:val="20"/>
              </w:rPr>
              <w:t>当前功能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接单与配送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上线、范围设置、待取餐池、抢单、取餐和送达。本人接单后显示待取餐；送达前确认实际交付，取消不提交，连点与未知结果先锁定并核对服务端。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地址与联系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抢单前脱敏，履约中可复制完整地址、打开系统拨号并读取门店公开地点；App 仅有效门店坐标提供地图外链。终态、页面失效或退出账号后隐藏收货信息。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档案与收入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骑手档案、累计单量与收入；停用后拒绝接单和配送。账号由平台开通；收货地精确导航、第三方地图内容与持久异常上报仍待建设或验收。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  <w:u w:val="none"/>
        </w:rPr>
        <w:t>四 平台管理端功能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6EDF2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6EDF2"/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/>
                <w:color w:val="000000"/>
                <w:sz w:val="20"/>
              </w:rPr>
              <w:t>当前功能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独立后台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管理员进入独立工作区，不展示用户点餐导航；四端身份、数据与接口权限保持隔离。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店铺与商品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分类、店铺审核、上下架推荐、商品监管；商品、订单、用户和退款采用服务端分页、总量及筛选，旧请求不能覆盖当前页面。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账号与内容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管理用户、员工、骑手与账号状态，维护 Banner、公告、营销和 AI 配置。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退款与统计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待审批优先，同意前确认订单及金额，说明原渠道退款与不回库；拒绝必须填用户可见理由，失败保留输入并对账。Web 状态 4 转退款审批，直接退款仅处理状态 1、2、3。</w:t>
            </w:r>
          </w:p>
        </w:tc>
      </w:tr>
    </w:tbl>
    <w:p>
      <w:pPr>
        <w:spacing w:after="0"/>
      </w:pPr>
    </w:p>
    <w:p>
      <w:r/>
    </w:p>
    <w:p>
      <w:pPr>
        <w:pStyle w:val="Heading1"/>
      </w:pPr>
      <w:r>
        <w:rPr>
          <w:color w:val="000000"/>
          <w:u w:val="none"/>
        </w:rPr>
        <w:t>五 交易规则与资金一致性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6EDF2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6EDF2"/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/>
                <w:color w:val="000000"/>
                <w:sz w:val="20"/>
              </w:rPr>
              <w:t>当前功能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待付款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创建只占库存、秒杀名额与优惠券，status=0，支付后为 1；零或负实付拒绝，超时取消释放占用。购物车严格核对店铺、商品、规格及数量，直购不删除既有购物车。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两种支付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余额校验独立支付密码并事务扣款；支付宝沙箱由服务端验签或主动查单确认。沙箱不代表真实人民币收款，渠道结果不由客户端回调自行决定。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托管与结算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送达为 status=4、escrow=0，仍待确认；用户确认或到自动确认期限后 escrow=1。确认前说明结算后果；商户结算扣配送费，配送费计骑手收入。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取消与退款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用户仅可取消 status=0、1；制作与配送阶段转平台。当前退款申请要求已送达、未结算且未评价。批准后 status=6、escrow=2，余额退余额，支付宝原路退；已送达餐品不回库。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幂等与并发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订单和退款请求持久绑定业务结果，重试返回原记录；驳回后新意图可用新标识再申请。资金、库存及状态保留事务、条件更新、行锁；Outbox 与业务同事务，消费去重。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  <w:u w:val="none"/>
        </w:rPr>
        <w:t>六 认证安全与运行保护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6EDF2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6EDF2"/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/>
                <w:color w:val="000000"/>
                <w:sz w:val="20"/>
              </w:rPr>
              <w:t>当前功能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注册与会话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公开注册只允许普通用户，QQ 邮箱验证码单次消费并绑定身份和用途；JWT 访问令牌、轮换刷新凭据、退出撤销和改密失效。无通用固定演示口令。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密码与限流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密码为随机盐 PBKDF2-HMAC-SHA256 600000 轮。登录按来源和账号、失败与总量分桶；成功不清失败预算，容量不足返回 503，限流返回 429。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缓存与 Redis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浏览使用原始目录缓存后按当前请求投影。512 个值槽中八个固定热点专属，默认单值 1 MiB，动态值最多 64 KiB；超限 WARN。Redis 默认 256 MiB/noeviction，容器 768 MiB。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上传与配置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上传校验扩展名、内容类型与文件魔数，按账号限制频率和持久容量；缺失资源返回 404。环境变量承载独立密钥，日志脱敏，网页使用 HTTPS 与相对资源路径。</w:t>
            </w:r>
          </w:p>
        </w:tc>
      </w:tr>
    </w:tbl>
    <w:p>
      <w:pPr>
        <w:spacing w:after="0"/>
      </w:pPr>
    </w:p>
    <w:p>
      <w:r/>
    </w:p>
    <w:p>
      <w:pPr>
        <w:pStyle w:val="Heading1"/>
      </w:pPr>
      <w:r>
        <w:rPr>
          <w:color w:val="000000"/>
          <w:u w:val="none"/>
        </w:rPr>
        <w:t>七 实施验证与发布边界</w:t>
      </w:r>
    </w:p>
    <w:p>
      <w:r>
        <w:t>六批改造已分批完成本地 API、浏览器与模拟器受影响链路验证。以下区分本轮实现与历史线上安全基线；构建或单项回归通过，不等于所有功能已完成线上、物理真机或正式支付验收。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6EDF2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6EDF2"/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/>
                <w:color w:val="000000"/>
                <w:sz w:val="20"/>
              </w:rPr>
              <w:t>当前功能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六批实施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已覆盖错店结算、地址和搜索恢复、购物车撤销、商家拒单、退款历史与审批、优惠资格、结算保留和骑手交付。实施记录逐项区分已验证、待验证和未完成。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本地回归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最终独立 Linux 全量 656 项通过，0 失败、0 错误、0 跳过。Windows app 647 项（61 项环境条件跳过）、gateway 9 项，无失败。两类运行结果分别报告，跳过不算已执行。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网页与设备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四套 Node 回归 76 项、JS 语法检查通过，正式域名优先的 debug HAP 构建成功。本地模拟器已验证退款和骑手链路；GitHub Backend CI 已通过，Frontend 尚在排队，不代表物理真机全覆盖。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历史安全基线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2026年10月25日 defense-20261025-225329：594 项后端回归、28 项线上检查通过，30 路正确登录均 200；540 店目录缓存为 451986 字节。该轮无线上下单、支付或退款。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发布与数据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ux-20261026-1950-sync-r2 已核验 HTTPS、静态资源及应用、网关、MySQL、Redis 健康。新表、12 列和唯一索引保留；用户 51、订单 3、地址 3、商品 7200、门店 540 不变；200386 字节备份已下载并校验，私有密钥与卷保留。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遗留边界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 w:val="0"/>
              <w:spacing w:after="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本次线上仅使用管理员完成 5 项认证或只读 API 检查，未执行四端交易；四端业务证据来自本地。未签名 debug HAP 只存服务器版本产物目录。正式支付、完整售后、真机无障碍与 Release 上架仍待验收。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  <w:u w:val="none"/>
        </w:rPr>
        <w:t>八 保留风险与未验收范围</w:t>
      </w:r>
    </w:p>
    <w:p>
      <w:r>
        <w:t>安全复测保留四项接受风险：RT-16 定向账号失败锁定，持续攻击无总恢复时长保证；RT-22 带外恢复重启会丢失本地窗口并中断请求；RT-31 Redis 故障冷却时多副本形成 N 份本地预算；RT-32 较晚观察封禁使总时长可接近 2B，默认失败桶接近 1200 秒。</w:t>
      </w:r>
    </w:p>
    <w:p>
      <w:r>
        <w:t>业务仍待补齐：确认或评价后的售后政策、商品级部分退款、图片证据工单、超时赔付、骑手持久异常上报、收货地点精确坐标导航、餐具和配送偏好分发。新结算暂只开放立即外卖配送；预约、自取和套餐统一结算不能按完整上线能力介绍。正式支付退款、物理真机、全页面大字号与深色模式、AppAnalyzer、Release 签名和应用商店发布仍需专项验收；备份恢复、故障切换及长期压测未完成。</w:t>
      </w:r>
    </w:p>
    <w:p>
      <w:r>
        <w:t>六批实际改动与逐批证据见 md/人性化改造诊断与实施方案.md；最新发布核验见 README.md。2026年10月25日安全基线及保留风险见 md/audit/最终结论.md 与 round10/第十轮防御-回复.md。服务器源码和未签名 debug HAP 同步不等于 AppGallery 发布。</w:t>
      </w:r>
    </w:p>
    <w:sectPr>
      <w:footerReference w:type="default" r:id="rId5"/>
      <w:pgSz w:w="11906" w:h="16838"/>
      <w:pgMar w:top="1077" w:right="1134" w:bottom="1077" w:left="1134" w:header="454" w:footer="454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8"/>
      </w:rPr>
      <w:t xml:space="preserve">简单外卖  |  </w:t>
    </w:r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66C42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line="283" w:lineRule="auto" w:after="100"/>
      <w:jc w:val="both"/>
    </w:pPr>
    <w:rPr>
      <w:rFonts w:ascii="Microsoft YaHei" w:hAnsi="Microsoft YaHei" w:eastAsia="Microsoft YaHei"/>
      <w:color w:val="000000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spacing w:line="283" w:lineRule="auto" w:after="100"/>
    </w:pPr>
    <w:rPr>
      <w:rFonts w:ascii="Microsoft YaHei" w:hAnsi="Microsoft YaHei" w:eastAsia="Microsoft YaHei"/>
      <w:color w:val="000000"/>
      <w:sz w:val="46"/>
    </w:rPr>
  </w:style>
  <w:style w:type="paragraph" w:customStyle="1" w:styleId="Subtitle">
    <w:name w:val="Subtitle"/>
    <w:pPr>
      <w:spacing w:line="283" w:lineRule="auto" w:after="100"/>
    </w:pPr>
    <w:rPr>
      <w:rFonts w:ascii="Microsoft YaHei" w:hAnsi="Microsoft YaHei" w:eastAsia="Microsoft YaHei"/>
      <w:color w:val="000000"/>
      <w:sz w:val="21"/>
    </w:rPr>
  </w:style>
  <w:style w:type="paragraph" w:customStyle="1" w:styleId="Heading1">
    <w:name w:val="heading 1"/>
    <w:pPr>
      <w:keepNext/>
      <w:spacing w:line="283" w:lineRule="auto" w:after="100" w:before="200"/>
    </w:pPr>
    <w:rPr>
      <w:rFonts w:ascii="Microsoft YaHei" w:hAnsi="Microsoft YaHei" w:eastAsia="Microsoft YaHei"/>
      <w:color w:val="000000"/>
      <w:sz w:val="30"/>
    </w:rPr>
  </w:style>
  <w:style w:type="paragraph" w:customStyle="1" w:styleId="Heading2">
    <w:name w:val="heading 2"/>
    <w:pPr>
      <w:keepNext/>
      <w:spacing w:line="283" w:lineRule="auto" w:after="100" w:before="200"/>
    </w:pPr>
    <w:rPr>
      <w:rFonts w:ascii="Microsoft YaHei" w:hAnsi="Microsoft YaHei" w:eastAsia="Microsoft YaHei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Office_12.8.2.21177_F1E327BC-269C-435d-A152-05C5408002CA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2026-09-12T02:41:07Z</dcterms:created>
  <dc:creator>Administrator</dc:creator>
  <cp:lastModifiedBy>　　</cp:lastModifiedBy>
  <dcterms:modified xsi:type="dcterms:W3CDTF">2026-09-12T02:41:15Z</dcterms:modified>
  <dc:title>简单外卖校园外卖平台功能介绍</dc:title>
  <dc:subject>四端功能 交易规则 终轮部署与验证范围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88E648F9D5D641EFB1F62793340198EA_12</vt:lpwstr>
  </property>
</Properties>
</file>