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71AF5" w14:textId="3B48D4B8" w:rsidR="00DD4A6B" w:rsidRPr="00216ADF" w:rsidRDefault="0001700E" w:rsidP="00F92109">
      <w:pPr>
        <w:jc w:val="center"/>
        <w:rPr>
          <w:b/>
          <w:bCs/>
          <w:sz w:val="32"/>
          <w:szCs w:val="32"/>
          <w:lang w:val="en-US"/>
        </w:rPr>
      </w:pPr>
      <w:bookmarkStart w:id="0" w:name="_Hlk129831299"/>
      <w:bookmarkEnd w:id="0"/>
      <w:r w:rsidRPr="00216ADF">
        <w:rPr>
          <w:b/>
          <w:bCs/>
          <w:sz w:val="32"/>
          <w:szCs w:val="32"/>
          <w:lang w:val="en-US"/>
        </w:rPr>
        <w:t xml:space="preserve">Data </w:t>
      </w:r>
      <w:r w:rsidR="0065111F" w:rsidRPr="00216ADF">
        <w:rPr>
          <w:b/>
          <w:bCs/>
          <w:sz w:val="32"/>
          <w:szCs w:val="32"/>
          <w:lang w:val="en-US"/>
        </w:rPr>
        <w:t xml:space="preserve">Science </w:t>
      </w:r>
      <w:r w:rsidRPr="00216ADF">
        <w:rPr>
          <w:b/>
          <w:bCs/>
          <w:sz w:val="32"/>
          <w:szCs w:val="32"/>
          <w:lang w:val="en-US"/>
        </w:rPr>
        <w:t xml:space="preserve">Test </w:t>
      </w:r>
      <w:r w:rsidR="0065111F" w:rsidRPr="00216ADF">
        <w:rPr>
          <w:b/>
          <w:bCs/>
          <w:sz w:val="32"/>
          <w:szCs w:val="32"/>
          <w:lang w:val="en-US"/>
        </w:rPr>
        <w:t>Report</w:t>
      </w:r>
    </w:p>
    <w:p w14:paraId="255AC77F" w14:textId="77777777" w:rsidR="004D505E" w:rsidRPr="004D505E" w:rsidRDefault="004D505E" w:rsidP="00F92109">
      <w:pPr>
        <w:jc w:val="both"/>
        <w:rPr>
          <w:lang w:val="en-US"/>
        </w:rPr>
      </w:pPr>
    </w:p>
    <w:p w14:paraId="41B9F1D7" w14:textId="2F6606E4" w:rsidR="00216ADF" w:rsidRPr="00E53A50" w:rsidRDefault="00216ADF" w:rsidP="00F92109">
      <w:pPr>
        <w:jc w:val="both"/>
        <w:rPr>
          <w:b/>
          <w:bCs/>
          <w:sz w:val="20"/>
          <w:szCs w:val="20"/>
          <w:lang w:val="en-US"/>
        </w:rPr>
      </w:pPr>
      <w:r w:rsidRPr="00E53A50">
        <w:rPr>
          <w:b/>
          <w:bCs/>
          <w:sz w:val="20"/>
          <w:szCs w:val="20"/>
          <w:lang w:val="en-US"/>
        </w:rPr>
        <w:t>Introduction</w:t>
      </w:r>
    </w:p>
    <w:p w14:paraId="3C2D0F98" w14:textId="77777777" w:rsidR="002B0F6A" w:rsidRPr="00E53A50" w:rsidRDefault="009852F1" w:rsidP="00F92109">
      <w:pPr>
        <w:jc w:val="both"/>
        <w:rPr>
          <w:sz w:val="20"/>
          <w:szCs w:val="20"/>
          <w:lang w:val="en-US"/>
        </w:rPr>
      </w:pPr>
      <w:r w:rsidRPr="00E53A50">
        <w:rPr>
          <w:sz w:val="20"/>
          <w:szCs w:val="20"/>
          <w:lang w:val="en-US"/>
        </w:rPr>
        <w:t>This short report presents the analytics result of a time series dataset, which features on the total number of records and total submitted file sizes in GB (gigabytes) aggregated on a monthly basis</w:t>
      </w:r>
      <w:r w:rsidR="00F92109" w:rsidRPr="00E53A50">
        <w:rPr>
          <w:sz w:val="20"/>
          <w:szCs w:val="20"/>
          <w:lang w:val="en-US"/>
        </w:rPr>
        <w:t xml:space="preserve"> for the past 10 years</w:t>
      </w:r>
      <w:r w:rsidRPr="00E53A50">
        <w:rPr>
          <w:sz w:val="20"/>
          <w:szCs w:val="20"/>
          <w:lang w:val="en-US"/>
        </w:rPr>
        <w:t xml:space="preserve">, from </w:t>
      </w:r>
      <w:r w:rsidR="00F92109" w:rsidRPr="00E53A50">
        <w:rPr>
          <w:sz w:val="20"/>
          <w:szCs w:val="20"/>
          <w:lang w:val="en-US"/>
        </w:rPr>
        <w:t xml:space="preserve">2012-03 to 2022-12. The goal of the analysis is to build a non-neural network model that can accurately forecast the file size for the unrecorded next month, i.e., 2023-01, with quantitative error metrics to evaluate the model forecasting performance, whilst providing any insights and trends that can be gleaned from the data. </w:t>
      </w:r>
    </w:p>
    <w:p w14:paraId="78231A2A" w14:textId="5A316E18" w:rsidR="009852F1" w:rsidRPr="00E53A50" w:rsidRDefault="00606CE8" w:rsidP="00F92109">
      <w:pPr>
        <w:jc w:val="both"/>
        <w:rPr>
          <w:sz w:val="20"/>
          <w:szCs w:val="20"/>
          <w:lang w:val="en-US"/>
        </w:rPr>
      </w:pPr>
      <w:r w:rsidRPr="00E53A50">
        <w:rPr>
          <w:sz w:val="20"/>
          <w:szCs w:val="20"/>
          <w:lang w:val="en-US"/>
        </w:rPr>
        <w:t xml:space="preserve">The most popular benchmark statistical model </w:t>
      </w:r>
      <w:r w:rsidR="00597BB8" w:rsidRPr="00E53A50">
        <w:rPr>
          <w:sz w:val="20"/>
          <w:szCs w:val="20"/>
          <w:lang w:val="en-US"/>
        </w:rPr>
        <w:t>is</w:t>
      </w:r>
      <w:r w:rsidRPr="00E53A50">
        <w:rPr>
          <w:sz w:val="20"/>
          <w:szCs w:val="20"/>
          <w:lang w:val="en-US"/>
        </w:rPr>
        <w:t xml:space="preserve"> </w:t>
      </w:r>
      <w:r w:rsidR="00597BB8" w:rsidRPr="00E53A50">
        <w:rPr>
          <w:sz w:val="20"/>
          <w:szCs w:val="20"/>
          <w:lang w:val="en-US"/>
        </w:rPr>
        <w:t xml:space="preserve">the Autoregressive Integrated Moving Average (ARIMA), which takes a moving-average approach to estimate the upcoming series data, is not quite computational efficient and performs poorly in long range forecasting particularly for nonstationary data. </w:t>
      </w:r>
      <w:r w:rsidR="002B0F6A" w:rsidRPr="00E53A50">
        <w:rPr>
          <w:sz w:val="20"/>
          <w:szCs w:val="20"/>
          <w:lang w:val="en-US"/>
        </w:rPr>
        <w:t>In order to achieve high accuracy prediction for both point-based and vector-based prediction tasks, a more potent statistical model vector autoregression (VAR) and two non-neural network machine learning models, support vector regression (SVR) and a gradient boosted regression tree model (Xgbregressor) are tested.</w:t>
      </w:r>
    </w:p>
    <w:p w14:paraId="3B3456EE" w14:textId="086F3127" w:rsidR="006C0DCC" w:rsidRPr="00E53A50" w:rsidRDefault="00606CE8" w:rsidP="00F92109">
      <w:pPr>
        <w:jc w:val="both"/>
        <w:rPr>
          <w:sz w:val="20"/>
          <w:szCs w:val="20"/>
          <w:lang w:val="en-US"/>
        </w:rPr>
      </w:pPr>
      <w:r w:rsidRPr="00E53A50">
        <w:rPr>
          <w:sz w:val="20"/>
          <w:szCs w:val="20"/>
          <w:lang w:val="en-US"/>
        </w:rPr>
        <w:t xml:space="preserve">The report </w:t>
      </w:r>
      <w:r w:rsidR="002B0F6A" w:rsidRPr="00E53A50">
        <w:rPr>
          <w:sz w:val="20"/>
          <w:szCs w:val="20"/>
          <w:lang w:val="en-US"/>
        </w:rPr>
        <w:t xml:space="preserve">results </w:t>
      </w:r>
      <w:r w:rsidRPr="00E53A50">
        <w:rPr>
          <w:sz w:val="20"/>
          <w:szCs w:val="20"/>
          <w:lang w:val="en-US"/>
        </w:rPr>
        <w:t xml:space="preserve">will </w:t>
      </w:r>
      <w:r w:rsidR="002B0F6A" w:rsidRPr="00E53A50">
        <w:rPr>
          <w:sz w:val="20"/>
          <w:szCs w:val="20"/>
          <w:lang w:val="en-US"/>
        </w:rPr>
        <w:t xml:space="preserve">be </w:t>
      </w:r>
      <w:r w:rsidRPr="00E53A50">
        <w:rPr>
          <w:sz w:val="20"/>
          <w:szCs w:val="20"/>
          <w:lang w:val="en-US"/>
        </w:rPr>
        <w:t>present</w:t>
      </w:r>
      <w:r w:rsidR="002B0F6A" w:rsidRPr="00E53A50">
        <w:rPr>
          <w:sz w:val="20"/>
          <w:szCs w:val="20"/>
          <w:lang w:val="en-US"/>
        </w:rPr>
        <w:t>ed</w:t>
      </w:r>
      <w:r w:rsidRPr="00E53A50">
        <w:rPr>
          <w:sz w:val="20"/>
          <w:szCs w:val="20"/>
          <w:lang w:val="en-US"/>
        </w:rPr>
        <w:t xml:space="preserve"> the analytics result in the following structure: first </w:t>
      </w:r>
      <w:r w:rsidR="002B0F6A" w:rsidRPr="00E53A50">
        <w:rPr>
          <w:sz w:val="20"/>
          <w:szCs w:val="20"/>
          <w:lang w:val="en-US"/>
        </w:rPr>
        <w:t xml:space="preserve">we will look at the dataset attributes and </w:t>
      </w:r>
      <w:r w:rsidR="00F66792" w:rsidRPr="00E53A50">
        <w:rPr>
          <w:sz w:val="20"/>
          <w:szCs w:val="20"/>
          <w:lang w:val="en-US"/>
        </w:rPr>
        <w:t xml:space="preserve">perform some </w:t>
      </w:r>
      <w:r w:rsidR="002B0F6A" w:rsidRPr="00E53A50">
        <w:rPr>
          <w:sz w:val="20"/>
          <w:szCs w:val="20"/>
          <w:lang w:val="en-US"/>
        </w:rPr>
        <w:t>exploration</w:t>
      </w:r>
      <w:r w:rsidR="00F66792" w:rsidRPr="00E53A50">
        <w:rPr>
          <w:sz w:val="20"/>
          <w:szCs w:val="20"/>
          <w:lang w:val="en-US"/>
        </w:rPr>
        <w:t>s</w:t>
      </w:r>
      <w:r w:rsidR="002B0F6A" w:rsidRPr="00E53A50">
        <w:rPr>
          <w:sz w:val="20"/>
          <w:szCs w:val="20"/>
          <w:lang w:val="en-US"/>
        </w:rPr>
        <w:t xml:space="preserve">. </w:t>
      </w:r>
      <w:r w:rsidR="00F66792" w:rsidRPr="00E53A50">
        <w:rPr>
          <w:sz w:val="20"/>
          <w:szCs w:val="20"/>
          <w:lang w:val="en-US"/>
        </w:rPr>
        <w:t xml:space="preserve">Then we will </w:t>
      </w:r>
      <w:r w:rsidR="00770845" w:rsidRPr="00E53A50">
        <w:rPr>
          <w:sz w:val="20"/>
          <w:szCs w:val="20"/>
          <w:lang w:val="en-US"/>
        </w:rPr>
        <w:t>introduce</w:t>
      </w:r>
      <w:r w:rsidR="00F66792" w:rsidRPr="00E53A50">
        <w:rPr>
          <w:sz w:val="20"/>
          <w:szCs w:val="20"/>
          <w:lang w:val="en-US"/>
        </w:rPr>
        <w:t xml:space="preserve"> the statistical and machine learning models for the forecasting task. </w:t>
      </w:r>
      <w:r w:rsidR="006C0DCC" w:rsidRPr="00E53A50">
        <w:rPr>
          <w:sz w:val="20"/>
          <w:szCs w:val="20"/>
          <w:lang w:val="en-US"/>
        </w:rPr>
        <w:t>Lastly,</w:t>
      </w:r>
      <w:r w:rsidR="00F66792" w:rsidRPr="00E53A50">
        <w:rPr>
          <w:sz w:val="20"/>
          <w:szCs w:val="20"/>
          <w:lang w:val="en-US"/>
        </w:rPr>
        <w:t xml:space="preserve"> the model performance comparison and analytics results will be given, followed by a report summary.</w:t>
      </w:r>
    </w:p>
    <w:p w14:paraId="5E341C44" w14:textId="320ADA3F" w:rsidR="000E3756" w:rsidRPr="00E53A50" w:rsidRDefault="000E3756" w:rsidP="00F92109">
      <w:pPr>
        <w:jc w:val="both"/>
        <w:rPr>
          <w:b/>
          <w:bCs/>
          <w:sz w:val="20"/>
          <w:szCs w:val="20"/>
          <w:lang w:val="en-US"/>
        </w:rPr>
      </w:pPr>
      <w:r w:rsidRPr="00E53A50">
        <w:rPr>
          <w:b/>
          <w:bCs/>
          <w:sz w:val="20"/>
          <w:szCs w:val="20"/>
          <w:lang w:val="en-US"/>
        </w:rPr>
        <w:t xml:space="preserve">The </w:t>
      </w:r>
      <w:r w:rsidR="00A277DA" w:rsidRPr="00E53A50">
        <w:rPr>
          <w:b/>
          <w:bCs/>
          <w:sz w:val="20"/>
          <w:szCs w:val="20"/>
          <w:lang w:val="en-US"/>
        </w:rPr>
        <w:t>D</w:t>
      </w:r>
      <w:r w:rsidRPr="00E53A50">
        <w:rPr>
          <w:b/>
          <w:bCs/>
          <w:sz w:val="20"/>
          <w:szCs w:val="20"/>
          <w:lang w:val="en-US"/>
        </w:rPr>
        <w:t>ataset</w:t>
      </w:r>
    </w:p>
    <w:p w14:paraId="588630BF" w14:textId="1A1B6D04" w:rsidR="008027D4" w:rsidRPr="00E53A50" w:rsidRDefault="00203A2E" w:rsidP="004542A8">
      <w:pPr>
        <w:jc w:val="both"/>
        <w:rPr>
          <w:rFonts w:cstheme="minorHAnsi"/>
          <w:sz w:val="20"/>
          <w:szCs w:val="20"/>
          <w:lang w:val="en-US"/>
        </w:rPr>
      </w:pPr>
      <w:r w:rsidRPr="00E53A50">
        <w:rPr>
          <w:sz w:val="20"/>
          <w:szCs w:val="20"/>
          <w:lang w:val="en-US"/>
        </w:rPr>
        <w:t xml:space="preserve">The dataset can be read into a Pandas DataFrame with three attributes </w:t>
      </w:r>
      <w:r w:rsidRPr="00E53A50">
        <w:rPr>
          <w:i/>
          <w:iCs/>
          <w:sz w:val="20"/>
          <w:szCs w:val="20"/>
          <w:lang w:val="en-US"/>
        </w:rPr>
        <w:t>'submitted_date'</w:t>
      </w:r>
      <w:r w:rsidRPr="00E53A50">
        <w:rPr>
          <w:sz w:val="20"/>
          <w:szCs w:val="20"/>
          <w:lang w:val="en-US"/>
        </w:rPr>
        <w:t xml:space="preserve"> which entails the month when the date </w:t>
      </w:r>
      <w:r w:rsidR="007D11DA" w:rsidRPr="00E53A50">
        <w:rPr>
          <w:sz w:val="20"/>
          <w:szCs w:val="20"/>
          <w:lang w:val="en-US"/>
        </w:rPr>
        <w:t>was</w:t>
      </w:r>
      <w:r w:rsidRPr="00E53A50">
        <w:rPr>
          <w:sz w:val="20"/>
          <w:szCs w:val="20"/>
          <w:lang w:val="en-US"/>
        </w:rPr>
        <w:t xml:space="preserve"> recorded, </w:t>
      </w:r>
      <w:r w:rsidRPr="00E53A50">
        <w:rPr>
          <w:i/>
          <w:iCs/>
          <w:sz w:val="20"/>
          <w:szCs w:val="20"/>
          <w:lang w:val="en-US"/>
        </w:rPr>
        <w:t>'records'</w:t>
      </w:r>
      <w:r w:rsidRPr="00E53A50">
        <w:rPr>
          <w:sz w:val="20"/>
          <w:szCs w:val="20"/>
          <w:lang w:val="en-US"/>
        </w:rPr>
        <w:t xml:space="preserve"> which tells the total number of records received in </w:t>
      </w:r>
      <w:r w:rsidRPr="00E53A50">
        <w:rPr>
          <w:rFonts w:cstheme="minorHAnsi"/>
          <w:sz w:val="20"/>
          <w:szCs w:val="20"/>
          <w:lang w:val="en-US"/>
        </w:rPr>
        <w:t xml:space="preserve">that month, </w:t>
      </w:r>
      <w:r w:rsidRPr="00E53A50">
        <w:rPr>
          <w:rFonts w:cstheme="minorHAnsi"/>
          <w:i/>
          <w:iCs/>
          <w:sz w:val="20"/>
          <w:szCs w:val="20"/>
          <w:lang w:val="en-US"/>
        </w:rPr>
        <w:t>'file_size_gb'</w:t>
      </w:r>
      <w:r w:rsidR="00AE29A6" w:rsidRPr="00E53A50">
        <w:rPr>
          <w:rFonts w:cstheme="minorHAnsi"/>
          <w:sz w:val="20"/>
          <w:szCs w:val="20"/>
          <w:lang w:val="en-US"/>
        </w:rPr>
        <w:t xml:space="preserve"> which gives the total submitted file sizes in GB</w:t>
      </w:r>
      <w:r w:rsidRPr="00E53A50">
        <w:rPr>
          <w:rFonts w:cstheme="minorHAnsi"/>
          <w:sz w:val="20"/>
          <w:szCs w:val="20"/>
          <w:lang w:val="en-US"/>
        </w:rPr>
        <w:t xml:space="preserve">. </w:t>
      </w:r>
      <w:r w:rsidR="0033043B" w:rsidRPr="00E53A50">
        <w:rPr>
          <w:rFonts w:cstheme="minorHAnsi"/>
          <w:sz w:val="20"/>
          <w:szCs w:val="20"/>
          <w:lang w:val="en-US"/>
        </w:rPr>
        <w:t>A direct visualization of how the numbers of records and submitted file sizes are shown in Fig. 1. In the plot, we simply perform a</w:t>
      </w:r>
      <w:r w:rsidR="00FF6A85" w:rsidRPr="00E53A50">
        <w:rPr>
          <w:rFonts w:cstheme="minorHAnsi"/>
          <w:sz w:val="20"/>
          <w:szCs w:val="20"/>
          <w:lang w:val="en-US"/>
        </w:rPr>
        <w:t>n</w:t>
      </w:r>
      <w:r w:rsidR="0033043B" w:rsidRPr="00E53A50">
        <w:rPr>
          <w:rFonts w:cstheme="minorHAnsi"/>
          <w:sz w:val="20"/>
          <w:szCs w:val="20"/>
          <w:lang w:val="en-US"/>
        </w:rPr>
        <w:t xml:space="preserve"> inspection on the data and are able to identify </w:t>
      </w:r>
      <w:r w:rsidR="00FF6A85" w:rsidRPr="00E53A50">
        <w:rPr>
          <w:rFonts w:cstheme="minorHAnsi"/>
          <w:sz w:val="20"/>
          <w:szCs w:val="20"/>
          <w:lang w:val="en-US"/>
        </w:rPr>
        <w:t xml:space="preserve">a few </w:t>
      </w:r>
      <w:r w:rsidR="0033043B" w:rsidRPr="00E53A50">
        <w:rPr>
          <w:rFonts w:cstheme="minorHAnsi"/>
          <w:sz w:val="20"/>
          <w:szCs w:val="20"/>
          <w:lang w:val="en-US"/>
        </w:rPr>
        <w:t xml:space="preserve">possible anomalies, which </w:t>
      </w:r>
      <w:r w:rsidR="00AF2916" w:rsidRPr="00E53A50">
        <w:rPr>
          <w:rFonts w:cstheme="minorHAnsi"/>
          <w:sz w:val="20"/>
          <w:szCs w:val="20"/>
          <w:lang w:val="en-US"/>
        </w:rPr>
        <w:t>are likely to be</w:t>
      </w:r>
      <w:r w:rsidR="0033043B" w:rsidRPr="00E53A50">
        <w:rPr>
          <w:rFonts w:cstheme="minorHAnsi"/>
          <w:sz w:val="20"/>
          <w:szCs w:val="20"/>
          <w:lang w:val="en-US"/>
        </w:rPr>
        <w:t xml:space="preserve"> a faulty record or incident trigger.</w:t>
      </w:r>
      <w:r w:rsidR="00AF2916" w:rsidRPr="00E53A50">
        <w:rPr>
          <w:rFonts w:cstheme="minorHAnsi"/>
          <w:sz w:val="20"/>
          <w:szCs w:val="20"/>
          <w:lang w:val="en-US"/>
        </w:rPr>
        <w:t xml:space="preserve"> Based on the plot</w:t>
      </w:r>
      <w:r w:rsidR="00FF6A85" w:rsidRPr="00E53A50">
        <w:rPr>
          <w:rFonts w:cstheme="minorHAnsi"/>
          <w:sz w:val="20"/>
          <w:szCs w:val="20"/>
          <w:lang w:val="en-US"/>
        </w:rPr>
        <w:t xml:space="preserve"> of </w:t>
      </w:r>
      <w:r w:rsidR="00FF6A85" w:rsidRPr="00E53A50">
        <w:rPr>
          <w:rFonts w:cstheme="minorHAnsi"/>
          <w:i/>
          <w:iCs/>
          <w:sz w:val="20"/>
          <w:szCs w:val="20"/>
          <w:lang w:val="en-US"/>
        </w:rPr>
        <w:t>'records'</w:t>
      </w:r>
      <w:r w:rsidR="00AF2916" w:rsidRPr="00E53A50">
        <w:rPr>
          <w:rFonts w:cstheme="minorHAnsi"/>
          <w:sz w:val="20"/>
          <w:szCs w:val="20"/>
          <w:lang w:val="en-US"/>
        </w:rPr>
        <w:t>, we see t</w:t>
      </w:r>
      <w:r w:rsidR="00FF6A85" w:rsidRPr="00E53A50">
        <w:rPr>
          <w:rFonts w:cstheme="minorHAnsi"/>
          <w:sz w:val="20"/>
          <w:szCs w:val="20"/>
          <w:lang w:val="en-US"/>
        </w:rPr>
        <w:t xml:space="preserve">he record value at 2021-04 is abnormally high comparing the its adjacent values and any other in the series, hence it is likely to be a mistake. Similarly, the record values at 2020-07 and 2022-06 are also relatively high but not significantly so. Their corresponding data of the same timestamps in the </w:t>
      </w:r>
      <w:r w:rsidR="00FF6A85" w:rsidRPr="00E53A50">
        <w:rPr>
          <w:rFonts w:cstheme="minorHAnsi"/>
          <w:i/>
          <w:iCs/>
          <w:sz w:val="20"/>
          <w:szCs w:val="20"/>
          <w:lang w:val="en-US"/>
        </w:rPr>
        <w:t>'file_size_gb'</w:t>
      </w:r>
      <w:r w:rsidR="00FF6A85" w:rsidRPr="00E53A50">
        <w:rPr>
          <w:rFonts w:cstheme="minorHAnsi"/>
          <w:sz w:val="20"/>
          <w:szCs w:val="20"/>
          <w:lang w:val="en-US"/>
        </w:rPr>
        <w:t xml:space="preserve"> plot also seem to peak, which indicates the anomalies might also be triggered by incident interventions. These can be further justified by a </w:t>
      </w:r>
      <w:r w:rsidR="004D505E" w:rsidRPr="00E53A50">
        <w:rPr>
          <w:rFonts w:cstheme="minorHAnsi"/>
          <w:sz w:val="20"/>
          <w:szCs w:val="20"/>
          <w:lang w:val="en-US"/>
        </w:rPr>
        <w:t>boxplot outlier detection method.</w:t>
      </w:r>
      <w:r w:rsidR="008027D4" w:rsidRPr="00E53A50">
        <w:rPr>
          <w:rFonts w:cstheme="minorHAnsi"/>
          <w:sz w:val="20"/>
          <w:szCs w:val="20"/>
          <w:lang w:val="en-US"/>
        </w:rPr>
        <w:t xml:space="preserve"> </w:t>
      </w:r>
    </w:p>
    <w:p w14:paraId="2560F6BA" w14:textId="77777777" w:rsidR="00417816" w:rsidRDefault="00545541" w:rsidP="00E53A50">
      <w:pPr>
        <w:jc w:val="both"/>
        <w:rPr>
          <w:rFonts w:cstheme="minorHAnsi"/>
          <w:sz w:val="20"/>
          <w:szCs w:val="20"/>
          <w:lang w:val="en-US"/>
        </w:rPr>
      </w:pPr>
      <w:r w:rsidRPr="00E53A50">
        <w:rPr>
          <w:rFonts w:cstheme="minorHAnsi"/>
          <w:sz w:val="20"/>
          <w:szCs w:val="20"/>
          <w:lang w:val="en-US"/>
        </w:rPr>
        <w:t xml:space="preserve">A boxplot is used to identify outliers by displaying data distribution by defining five quantities of the data, i.e., the median, the lower quantile (Q1), the upper quantile (Q3), minimum and maximum. InterQuartile Range (IQR) is defined as the range between the lower quantile and the upper quantile. The full range is further defined as minimum-maximum based on the IQR. An observation is considered a suspected outlier or potential outlier if out of IQR1.5 range ( </w:t>
      </w:r>
      <m:oMath>
        <m:r>
          <w:rPr>
            <w:rFonts w:ascii="Cambria Math" w:hAnsi="Cambria Math" w:cstheme="minorHAnsi"/>
            <w:sz w:val="20"/>
            <w:szCs w:val="20"/>
            <w:lang w:val="en-US"/>
          </w:rPr>
          <m:t>IQR1.5 = [Q1-1.5*IQR,Q3+1.5*IQR]</m:t>
        </m:r>
      </m:oMath>
      <w:r w:rsidRPr="00E53A50">
        <w:rPr>
          <w:rFonts w:cstheme="minorHAnsi"/>
          <w:sz w:val="20"/>
          <w:szCs w:val="20"/>
          <w:lang w:val="en-US"/>
        </w:rPr>
        <w:t xml:space="preserve"> ); whilst any observation is considered a very-likely outlier if out of IQR3 range ( </w:t>
      </w:r>
      <m:oMath>
        <m:r>
          <w:rPr>
            <w:rFonts w:ascii="Cambria Math" w:hAnsi="Cambria Math" w:cstheme="minorHAnsi"/>
            <w:sz w:val="20"/>
            <w:szCs w:val="20"/>
            <w:lang w:val="en-US"/>
          </w:rPr>
          <m:t>IQR3 = [Q1-3*IQR,Q3+3*IQR]</m:t>
        </m:r>
      </m:oMath>
      <w:r w:rsidRPr="00E53A50">
        <w:rPr>
          <w:rFonts w:cstheme="minorHAnsi"/>
          <w:sz w:val="20"/>
          <w:szCs w:val="20"/>
          <w:lang w:val="en-US"/>
        </w:rPr>
        <w:t xml:space="preserve"> ). The boxplot for the given dataset is illustrated in Fig. 2.1 and Fig. 2.2, where the IQR are set to 1.5 and 3, respectively.</w:t>
      </w:r>
      <w:r w:rsidR="005E7098" w:rsidRPr="00E53A50">
        <w:rPr>
          <w:rFonts w:cstheme="minorHAnsi"/>
          <w:sz w:val="20"/>
          <w:szCs w:val="20"/>
          <w:lang w:val="en-US"/>
        </w:rPr>
        <w:t xml:space="preserve"> The suspect outliers are listed in Table 1.</w:t>
      </w:r>
      <w:r w:rsidR="00E53A50">
        <w:rPr>
          <w:rFonts w:cstheme="minorHAnsi"/>
          <w:sz w:val="20"/>
          <w:szCs w:val="20"/>
          <w:lang w:val="en-US"/>
        </w:rPr>
        <w:t xml:space="preserve"> </w:t>
      </w:r>
    </w:p>
    <w:p w14:paraId="18EC78ED" w14:textId="13E60D26" w:rsidR="00545541" w:rsidRPr="00417816" w:rsidRDefault="00E53A50" w:rsidP="004542A8">
      <w:pPr>
        <w:jc w:val="both"/>
        <w:rPr>
          <w:sz w:val="20"/>
          <w:szCs w:val="20"/>
          <w:lang w:val="en-US"/>
        </w:rPr>
      </w:pPr>
      <w:r w:rsidRPr="00E53A50">
        <w:rPr>
          <w:sz w:val="20"/>
          <w:szCs w:val="20"/>
          <w:lang w:val="en-US"/>
        </w:rPr>
        <w:t xml:space="preserve">From Fig. 2.1, Fig. 2.2 and Table 1, it can be observed that, with IQR1.5 criteria, two anomalies are identified as </w:t>
      </w:r>
      <w:r w:rsidRPr="00E53A50">
        <w:rPr>
          <w:i/>
          <w:iCs/>
          <w:sz w:val="20"/>
          <w:szCs w:val="20"/>
          <w:lang w:val="en-US"/>
        </w:rPr>
        <w:t xml:space="preserve">‘Records’ </w:t>
      </w:r>
      <w:r w:rsidRPr="00E53A50">
        <w:rPr>
          <w:sz w:val="20"/>
          <w:szCs w:val="20"/>
          <w:lang w:val="en-US"/>
        </w:rPr>
        <w:t xml:space="preserve">values in 2021-04 and 2022-06. However with IQR3 criteria, only the 2021-04 anomaly is identified and indicates a strong outlying behavior comparing to the rest, despite there also seems to be an incident trigger. A separate DBACAN clustering detector has also been tested to only show that the 2021-04 </w:t>
      </w:r>
      <w:r w:rsidRPr="00E53A50">
        <w:rPr>
          <w:i/>
          <w:iCs/>
          <w:sz w:val="20"/>
          <w:szCs w:val="20"/>
          <w:lang w:val="en-US"/>
        </w:rPr>
        <w:t>‘Records’</w:t>
      </w:r>
      <w:r w:rsidRPr="00E53A50">
        <w:rPr>
          <w:sz w:val="20"/>
          <w:szCs w:val="20"/>
          <w:lang w:val="en-US"/>
        </w:rPr>
        <w:t xml:space="preserve"> is the only anomaly. Nonetheless, we will only regard 2021-04 as an anomaly and amend its </w:t>
      </w:r>
      <w:r w:rsidRPr="00E53A50">
        <w:rPr>
          <w:i/>
          <w:iCs/>
          <w:sz w:val="20"/>
          <w:szCs w:val="20"/>
          <w:lang w:val="en-US"/>
        </w:rPr>
        <w:t xml:space="preserve">‘Records’ </w:t>
      </w:r>
      <w:r w:rsidRPr="00E53A50">
        <w:rPr>
          <w:sz w:val="20"/>
          <w:szCs w:val="20"/>
          <w:lang w:val="en-US"/>
        </w:rPr>
        <w:t xml:space="preserve">using an interpolation method. In order to amend the anomaly, the corresponding value is first removed; then a simple interpolation method can be used to make a reasonable prediction. Here a polynomial interpolation with high order is used for its nonlinear characteristic to fill a missing value from its adjacent values. The amended data without anomaly is shown in Fig. 3. As can be seen the </w:t>
      </w:r>
      <w:r w:rsidRPr="00E53A50">
        <w:rPr>
          <w:i/>
          <w:iCs/>
          <w:sz w:val="20"/>
          <w:szCs w:val="20"/>
          <w:lang w:val="en-US"/>
        </w:rPr>
        <w:t>‘Records’</w:t>
      </w:r>
      <w:r w:rsidRPr="00E53A50">
        <w:rPr>
          <w:sz w:val="20"/>
          <w:szCs w:val="20"/>
          <w:lang w:val="en-US"/>
        </w:rPr>
        <w:t xml:space="preserve"> data at 2021-04 has been adjusted to a reasonable level.</w:t>
      </w:r>
    </w:p>
    <w:p w14:paraId="36DA95D1" w14:textId="5F093CD3" w:rsidR="000E3756" w:rsidRPr="00E53A50" w:rsidRDefault="00FF6A85" w:rsidP="00F92109">
      <w:pPr>
        <w:jc w:val="both"/>
        <w:rPr>
          <w:sz w:val="20"/>
          <w:szCs w:val="20"/>
          <w:lang w:val="en-US"/>
        </w:rPr>
      </w:pPr>
      <w:r w:rsidRPr="00E53A50">
        <w:rPr>
          <w:noProof/>
          <w:sz w:val="20"/>
          <w:szCs w:val="20"/>
          <w:lang w:val="en-US"/>
        </w:rPr>
        <w:lastRenderedPageBreak/>
        <w:drawing>
          <wp:inline distT="0" distB="0" distL="0" distR="0" wp14:anchorId="59985210" wp14:editId="11A0DE69">
            <wp:extent cx="5731510" cy="2999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0E002833" w14:textId="5E264A55" w:rsidR="0033043B" w:rsidRPr="00E53A50" w:rsidRDefault="0033043B" w:rsidP="0033043B">
      <w:pPr>
        <w:jc w:val="center"/>
        <w:rPr>
          <w:sz w:val="20"/>
          <w:szCs w:val="20"/>
          <w:lang w:val="en-US"/>
        </w:rPr>
      </w:pPr>
      <w:r w:rsidRPr="00E53A50">
        <w:rPr>
          <w:sz w:val="20"/>
          <w:szCs w:val="20"/>
          <w:lang w:val="en-US"/>
        </w:rPr>
        <w:t xml:space="preserve">Fig. 1. </w:t>
      </w:r>
      <w:r w:rsidR="00017838" w:rsidRPr="00E53A50">
        <w:rPr>
          <w:sz w:val="20"/>
          <w:szCs w:val="20"/>
          <w:lang w:val="en-US"/>
        </w:rPr>
        <w:t xml:space="preserve">Number of records and total file sizes </w:t>
      </w:r>
      <w:r w:rsidR="00CF6015" w:rsidRPr="00E53A50">
        <w:rPr>
          <w:sz w:val="20"/>
          <w:szCs w:val="20"/>
          <w:lang w:val="en-US"/>
        </w:rPr>
        <w:t xml:space="preserve">by month </w:t>
      </w:r>
      <w:r w:rsidR="00017838" w:rsidRPr="00E53A50">
        <w:rPr>
          <w:sz w:val="20"/>
          <w:szCs w:val="20"/>
          <w:lang w:val="en-US"/>
        </w:rPr>
        <w:t>from 2012-2022 with identified possible anomalies</w:t>
      </w:r>
    </w:p>
    <w:p w14:paraId="7DFE8A19" w14:textId="2904DE84" w:rsidR="004D505E" w:rsidRPr="00E53A50" w:rsidRDefault="004D505E" w:rsidP="004D505E">
      <w:pPr>
        <w:jc w:val="both"/>
        <w:rPr>
          <w:sz w:val="20"/>
          <w:szCs w:val="20"/>
          <w:lang w:val="en-US"/>
        </w:rPr>
      </w:pPr>
    </w:p>
    <w:p w14:paraId="4BAB9D23" w14:textId="11B81605" w:rsidR="0006648F" w:rsidRPr="00E53A50" w:rsidRDefault="0006648F" w:rsidP="004D505E">
      <w:pPr>
        <w:jc w:val="both"/>
        <w:rPr>
          <w:sz w:val="20"/>
          <w:szCs w:val="20"/>
          <w:lang w:val="en-US"/>
        </w:rPr>
      </w:pPr>
      <w:r w:rsidRPr="00E53A50">
        <w:rPr>
          <w:noProof/>
          <w:sz w:val="20"/>
          <w:szCs w:val="20"/>
          <w:lang w:val="en-US"/>
        </w:rPr>
        <w:drawing>
          <wp:inline distT="0" distB="0" distL="0" distR="0" wp14:anchorId="5ED1EC41" wp14:editId="1D5D545A">
            <wp:extent cx="5731510" cy="2170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70430"/>
                    </a:xfrm>
                    <a:prstGeom prst="rect">
                      <a:avLst/>
                    </a:prstGeom>
                    <a:noFill/>
                    <a:ln>
                      <a:noFill/>
                    </a:ln>
                  </pic:spPr>
                </pic:pic>
              </a:graphicData>
            </a:graphic>
          </wp:inline>
        </w:drawing>
      </w:r>
    </w:p>
    <w:p w14:paraId="5E316A2C" w14:textId="5D1E9425" w:rsidR="0006648F" w:rsidRPr="00E53A50" w:rsidRDefault="0006648F" w:rsidP="0006648F">
      <w:pPr>
        <w:jc w:val="center"/>
        <w:rPr>
          <w:sz w:val="20"/>
          <w:szCs w:val="20"/>
          <w:lang w:val="en-US"/>
        </w:rPr>
      </w:pPr>
      <w:r w:rsidRPr="00E53A50">
        <w:rPr>
          <w:sz w:val="20"/>
          <w:szCs w:val="20"/>
          <w:lang w:val="en-US"/>
        </w:rPr>
        <w:t>Fig. 2.1. Boxplot for outlier identification with IQR = 1.5</w:t>
      </w:r>
    </w:p>
    <w:p w14:paraId="5938121C" w14:textId="31F629BA" w:rsidR="00EF6C8C" w:rsidRPr="00E53A50" w:rsidRDefault="00EF6C8C" w:rsidP="004D505E">
      <w:pPr>
        <w:jc w:val="both"/>
        <w:rPr>
          <w:sz w:val="20"/>
          <w:szCs w:val="20"/>
          <w:lang w:val="en-US"/>
        </w:rPr>
      </w:pPr>
      <w:r w:rsidRPr="00E53A50">
        <w:rPr>
          <w:noProof/>
          <w:sz w:val="20"/>
          <w:szCs w:val="20"/>
          <w:lang w:val="en-US"/>
        </w:rPr>
        <w:drawing>
          <wp:inline distT="0" distB="0" distL="0" distR="0" wp14:anchorId="4259F52F" wp14:editId="550333EE">
            <wp:extent cx="5731510" cy="21704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70430"/>
                    </a:xfrm>
                    <a:prstGeom prst="rect">
                      <a:avLst/>
                    </a:prstGeom>
                    <a:noFill/>
                    <a:ln>
                      <a:noFill/>
                    </a:ln>
                  </pic:spPr>
                </pic:pic>
              </a:graphicData>
            </a:graphic>
          </wp:inline>
        </w:drawing>
      </w:r>
    </w:p>
    <w:p w14:paraId="03ADD402" w14:textId="78CE188E" w:rsidR="003F7D07" w:rsidRPr="00E53A50" w:rsidRDefault="00EF6C8C" w:rsidP="0006648F">
      <w:pPr>
        <w:jc w:val="center"/>
        <w:rPr>
          <w:sz w:val="20"/>
          <w:szCs w:val="20"/>
          <w:lang w:val="en-US"/>
        </w:rPr>
      </w:pPr>
      <w:r w:rsidRPr="00E53A50">
        <w:rPr>
          <w:sz w:val="20"/>
          <w:szCs w:val="20"/>
          <w:lang w:val="en-US"/>
        </w:rPr>
        <w:t>Fig. 2</w:t>
      </w:r>
      <w:r w:rsidR="0006648F" w:rsidRPr="00E53A50">
        <w:rPr>
          <w:sz w:val="20"/>
          <w:szCs w:val="20"/>
          <w:lang w:val="en-US"/>
        </w:rPr>
        <w:t>.2</w:t>
      </w:r>
      <w:r w:rsidRPr="00E53A50">
        <w:rPr>
          <w:sz w:val="20"/>
          <w:szCs w:val="20"/>
          <w:lang w:val="en-US"/>
        </w:rPr>
        <w:t>. Boxplot for outlier identification</w:t>
      </w:r>
      <w:r w:rsidR="0006648F" w:rsidRPr="00E53A50">
        <w:rPr>
          <w:sz w:val="20"/>
          <w:szCs w:val="20"/>
          <w:lang w:val="en-US"/>
        </w:rPr>
        <w:t xml:space="preserve"> with IQR = 3</w:t>
      </w:r>
    </w:p>
    <w:p w14:paraId="159105EF" w14:textId="560D6AF2" w:rsidR="005E7098" w:rsidRPr="00E53A50" w:rsidRDefault="005E7098" w:rsidP="0006648F">
      <w:pPr>
        <w:jc w:val="center"/>
        <w:rPr>
          <w:sz w:val="20"/>
          <w:szCs w:val="20"/>
          <w:lang w:val="en-US"/>
        </w:rPr>
      </w:pPr>
      <w:r w:rsidRPr="00E53A50">
        <w:rPr>
          <w:sz w:val="20"/>
          <w:szCs w:val="20"/>
          <w:lang w:val="en-US"/>
        </w:rPr>
        <w:lastRenderedPageBreak/>
        <w:t xml:space="preserve">Table </w:t>
      </w:r>
      <w:r w:rsidR="000E7D7E" w:rsidRPr="00E53A50">
        <w:rPr>
          <w:sz w:val="20"/>
          <w:szCs w:val="20"/>
          <w:lang w:val="en-US"/>
        </w:rPr>
        <w:t>1</w:t>
      </w:r>
      <w:r w:rsidR="00073419" w:rsidRPr="00E53A50">
        <w:rPr>
          <w:sz w:val="20"/>
          <w:szCs w:val="20"/>
          <w:lang w:val="en-US"/>
        </w:rPr>
        <w:t xml:space="preserve"> Boxplot result </w:t>
      </w:r>
      <w:r w:rsidR="00460065" w:rsidRPr="00E53A50">
        <w:rPr>
          <w:sz w:val="20"/>
          <w:szCs w:val="20"/>
          <w:lang w:val="en-US"/>
        </w:rPr>
        <w:t>parameters</w:t>
      </w:r>
    </w:p>
    <w:tbl>
      <w:tblPr>
        <w:tblStyle w:val="TableGrid"/>
        <w:tblW w:w="9081" w:type="dxa"/>
        <w:tblInd w:w="-5" w:type="dxa"/>
        <w:tblLook w:val="04A0" w:firstRow="1" w:lastRow="0" w:firstColumn="1" w:lastColumn="0" w:noHBand="0" w:noVBand="1"/>
      </w:tblPr>
      <w:tblGrid>
        <w:gridCol w:w="1939"/>
        <w:gridCol w:w="2001"/>
        <w:gridCol w:w="1858"/>
        <w:gridCol w:w="1641"/>
        <w:gridCol w:w="1642"/>
      </w:tblGrid>
      <w:tr w:rsidR="008250BA" w:rsidRPr="00E53A50" w14:paraId="05D843F0" w14:textId="77777777" w:rsidTr="00073419">
        <w:trPr>
          <w:trHeight w:val="381"/>
        </w:trPr>
        <w:tc>
          <w:tcPr>
            <w:tcW w:w="1939" w:type="dxa"/>
          </w:tcPr>
          <w:p w14:paraId="1AC7A8A6" w14:textId="77777777" w:rsidR="008250BA" w:rsidRPr="00E53A50" w:rsidRDefault="008250BA" w:rsidP="008250BA">
            <w:pPr>
              <w:jc w:val="center"/>
              <w:rPr>
                <w:sz w:val="20"/>
                <w:szCs w:val="20"/>
                <w:lang w:val="en-US"/>
              </w:rPr>
            </w:pPr>
          </w:p>
        </w:tc>
        <w:tc>
          <w:tcPr>
            <w:tcW w:w="3859" w:type="dxa"/>
            <w:gridSpan w:val="2"/>
          </w:tcPr>
          <w:p w14:paraId="55C0C789" w14:textId="72FF3676" w:rsidR="008250BA" w:rsidRPr="00E53A50" w:rsidRDefault="008250BA" w:rsidP="008250BA">
            <w:pPr>
              <w:jc w:val="center"/>
              <w:rPr>
                <w:i/>
                <w:iCs/>
                <w:sz w:val="20"/>
                <w:szCs w:val="20"/>
                <w:lang w:val="en-US"/>
              </w:rPr>
            </w:pPr>
            <w:r w:rsidRPr="00E53A50">
              <w:rPr>
                <w:i/>
                <w:iCs/>
                <w:sz w:val="20"/>
                <w:szCs w:val="20"/>
                <w:lang w:val="en-US"/>
              </w:rPr>
              <w:t>‘Records’</w:t>
            </w:r>
          </w:p>
        </w:tc>
        <w:tc>
          <w:tcPr>
            <w:tcW w:w="3283" w:type="dxa"/>
            <w:gridSpan w:val="2"/>
          </w:tcPr>
          <w:p w14:paraId="0E950472" w14:textId="5D8365BF" w:rsidR="008250BA" w:rsidRPr="00E53A50" w:rsidRDefault="008250BA" w:rsidP="008250BA">
            <w:pPr>
              <w:jc w:val="center"/>
              <w:rPr>
                <w:sz w:val="20"/>
                <w:szCs w:val="20"/>
                <w:lang w:val="en-US"/>
              </w:rPr>
            </w:pPr>
            <w:r w:rsidRPr="00E53A50">
              <w:rPr>
                <w:rFonts w:cstheme="minorHAnsi"/>
                <w:i/>
                <w:iCs/>
                <w:sz w:val="20"/>
                <w:szCs w:val="20"/>
                <w:lang w:val="en-US"/>
              </w:rPr>
              <w:t>'file_size_gb'</w:t>
            </w:r>
          </w:p>
        </w:tc>
      </w:tr>
      <w:tr w:rsidR="008250BA" w:rsidRPr="00E53A50" w14:paraId="24CFFE7E" w14:textId="0B608A39" w:rsidTr="00073419">
        <w:trPr>
          <w:trHeight w:val="381"/>
        </w:trPr>
        <w:tc>
          <w:tcPr>
            <w:tcW w:w="1939" w:type="dxa"/>
          </w:tcPr>
          <w:p w14:paraId="65514940" w14:textId="77777777" w:rsidR="008250BA" w:rsidRPr="00E53A50" w:rsidRDefault="008250BA" w:rsidP="008250BA">
            <w:pPr>
              <w:jc w:val="center"/>
              <w:rPr>
                <w:sz w:val="20"/>
                <w:szCs w:val="20"/>
                <w:lang w:val="en-US"/>
              </w:rPr>
            </w:pPr>
          </w:p>
        </w:tc>
        <w:tc>
          <w:tcPr>
            <w:tcW w:w="2001" w:type="dxa"/>
          </w:tcPr>
          <w:p w14:paraId="5194A7DA" w14:textId="6FB1C86A" w:rsidR="008250BA" w:rsidRPr="00E53A50" w:rsidRDefault="008250BA" w:rsidP="008250BA">
            <w:pPr>
              <w:jc w:val="center"/>
              <w:rPr>
                <w:sz w:val="20"/>
                <w:szCs w:val="20"/>
                <w:lang w:val="en-US"/>
              </w:rPr>
            </w:pPr>
            <w:r w:rsidRPr="00E53A50">
              <w:rPr>
                <w:sz w:val="20"/>
                <w:szCs w:val="20"/>
                <w:lang w:val="en-US"/>
              </w:rPr>
              <w:t>IQR1.5</w:t>
            </w:r>
          </w:p>
        </w:tc>
        <w:tc>
          <w:tcPr>
            <w:tcW w:w="1858" w:type="dxa"/>
          </w:tcPr>
          <w:p w14:paraId="4EF84085" w14:textId="4EF8E4CB" w:rsidR="008250BA" w:rsidRPr="00E53A50" w:rsidRDefault="008250BA" w:rsidP="008250BA">
            <w:pPr>
              <w:jc w:val="center"/>
              <w:rPr>
                <w:sz w:val="20"/>
                <w:szCs w:val="20"/>
                <w:lang w:val="en-US"/>
              </w:rPr>
            </w:pPr>
            <w:r w:rsidRPr="00E53A50">
              <w:rPr>
                <w:sz w:val="20"/>
                <w:szCs w:val="20"/>
                <w:lang w:val="en-US"/>
              </w:rPr>
              <w:t>IQR3</w:t>
            </w:r>
          </w:p>
        </w:tc>
        <w:tc>
          <w:tcPr>
            <w:tcW w:w="1641" w:type="dxa"/>
          </w:tcPr>
          <w:p w14:paraId="13D89D5B" w14:textId="5DF290B5" w:rsidR="008250BA" w:rsidRPr="00E53A50" w:rsidRDefault="008250BA" w:rsidP="008250BA">
            <w:pPr>
              <w:jc w:val="center"/>
              <w:rPr>
                <w:sz w:val="20"/>
                <w:szCs w:val="20"/>
                <w:lang w:val="en-US"/>
              </w:rPr>
            </w:pPr>
            <w:r w:rsidRPr="00E53A50">
              <w:rPr>
                <w:sz w:val="20"/>
                <w:szCs w:val="20"/>
                <w:lang w:val="en-US"/>
              </w:rPr>
              <w:t>IQR1.5</w:t>
            </w:r>
          </w:p>
        </w:tc>
        <w:tc>
          <w:tcPr>
            <w:tcW w:w="1642" w:type="dxa"/>
          </w:tcPr>
          <w:p w14:paraId="11A35B17" w14:textId="3D6E3070" w:rsidR="008250BA" w:rsidRPr="00E53A50" w:rsidRDefault="008250BA" w:rsidP="008250BA">
            <w:pPr>
              <w:jc w:val="center"/>
              <w:rPr>
                <w:sz w:val="20"/>
                <w:szCs w:val="20"/>
                <w:lang w:val="en-US"/>
              </w:rPr>
            </w:pPr>
            <w:r w:rsidRPr="00E53A50">
              <w:rPr>
                <w:sz w:val="20"/>
                <w:szCs w:val="20"/>
                <w:lang w:val="en-US"/>
              </w:rPr>
              <w:t>IQR3</w:t>
            </w:r>
          </w:p>
        </w:tc>
      </w:tr>
      <w:tr w:rsidR="00BC0A4A" w:rsidRPr="00E53A50" w14:paraId="067CC0C7" w14:textId="77777777" w:rsidTr="00073419">
        <w:trPr>
          <w:trHeight w:val="381"/>
        </w:trPr>
        <w:tc>
          <w:tcPr>
            <w:tcW w:w="1939" w:type="dxa"/>
          </w:tcPr>
          <w:p w14:paraId="46ADB9E9" w14:textId="5D4A06E2" w:rsidR="00BC0A4A" w:rsidRPr="00E53A50" w:rsidRDefault="00BC0A4A" w:rsidP="008250BA">
            <w:pPr>
              <w:jc w:val="center"/>
              <w:rPr>
                <w:sz w:val="20"/>
                <w:szCs w:val="20"/>
                <w:lang w:val="en-US"/>
              </w:rPr>
            </w:pPr>
            <w:r w:rsidRPr="00E53A50">
              <w:rPr>
                <w:sz w:val="20"/>
                <w:szCs w:val="20"/>
                <w:lang w:val="en-US"/>
              </w:rPr>
              <w:t>IQR</w:t>
            </w:r>
          </w:p>
        </w:tc>
        <w:tc>
          <w:tcPr>
            <w:tcW w:w="3859" w:type="dxa"/>
            <w:gridSpan w:val="2"/>
          </w:tcPr>
          <w:p w14:paraId="5A8CB035" w14:textId="32D22E09" w:rsidR="00BC0A4A" w:rsidRPr="00E53A50" w:rsidRDefault="00BC0A4A" w:rsidP="00BC0A4A">
            <w:pPr>
              <w:jc w:val="center"/>
              <w:rPr>
                <w:sz w:val="20"/>
                <w:szCs w:val="20"/>
                <w:lang w:val="en-US"/>
              </w:rPr>
            </w:pPr>
            <w:r w:rsidRPr="00E53A50">
              <w:rPr>
                <w:sz w:val="20"/>
                <w:szCs w:val="20"/>
                <w:lang w:val="en-US"/>
              </w:rPr>
              <w:t>64430061.25</w:t>
            </w:r>
          </w:p>
        </w:tc>
        <w:tc>
          <w:tcPr>
            <w:tcW w:w="3283" w:type="dxa"/>
            <w:gridSpan w:val="2"/>
          </w:tcPr>
          <w:p w14:paraId="509BDD11" w14:textId="4CB5D3CA" w:rsidR="00BC0A4A" w:rsidRPr="00E53A50" w:rsidRDefault="00BC0A4A" w:rsidP="00BC0A4A">
            <w:pPr>
              <w:jc w:val="center"/>
              <w:rPr>
                <w:sz w:val="20"/>
                <w:szCs w:val="20"/>
                <w:lang w:val="en-US"/>
              </w:rPr>
            </w:pPr>
            <w:r w:rsidRPr="00E53A50">
              <w:rPr>
                <w:sz w:val="20"/>
                <w:szCs w:val="20"/>
                <w:lang w:val="en-US"/>
              </w:rPr>
              <w:t>96646.38</w:t>
            </w:r>
          </w:p>
        </w:tc>
      </w:tr>
      <w:tr w:rsidR="00BC0A4A" w:rsidRPr="00E53A50" w14:paraId="04203A3A" w14:textId="42EA458A" w:rsidTr="00073419">
        <w:trPr>
          <w:trHeight w:val="381"/>
        </w:trPr>
        <w:tc>
          <w:tcPr>
            <w:tcW w:w="1939" w:type="dxa"/>
          </w:tcPr>
          <w:p w14:paraId="09C206F1" w14:textId="3E510E59" w:rsidR="00BC0A4A" w:rsidRPr="00E53A50" w:rsidRDefault="00BC0A4A" w:rsidP="008250BA">
            <w:pPr>
              <w:jc w:val="center"/>
              <w:rPr>
                <w:sz w:val="20"/>
                <w:szCs w:val="20"/>
                <w:lang w:val="en-US"/>
              </w:rPr>
            </w:pPr>
            <w:r w:rsidRPr="00E53A50">
              <w:rPr>
                <w:sz w:val="20"/>
                <w:szCs w:val="20"/>
                <w:lang w:val="en-US"/>
              </w:rPr>
              <w:t>Lower quantile</w:t>
            </w:r>
          </w:p>
        </w:tc>
        <w:tc>
          <w:tcPr>
            <w:tcW w:w="3859" w:type="dxa"/>
            <w:gridSpan w:val="2"/>
          </w:tcPr>
          <w:p w14:paraId="1F8D2063" w14:textId="03793E79" w:rsidR="00BC0A4A" w:rsidRPr="00E53A50" w:rsidRDefault="00BC0A4A" w:rsidP="00BC0A4A">
            <w:pPr>
              <w:jc w:val="center"/>
              <w:rPr>
                <w:sz w:val="20"/>
                <w:szCs w:val="20"/>
                <w:lang w:val="en-US"/>
              </w:rPr>
            </w:pPr>
            <w:r w:rsidRPr="00E53A50">
              <w:rPr>
                <w:sz w:val="20"/>
                <w:szCs w:val="20"/>
                <w:lang w:val="en-US"/>
              </w:rPr>
              <w:t>76652594.0</w:t>
            </w:r>
          </w:p>
        </w:tc>
        <w:tc>
          <w:tcPr>
            <w:tcW w:w="3283" w:type="dxa"/>
            <w:gridSpan w:val="2"/>
          </w:tcPr>
          <w:p w14:paraId="307AA436" w14:textId="7580A8D6" w:rsidR="00BC0A4A" w:rsidRPr="00E53A50" w:rsidRDefault="00BC0A4A" w:rsidP="00BC0A4A">
            <w:pPr>
              <w:jc w:val="center"/>
              <w:rPr>
                <w:sz w:val="20"/>
                <w:szCs w:val="20"/>
                <w:lang w:val="en-US"/>
              </w:rPr>
            </w:pPr>
            <w:r w:rsidRPr="00E53A50">
              <w:rPr>
                <w:sz w:val="20"/>
                <w:szCs w:val="20"/>
                <w:lang w:val="en-US"/>
              </w:rPr>
              <w:t>67904.11</w:t>
            </w:r>
          </w:p>
        </w:tc>
      </w:tr>
      <w:tr w:rsidR="00BC0A4A" w:rsidRPr="00E53A50" w14:paraId="6217803A" w14:textId="6BFA86BA" w:rsidTr="00073419">
        <w:trPr>
          <w:trHeight w:val="400"/>
        </w:trPr>
        <w:tc>
          <w:tcPr>
            <w:tcW w:w="1939" w:type="dxa"/>
          </w:tcPr>
          <w:p w14:paraId="2DA721D6" w14:textId="6C717D62" w:rsidR="00BC0A4A" w:rsidRPr="00E53A50" w:rsidRDefault="00BC0A4A" w:rsidP="008250BA">
            <w:pPr>
              <w:jc w:val="center"/>
              <w:rPr>
                <w:sz w:val="20"/>
                <w:szCs w:val="20"/>
                <w:lang w:val="en-US"/>
              </w:rPr>
            </w:pPr>
            <w:r w:rsidRPr="00E53A50">
              <w:rPr>
                <w:sz w:val="20"/>
                <w:szCs w:val="20"/>
                <w:lang w:val="en-US"/>
              </w:rPr>
              <w:t>Upper quantile</w:t>
            </w:r>
          </w:p>
        </w:tc>
        <w:tc>
          <w:tcPr>
            <w:tcW w:w="3859" w:type="dxa"/>
            <w:gridSpan w:val="2"/>
          </w:tcPr>
          <w:p w14:paraId="6F992B1A" w14:textId="0328F08C" w:rsidR="00BC0A4A" w:rsidRPr="00E53A50" w:rsidRDefault="00BC0A4A" w:rsidP="008250BA">
            <w:pPr>
              <w:jc w:val="center"/>
              <w:rPr>
                <w:sz w:val="20"/>
                <w:szCs w:val="20"/>
                <w:lang w:val="en-US"/>
              </w:rPr>
            </w:pPr>
            <w:r w:rsidRPr="00E53A50">
              <w:rPr>
                <w:sz w:val="20"/>
                <w:szCs w:val="20"/>
                <w:lang w:val="en-US"/>
              </w:rPr>
              <w:t>141082655.25</w:t>
            </w:r>
          </w:p>
        </w:tc>
        <w:tc>
          <w:tcPr>
            <w:tcW w:w="3283" w:type="dxa"/>
            <w:gridSpan w:val="2"/>
          </w:tcPr>
          <w:p w14:paraId="050F88FB" w14:textId="65C64F9B" w:rsidR="00BC0A4A" w:rsidRPr="00E53A50" w:rsidRDefault="00BC0A4A" w:rsidP="008250BA">
            <w:pPr>
              <w:jc w:val="center"/>
              <w:rPr>
                <w:sz w:val="20"/>
                <w:szCs w:val="20"/>
                <w:lang w:val="en-US"/>
              </w:rPr>
            </w:pPr>
            <w:r w:rsidRPr="00E53A50">
              <w:rPr>
                <w:sz w:val="20"/>
                <w:szCs w:val="20"/>
                <w:lang w:val="en-US"/>
              </w:rPr>
              <w:t>164550.49</w:t>
            </w:r>
          </w:p>
        </w:tc>
      </w:tr>
      <w:tr w:rsidR="008250BA" w:rsidRPr="00E53A50" w14:paraId="7A8006E0" w14:textId="4006BEF4" w:rsidTr="00073419">
        <w:trPr>
          <w:trHeight w:val="381"/>
        </w:trPr>
        <w:tc>
          <w:tcPr>
            <w:tcW w:w="1939" w:type="dxa"/>
          </w:tcPr>
          <w:p w14:paraId="328D68AA" w14:textId="4843E39B" w:rsidR="008250BA" w:rsidRPr="00E53A50" w:rsidRDefault="008250BA" w:rsidP="008250BA">
            <w:pPr>
              <w:jc w:val="center"/>
              <w:rPr>
                <w:sz w:val="20"/>
                <w:szCs w:val="20"/>
                <w:lang w:val="en-US"/>
              </w:rPr>
            </w:pPr>
            <w:r w:rsidRPr="00E53A50">
              <w:rPr>
                <w:sz w:val="20"/>
                <w:szCs w:val="20"/>
                <w:lang w:val="en-US"/>
              </w:rPr>
              <w:t xml:space="preserve">Minimum range </w:t>
            </w:r>
          </w:p>
        </w:tc>
        <w:tc>
          <w:tcPr>
            <w:tcW w:w="2001" w:type="dxa"/>
          </w:tcPr>
          <w:p w14:paraId="3A9F0D9B" w14:textId="6AE24C99" w:rsidR="008250BA" w:rsidRPr="00E53A50" w:rsidRDefault="00973907" w:rsidP="008250BA">
            <w:pPr>
              <w:jc w:val="center"/>
              <w:rPr>
                <w:sz w:val="20"/>
                <w:szCs w:val="20"/>
                <w:lang w:val="en-US"/>
              </w:rPr>
            </w:pPr>
            <w:r w:rsidRPr="00E53A50">
              <w:rPr>
                <w:sz w:val="20"/>
                <w:szCs w:val="20"/>
                <w:lang w:val="en-US"/>
              </w:rPr>
              <w:t>0</w:t>
            </w:r>
          </w:p>
        </w:tc>
        <w:tc>
          <w:tcPr>
            <w:tcW w:w="1858" w:type="dxa"/>
          </w:tcPr>
          <w:p w14:paraId="02D9D9AA" w14:textId="2CBF4F3F" w:rsidR="008250BA" w:rsidRPr="00E53A50" w:rsidRDefault="00BC0A4A" w:rsidP="008250BA">
            <w:pPr>
              <w:jc w:val="center"/>
              <w:rPr>
                <w:sz w:val="20"/>
                <w:szCs w:val="20"/>
                <w:lang w:val="en-US"/>
              </w:rPr>
            </w:pPr>
            <w:r w:rsidRPr="00E53A50">
              <w:rPr>
                <w:sz w:val="20"/>
                <w:szCs w:val="20"/>
                <w:lang w:val="en-US"/>
              </w:rPr>
              <w:t>0</w:t>
            </w:r>
          </w:p>
        </w:tc>
        <w:tc>
          <w:tcPr>
            <w:tcW w:w="1641" w:type="dxa"/>
          </w:tcPr>
          <w:p w14:paraId="3AF801C7" w14:textId="1B030703" w:rsidR="008250BA" w:rsidRPr="00E53A50" w:rsidRDefault="00BC0A4A" w:rsidP="008250BA">
            <w:pPr>
              <w:jc w:val="center"/>
              <w:rPr>
                <w:sz w:val="20"/>
                <w:szCs w:val="20"/>
                <w:lang w:val="en-US"/>
              </w:rPr>
            </w:pPr>
            <w:r w:rsidRPr="00E53A50">
              <w:rPr>
                <w:sz w:val="20"/>
                <w:szCs w:val="20"/>
                <w:lang w:val="en-US"/>
              </w:rPr>
              <w:t>0</w:t>
            </w:r>
          </w:p>
        </w:tc>
        <w:tc>
          <w:tcPr>
            <w:tcW w:w="1642" w:type="dxa"/>
          </w:tcPr>
          <w:p w14:paraId="5DD87234" w14:textId="425000DF" w:rsidR="008250BA" w:rsidRPr="00E53A50" w:rsidRDefault="00BC0A4A" w:rsidP="008250BA">
            <w:pPr>
              <w:jc w:val="center"/>
              <w:rPr>
                <w:sz w:val="20"/>
                <w:szCs w:val="20"/>
                <w:lang w:val="en-US"/>
              </w:rPr>
            </w:pPr>
            <w:r w:rsidRPr="00E53A50">
              <w:rPr>
                <w:sz w:val="20"/>
                <w:szCs w:val="20"/>
                <w:lang w:val="en-US"/>
              </w:rPr>
              <w:t>0</w:t>
            </w:r>
          </w:p>
        </w:tc>
      </w:tr>
      <w:tr w:rsidR="008250BA" w:rsidRPr="00E53A50" w14:paraId="33D0EB83" w14:textId="53A20D61" w:rsidTr="00073419">
        <w:trPr>
          <w:trHeight w:val="381"/>
        </w:trPr>
        <w:tc>
          <w:tcPr>
            <w:tcW w:w="1939" w:type="dxa"/>
          </w:tcPr>
          <w:p w14:paraId="6F3FB657" w14:textId="2B9D1FCA" w:rsidR="008250BA" w:rsidRPr="00E53A50" w:rsidRDefault="008250BA" w:rsidP="008250BA">
            <w:pPr>
              <w:jc w:val="center"/>
              <w:rPr>
                <w:sz w:val="20"/>
                <w:szCs w:val="20"/>
                <w:lang w:val="en-US"/>
              </w:rPr>
            </w:pPr>
            <w:r w:rsidRPr="00E53A50">
              <w:rPr>
                <w:sz w:val="20"/>
                <w:szCs w:val="20"/>
                <w:lang w:val="en-US"/>
              </w:rPr>
              <w:t>Maximum range</w:t>
            </w:r>
          </w:p>
        </w:tc>
        <w:tc>
          <w:tcPr>
            <w:tcW w:w="2001" w:type="dxa"/>
          </w:tcPr>
          <w:p w14:paraId="1C94C175" w14:textId="633ABE74" w:rsidR="008250BA" w:rsidRPr="00E53A50" w:rsidRDefault="00973907" w:rsidP="008250BA">
            <w:pPr>
              <w:jc w:val="center"/>
              <w:rPr>
                <w:sz w:val="20"/>
                <w:szCs w:val="20"/>
                <w:lang w:val="en-US"/>
              </w:rPr>
            </w:pPr>
            <w:r w:rsidRPr="00E53A50">
              <w:rPr>
                <w:sz w:val="20"/>
                <w:szCs w:val="20"/>
                <w:lang w:val="en-US"/>
              </w:rPr>
              <w:t>237727747.12</w:t>
            </w:r>
          </w:p>
        </w:tc>
        <w:tc>
          <w:tcPr>
            <w:tcW w:w="1858" w:type="dxa"/>
          </w:tcPr>
          <w:p w14:paraId="11CE5649" w14:textId="254A417E" w:rsidR="008250BA" w:rsidRPr="00E53A50" w:rsidRDefault="00BC0A4A" w:rsidP="008250BA">
            <w:pPr>
              <w:jc w:val="center"/>
              <w:rPr>
                <w:sz w:val="20"/>
                <w:szCs w:val="20"/>
                <w:lang w:val="en-US"/>
              </w:rPr>
            </w:pPr>
            <w:r w:rsidRPr="00E53A50">
              <w:rPr>
                <w:sz w:val="20"/>
                <w:szCs w:val="20"/>
                <w:lang w:val="en-US"/>
              </w:rPr>
              <w:t>334372839.0</w:t>
            </w:r>
          </w:p>
        </w:tc>
        <w:tc>
          <w:tcPr>
            <w:tcW w:w="1641" w:type="dxa"/>
          </w:tcPr>
          <w:p w14:paraId="75171D6F" w14:textId="45BAC333" w:rsidR="008250BA" w:rsidRPr="00E53A50" w:rsidRDefault="00BC0A4A" w:rsidP="008250BA">
            <w:pPr>
              <w:jc w:val="center"/>
              <w:rPr>
                <w:sz w:val="20"/>
                <w:szCs w:val="20"/>
                <w:lang w:val="en-US"/>
              </w:rPr>
            </w:pPr>
            <w:r w:rsidRPr="00E53A50">
              <w:rPr>
                <w:sz w:val="20"/>
                <w:szCs w:val="20"/>
                <w:lang w:val="en-US"/>
              </w:rPr>
              <w:t>309520.06</w:t>
            </w:r>
          </w:p>
        </w:tc>
        <w:tc>
          <w:tcPr>
            <w:tcW w:w="1642" w:type="dxa"/>
          </w:tcPr>
          <w:p w14:paraId="0AE82FF0" w14:textId="5876F67C" w:rsidR="008250BA" w:rsidRPr="00E53A50" w:rsidRDefault="00BC0A4A" w:rsidP="008250BA">
            <w:pPr>
              <w:jc w:val="center"/>
              <w:rPr>
                <w:sz w:val="20"/>
                <w:szCs w:val="20"/>
                <w:lang w:val="en-US"/>
              </w:rPr>
            </w:pPr>
            <w:r w:rsidRPr="00E53A50">
              <w:rPr>
                <w:sz w:val="20"/>
                <w:szCs w:val="20"/>
                <w:lang w:val="en-US"/>
              </w:rPr>
              <w:t>454489.63</w:t>
            </w:r>
          </w:p>
        </w:tc>
      </w:tr>
      <w:tr w:rsidR="008250BA" w:rsidRPr="00E53A50" w14:paraId="79C0F1B2" w14:textId="0883BAAB" w:rsidTr="00073419">
        <w:trPr>
          <w:trHeight w:val="381"/>
        </w:trPr>
        <w:tc>
          <w:tcPr>
            <w:tcW w:w="1939" w:type="dxa"/>
          </w:tcPr>
          <w:p w14:paraId="52EE8A32" w14:textId="1271E51A" w:rsidR="008250BA" w:rsidRPr="00E53A50" w:rsidRDefault="008250BA" w:rsidP="008250BA">
            <w:pPr>
              <w:jc w:val="center"/>
              <w:rPr>
                <w:sz w:val="20"/>
                <w:szCs w:val="20"/>
                <w:lang w:val="en-US"/>
              </w:rPr>
            </w:pPr>
            <w:r w:rsidRPr="00E53A50">
              <w:rPr>
                <w:sz w:val="20"/>
                <w:szCs w:val="20"/>
                <w:lang w:val="en-US"/>
              </w:rPr>
              <w:t xml:space="preserve">Outliers </w:t>
            </w:r>
          </w:p>
        </w:tc>
        <w:tc>
          <w:tcPr>
            <w:tcW w:w="2001" w:type="dxa"/>
          </w:tcPr>
          <w:p w14:paraId="3FF21BD5" w14:textId="161FD973" w:rsidR="008250BA" w:rsidRPr="00E53A50" w:rsidRDefault="00973907" w:rsidP="008250BA">
            <w:pPr>
              <w:jc w:val="center"/>
              <w:rPr>
                <w:sz w:val="20"/>
                <w:szCs w:val="20"/>
                <w:lang w:val="en-US"/>
              </w:rPr>
            </w:pPr>
            <w:r w:rsidRPr="00E53A50">
              <w:rPr>
                <w:sz w:val="20"/>
                <w:szCs w:val="20"/>
                <w:lang w:val="en-US"/>
              </w:rPr>
              <w:t>2021-04</w:t>
            </w:r>
          </w:p>
          <w:p w14:paraId="243889BD" w14:textId="20632219" w:rsidR="00973907" w:rsidRPr="00E53A50" w:rsidRDefault="00973907" w:rsidP="008250BA">
            <w:pPr>
              <w:jc w:val="center"/>
              <w:rPr>
                <w:sz w:val="20"/>
                <w:szCs w:val="20"/>
                <w:lang w:val="en-US"/>
              </w:rPr>
            </w:pPr>
            <w:r w:rsidRPr="00E53A50">
              <w:rPr>
                <w:sz w:val="20"/>
                <w:szCs w:val="20"/>
                <w:lang w:val="en-US"/>
              </w:rPr>
              <w:t>2022-06</w:t>
            </w:r>
          </w:p>
        </w:tc>
        <w:tc>
          <w:tcPr>
            <w:tcW w:w="1858" w:type="dxa"/>
          </w:tcPr>
          <w:p w14:paraId="2708A515" w14:textId="451DB986" w:rsidR="00BC0A4A" w:rsidRPr="00E53A50" w:rsidRDefault="00BC0A4A" w:rsidP="00BC0A4A">
            <w:pPr>
              <w:jc w:val="center"/>
              <w:rPr>
                <w:sz w:val="20"/>
                <w:szCs w:val="20"/>
                <w:lang w:val="en-US"/>
              </w:rPr>
            </w:pPr>
            <w:r w:rsidRPr="00E53A50">
              <w:rPr>
                <w:sz w:val="20"/>
                <w:szCs w:val="20"/>
                <w:lang w:val="en-US"/>
              </w:rPr>
              <w:t>2021-04</w:t>
            </w:r>
          </w:p>
          <w:p w14:paraId="2808EEE1" w14:textId="6F6FF9B9" w:rsidR="008250BA" w:rsidRPr="00E53A50" w:rsidRDefault="008250BA" w:rsidP="008250BA">
            <w:pPr>
              <w:jc w:val="center"/>
              <w:rPr>
                <w:sz w:val="20"/>
                <w:szCs w:val="20"/>
                <w:lang w:val="en-US"/>
              </w:rPr>
            </w:pPr>
          </w:p>
        </w:tc>
        <w:tc>
          <w:tcPr>
            <w:tcW w:w="1641" w:type="dxa"/>
          </w:tcPr>
          <w:p w14:paraId="79ED94EA" w14:textId="12E230A9" w:rsidR="008250BA" w:rsidRPr="00E53A50" w:rsidRDefault="00973907" w:rsidP="008250BA">
            <w:pPr>
              <w:jc w:val="center"/>
              <w:rPr>
                <w:sz w:val="20"/>
                <w:szCs w:val="20"/>
                <w:lang w:val="en-US"/>
              </w:rPr>
            </w:pPr>
            <w:r w:rsidRPr="00E53A50">
              <w:rPr>
                <w:sz w:val="20"/>
                <w:szCs w:val="20"/>
                <w:lang w:val="en-US"/>
              </w:rPr>
              <w:t>nan</w:t>
            </w:r>
          </w:p>
        </w:tc>
        <w:tc>
          <w:tcPr>
            <w:tcW w:w="1642" w:type="dxa"/>
          </w:tcPr>
          <w:p w14:paraId="409CF99A" w14:textId="25F85D8A" w:rsidR="008250BA" w:rsidRPr="00E53A50" w:rsidRDefault="00973907" w:rsidP="008250BA">
            <w:pPr>
              <w:jc w:val="center"/>
              <w:rPr>
                <w:sz w:val="20"/>
                <w:szCs w:val="20"/>
                <w:lang w:val="en-US"/>
              </w:rPr>
            </w:pPr>
            <w:r w:rsidRPr="00E53A50">
              <w:rPr>
                <w:sz w:val="20"/>
                <w:szCs w:val="20"/>
                <w:lang w:val="en-US"/>
              </w:rPr>
              <w:t>nan</w:t>
            </w:r>
          </w:p>
        </w:tc>
      </w:tr>
    </w:tbl>
    <w:p w14:paraId="79C47795" w14:textId="77777777" w:rsidR="00EB175E" w:rsidRPr="00E53A50" w:rsidRDefault="00EB175E" w:rsidP="003F7D07">
      <w:pPr>
        <w:jc w:val="both"/>
        <w:rPr>
          <w:sz w:val="20"/>
          <w:szCs w:val="20"/>
          <w:lang w:val="en-US"/>
        </w:rPr>
      </w:pPr>
    </w:p>
    <w:p w14:paraId="3F65EC3D" w14:textId="1612834B" w:rsidR="003F7D07" w:rsidRPr="00E53A50" w:rsidRDefault="005E7098" w:rsidP="003F7D07">
      <w:pPr>
        <w:jc w:val="both"/>
        <w:rPr>
          <w:sz w:val="20"/>
          <w:szCs w:val="20"/>
          <w:lang w:val="en-US"/>
        </w:rPr>
      </w:pPr>
      <w:r w:rsidRPr="00E53A50">
        <w:rPr>
          <w:sz w:val="20"/>
          <w:szCs w:val="20"/>
          <w:lang w:val="en-US"/>
        </w:rPr>
        <w:t>From Fig. 2.1</w:t>
      </w:r>
      <w:r w:rsidR="000A6B2A" w:rsidRPr="00E53A50">
        <w:rPr>
          <w:sz w:val="20"/>
          <w:szCs w:val="20"/>
          <w:lang w:val="en-US"/>
        </w:rPr>
        <w:t xml:space="preserve">, </w:t>
      </w:r>
      <w:r w:rsidRPr="00E53A50">
        <w:rPr>
          <w:sz w:val="20"/>
          <w:szCs w:val="20"/>
          <w:lang w:val="en-US"/>
        </w:rPr>
        <w:t>Fig. 2.2</w:t>
      </w:r>
      <w:r w:rsidR="000A6B2A" w:rsidRPr="00E53A50">
        <w:rPr>
          <w:sz w:val="20"/>
          <w:szCs w:val="20"/>
          <w:lang w:val="en-US"/>
        </w:rPr>
        <w:t xml:space="preserve"> and Table 1</w:t>
      </w:r>
      <w:r w:rsidRPr="00E53A50">
        <w:rPr>
          <w:sz w:val="20"/>
          <w:szCs w:val="20"/>
          <w:lang w:val="en-US"/>
        </w:rPr>
        <w:t xml:space="preserve">, it can be observed that, </w:t>
      </w:r>
      <w:r w:rsidR="000A6B2A" w:rsidRPr="00E53A50">
        <w:rPr>
          <w:sz w:val="20"/>
          <w:szCs w:val="20"/>
          <w:lang w:val="en-US"/>
        </w:rPr>
        <w:t xml:space="preserve">with IQR1.5 criteria, two anomalies are identified as </w:t>
      </w:r>
      <w:r w:rsidR="005F2DDD" w:rsidRPr="00E53A50">
        <w:rPr>
          <w:i/>
          <w:iCs/>
          <w:sz w:val="20"/>
          <w:szCs w:val="20"/>
          <w:lang w:val="en-US"/>
        </w:rPr>
        <w:t xml:space="preserve">‘Records’ </w:t>
      </w:r>
      <w:r w:rsidR="005F2DDD" w:rsidRPr="00E53A50">
        <w:rPr>
          <w:sz w:val="20"/>
          <w:szCs w:val="20"/>
          <w:lang w:val="en-US"/>
        </w:rPr>
        <w:t xml:space="preserve">values </w:t>
      </w:r>
      <w:r w:rsidR="000A6B2A" w:rsidRPr="00E53A50">
        <w:rPr>
          <w:sz w:val="20"/>
          <w:szCs w:val="20"/>
          <w:lang w:val="en-US"/>
        </w:rPr>
        <w:t xml:space="preserve">in 2021-04 and 2022-06. However with IQR3 criteria, only the 2021-04 anomaly is identified and indicates a strong outlying behavior comparing to the rest, despite there also seems to be an incident trigger. </w:t>
      </w:r>
      <w:r w:rsidR="005F2DDD" w:rsidRPr="00E53A50">
        <w:rPr>
          <w:sz w:val="20"/>
          <w:szCs w:val="20"/>
          <w:lang w:val="en-US"/>
        </w:rPr>
        <w:t xml:space="preserve">A separate DBACAN clustering detector has also been tested to only show that the 2021-04 </w:t>
      </w:r>
      <w:r w:rsidR="005F2DDD" w:rsidRPr="00E53A50">
        <w:rPr>
          <w:i/>
          <w:iCs/>
          <w:sz w:val="20"/>
          <w:szCs w:val="20"/>
          <w:lang w:val="en-US"/>
        </w:rPr>
        <w:t>‘Records’</w:t>
      </w:r>
      <w:r w:rsidR="005F2DDD" w:rsidRPr="00E53A50">
        <w:rPr>
          <w:sz w:val="20"/>
          <w:szCs w:val="20"/>
          <w:lang w:val="en-US"/>
        </w:rPr>
        <w:t xml:space="preserve"> is the only anomaly. </w:t>
      </w:r>
      <w:r w:rsidR="000A6B2A" w:rsidRPr="00E53A50">
        <w:rPr>
          <w:sz w:val="20"/>
          <w:szCs w:val="20"/>
          <w:lang w:val="en-US"/>
        </w:rPr>
        <w:t xml:space="preserve">Nonetheless, we will only regard 2021-04 as an anomaly and amend its </w:t>
      </w:r>
      <w:r w:rsidR="000A6B2A" w:rsidRPr="00E53A50">
        <w:rPr>
          <w:i/>
          <w:iCs/>
          <w:sz w:val="20"/>
          <w:szCs w:val="20"/>
          <w:lang w:val="en-US"/>
        </w:rPr>
        <w:t xml:space="preserve">‘Records’ </w:t>
      </w:r>
      <w:r w:rsidR="000A6B2A" w:rsidRPr="00E53A50">
        <w:rPr>
          <w:sz w:val="20"/>
          <w:szCs w:val="20"/>
          <w:lang w:val="en-US"/>
        </w:rPr>
        <w:t>using an interpolation method.</w:t>
      </w:r>
      <w:r w:rsidR="00225FF2" w:rsidRPr="00E53A50">
        <w:rPr>
          <w:sz w:val="20"/>
          <w:szCs w:val="20"/>
          <w:lang w:val="en-US"/>
        </w:rPr>
        <w:t xml:space="preserve"> In order to amend the anomaly, the corresponding value is first removed; then a simple interpolation method can be used to make a reasonable prediction.</w:t>
      </w:r>
      <w:r w:rsidR="006132D5" w:rsidRPr="00E53A50">
        <w:rPr>
          <w:sz w:val="20"/>
          <w:szCs w:val="20"/>
          <w:lang w:val="en-US"/>
        </w:rPr>
        <w:t xml:space="preserve"> Here a polynomial interpolation with high order is used for its nonlinear characteristic to fill a missing value from its adjacent values. </w:t>
      </w:r>
      <w:r w:rsidR="00BB6FD8" w:rsidRPr="00E53A50">
        <w:rPr>
          <w:sz w:val="20"/>
          <w:szCs w:val="20"/>
          <w:lang w:val="en-US"/>
        </w:rPr>
        <w:t>The amended data without anomaly is shown in Fig. 3.</w:t>
      </w:r>
      <w:r w:rsidR="00765826" w:rsidRPr="00E53A50">
        <w:rPr>
          <w:sz w:val="20"/>
          <w:szCs w:val="20"/>
          <w:lang w:val="en-US"/>
        </w:rPr>
        <w:t xml:space="preserve"> As can be seen the </w:t>
      </w:r>
      <w:r w:rsidR="00765826" w:rsidRPr="00E53A50">
        <w:rPr>
          <w:i/>
          <w:iCs/>
          <w:sz w:val="20"/>
          <w:szCs w:val="20"/>
          <w:lang w:val="en-US"/>
        </w:rPr>
        <w:t>‘Records’</w:t>
      </w:r>
      <w:r w:rsidR="00765826" w:rsidRPr="00E53A50">
        <w:rPr>
          <w:sz w:val="20"/>
          <w:szCs w:val="20"/>
          <w:lang w:val="en-US"/>
        </w:rPr>
        <w:t xml:space="preserve"> data at 2021-04 has been adjusted to a reasonable level.</w:t>
      </w:r>
    </w:p>
    <w:p w14:paraId="5215A6B5" w14:textId="7CFA3429" w:rsidR="00BB6FD8" w:rsidRPr="00E53A50" w:rsidRDefault="001A239E" w:rsidP="003F7D07">
      <w:pPr>
        <w:jc w:val="both"/>
        <w:rPr>
          <w:sz w:val="20"/>
          <w:szCs w:val="20"/>
          <w:lang w:val="en-US"/>
        </w:rPr>
      </w:pPr>
      <w:r w:rsidRPr="00E53A50">
        <w:rPr>
          <w:noProof/>
          <w:sz w:val="20"/>
          <w:szCs w:val="20"/>
          <w:lang w:val="en-US"/>
        </w:rPr>
        <w:drawing>
          <wp:inline distT="0" distB="0" distL="0" distR="0" wp14:anchorId="5BA6AFB5" wp14:editId="243BE5C2">
            <wp:extent cx="5731510" cy="29997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3FC163A1" w14:textId="3A7C5E33" w:rsidR="00BB6FD8" w:rsidRPr="00E53A50" w:rsidRDefault="00BB6FD8" w:rsidP="00BB6FD8">
      <w:pPr>
        <w:jc w:val="center"/>
        <w:rPr>
          <w:sz w:val="20"/>
          <w:szCs w:val="20"/>
          <w:lang w:val="en-US"/>
        </w:rPr>
      </w:pPr>
      <w:r w:rsidRPr="00E53A50">
        <w:rPr>
          <w:sz w:val="20"/>
          <w:szCs w:val="20"/>
          <w:lang w:val="en-US"/>
        </w:rPr>
        <w:t>Fig. 3. Dataset without anomalies</w:t>
      </w:r>
    </w:p>
    <w:p w14:paraId="27F66527" w14:textId="77777777" w:rsidR="00BB6FD8" w:rsidRPr="00E53A50" w:rsidRDefault="00BB6FD8" w:rsidP="003F7D07">
      <w:pPr>
        <w:jc w:val="both"/>
        <w:rPr>
          <w:sz w:val="20"/>
          <w:szCs w:val="20"/>
          <w:lang w:val="en-US"/>
        </w:rPr>
      </w:pPr>
    </w:p>
    <w:p w14:paraId="030A31D0" w14:textId="7AEBD67D" w:rsidR="0006648F" w:rsidRPr="00E53A50" w:rsidRDefault="000A6B2A" w:rsidP="003F7D07">
      <w:pPr>
        <w:jc w:val="both"/>
        <w:rPr>
          <w:sz w:val="20"/>
          <w:szCs w:val="20"/>
          <w:lang w:val="en-US"/>
        </w:rPr>
      </w:pPr>
      <w:r w:rsidRPr="00E53A50">
        <w:rPr>
          <w:sz w:val="20"/>
          <w:szCs w:val="20"/>
          <w:lang w:val="en-US"/>
        </w:rPr>
        <w:t xml:space="preserve"> </w:t>
      </w:r>
      <w:r w:rsidR="004A3DE8" w:rsidRPr="00E53A50">
        <w:rPr>
          <w:sz w:val="20"/>
          <w:szCs w:val="20"/>
          <w:lang w:val="en-US"/>
        </w:rPr>
        <w:t xml:space="preserve">Next, we conduct a </w:t>
      </w:r>
      <w:r w:rsidR="00E56AB5" w:rsidRPr="00E53A50">
        <w:rPr>
          <w:sz w:val="20"/>
          <w:szCs w:val="20"/>
          <w:lang w:val="en-US"/>
        </w:rPr>
        <w:t xml:space="preserve">statistical decomposition for the </w:t>
      </w:r>
      <w:r w:rsidR="008D6E88" w:rsidRPr="00E53A50">
        <w:rPr>
          <w:sz w:val="20"/>
          <w:szCs w:val="20"/>
          <w:lang w:val="en-US"/>
        </w:rPr>
        <w:t xml:space="preserve">variables of the </w:t>
      </w:r>
      <w:r w:rsidR="00E56AB5" w:rsidRPr="00E53A50">
        <w:rPr>
          <w:sz w:val="20"/>
          <w:szCs w:val="20"/>
          <w:lang w:val="en-US"/>
        </w:rPr>
        <w:t xml:space="preserve">dataset </w:t>
      </w:r>
      <w:r w:rsidR="008D6E88" w:rsidRPr="00E53A50">
        <w:rPr>
          <w:sz w:val="20"/>
          <w:szCs w:val="20"/>
          <w:lang w:val="en-US"/>
        </w:rPr>
        <w:t xml:space="preserve">separately, </w:t>
      </w:r>
      <w:r w:rsidR="008D6E88" w:rsidRPr="00E53A50">
        <w:rPr>
          <w:sz w:val="20"/>
          <w:szCs w:val="20"/>
          <w:lang w:val="en-US"/>
        </w:rPr>
        <w:t>into three components</w:t>
      </w:r>
      <w:r w:rsidR="001F4744" w:rsidRPr="00E53A50">
        <w:rPr>
          <w:sz w:val="20"/>
          <w:szCs w:val="20"/>
          <w:lang w:val="en-US"/>
        </w:rPr>
        <w:t xml:space="preserve">: global trend, seasonality and residual which tells whatever remains if removing the trend and seasonality from the data. We use additive decomposition with a period of 3 months. </w:t>
      </w:r>
      <w:r w:rsidR="00B7510C" w:rsidRPr="00E53A50">
        <w:rPr>
          <w:sz w:val="20"/>
          <w:szCs w:val="20"/>
          <w:lang w:val="en-US"/>
        </w:rPr>
        <w:t xml:space="preserve">The result is given in Fig. 4. </w:t>
      </w:r>
    </w:p>
    <w:p w14:paraId="28BE222F" w14:textId="401157CE" w:rsidR="00B7510C" w:rsidRPr="00E53A50" w:rsidRDefault="00B7510C" w:rsidP="003F7D07">
      <w:pPr>
        <w:jc w:val="both"/>
        <w:rPr>
          <w:sz w:val="20"/>
          <w:szCs w:val="20"/>
          <w:lang w:val="en-US"/>
        </w:rPr>
      </w:pPr>
      <w:r w:rsidRPr="00E53A50">
        <w:rPr>
          <w:noProof/>
          <w:sz w:val="20"/>
          <w:szCs w:val="20"/>
          <w:lang w:val="en-US"/>
        </w:rPr>
        <w:lastRenderedPageBreak/>
        <w:drawing>
          <wp:inline distT="0" distB="0" distL="0" distR="0" wp14:anchorId="02010887" wp14:editId="18FA8D36">
            <wp:extent cx="5731510" cy="34061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06140"/>
                    </a:xfrm>
                    <a:prstGeom prst="rect">
                      <a:avLst/>
                    </a:prstGeom>
                    <a:noFill/>
                    <a:ln>
                      <a:noFill/>
                    </a:ln>
                  </pic:spPr>
                </pic:pic>
              </a:graphicData>
            </a:graphic>
          </wp:inline>
        </w:drawing>
      </w:r>
    </w:p>
    <w:p w14:paraId="746244D6" w14:textId="4A51F50D" w:rsidR="00B7510C" w:rsidRPr="00E53A50" w:rsidRDefault="00B7510C" w:rsidP="00B7510C">
      <w:pPr>
        <w:jc w:val="center"/>
        <w:rPr>
          <w:sz w:val="20"/>
          <w:szCs w:val="20"/>
          <w:lang w:val="en-US"/>
        </w:rPr>
      </w:pPr>
      <w:r w:rsidRPr="00E53A50">
        <w:rPr>
          <w:sz w:val="20"/>
          <w:szCs w:val="20"/>
          <w:lang w:val="en-US"/>
        </w:rPr>
        <w:t xml:space="preserve">Fig.4. Trend, seasonality and residual decomposition of the </w:t>
      </w:r>
      <w:r w:rsidR="00E00221" w:rsidRPr="00E53A50">
        <w:rPr>
          <w:sz w:val="20"/>
          <w:szCs w:val="20"/>
          <w:lang w:val="en-US"/>
        </w:rPr>
        <w:t xml:space="preserve">variable </w:t>
      </w:r>
      <w:r w:rsidR="00E00221" w:rsidRPr="00E53A50">
        <w:rPr>
          <w:i/>
          <w:iCs/>
          <w:sz w:val="20"/>
          <w:szCs w:val="20"/>
          <w:lang w:val="en-US"/>
        </w:rPr>
        <w:t>‘Records’</w:t>
      </w:r>
    </w:p>
    <w:p w14:paraId="1C457EA3" w14:textId="6141667F" w:rsidR="0012109F" w:rsidRPr="00E53A50" w:rsidRDefault="00EE728E" w:rsidP="0012109F">
      <w:pPr>
        <w:jc w:val="both"/>
        <w:rPr>
          <w:sz w:val="20"/>
          <w:szCs w:val="20"/>
          <w:lang w:val="en-US"/>
        </w:rPr>
      </w:pPr>
      <w:r w:rsidRPr="00E53A50">
        <w:rPr>
          <w:noProof/>
          <w:sz w:val="20"/>
          <w:szCs w:val="20"/>
          <w:lang w:val="en-US"/>
        </w:rPr>
        <w:drawing>
          <wp:inline distT="0" distB="0" distL="0" distR="0" wp14:anchorId="071321A9" wp14:editId="6133916A">
            <wp:extent cx="5731510" cy="3086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75BBB943" w14:textId="571D684B" w:rsidR="008D6E88" w:rsidRPr="00E53A50" w:rsidRDefault="008D6E88" w:rsidP="008D6E88">
      <w:pPr>
        <w:jc w:val="center"/>
        <w:rPr>
          <w:sz w:val="20"/>
          <w:szCs w:val="20"/>
          <w:lang w:val="en-US"/>
        </w:rPr>
      </w:pPr>
      <w:r w:rsidRPr="00E53A50">
        <w:rPr>
          <w:sz w:val="20"/>
          <w:szCs w:val="20"/>
          <w:lang w:val="en-US"/>
        </w:rPr>
        <w:t>Fig.</w:t>
      </w:r>
      <w:r w:rsidR="00D81B85" w:rsidRPr="00E53A50">
        <w:rPr>
          <w:sz w:val="20"/>
          <w:szCs w:val="20"/>
          <w:lang w:val="en-US"/>
        </w:rPr>
        <w:t xml:space="preserve"> </w:t>
      </w:r>
      <w:r w:rsidRPr="00E53A50">
        <w:rPr>
          <w:sz w:val="20"/>
          <w:szCs w:val="20"/>
          <w:lang w:val="en-US"/>
        </w:rPr>
        <w:t xml:space="preserve">4. Trend, seasonality and residual decomposition of the </w:t>
      </w:r>
      <w:r w:rsidR="00E00221" w:rsidRPr="00E53A50">
        <w:rPr>
          <w:sz w:val="20"/>
          <w:szCs w:val="20"/>
          <w:lang w:val="en-US"/>
        </w:rPr>
        <w:t xml:space="preserve">variable </w:t>
      </w:r>
      <w:r w:rsidR="00E00221" w:rsidRPr="00E53A50">
        <w:rPr>
          <w:rFonts w:cstheme="minorHAnsi"/>
          <w:i/>
          <w:iCs/>
          <w:sz w:val="20"/>
          <w:szCs w:val="20"/>
          <w:lang w:val="en-US"/>
        </w:rPr>
        <w:t>'file_size_gb'</w:t>
      </w:r>
    </w:p>
    <w:p w14:paraId="2D000B3C" w14:textId="77777777" w:rsidR="008D6E88" w:rsidRPr="00E53A50" w:rsidRDefault="008D6E88" w:rsidP="0012109F">
      <w:pPr>
        <w:jc w:val="both"/>
        <w:rPr>
          <w:sz w:val="20"/>
          <w:szCs w:val="20"/>
          <w:lang w:val="en-US"/>
        </w:rPr>
      </w:pPr>
    </w:p>
    <w:p w14:paraId="7D64412F" w14:textId="49368D39" w:rsidR="0012109F" w:rsidRPr="00E53A50" w:rsidRDefault="008D6E88" w:rsidP="0012109F">
      <w:pPr>
        <w:jc w:val="both"/>
        <w:rPr>
          <w:sz w:val="20"/>
          <w:szCs w:val="20"/>
          <w:lang w:val="en-US"/>
        </w:rPr>
      </w:pPr>
      <w:r w:rsidRPr="00E53A50">
        <w:rPr>
          <w:sz w:val="20"/>
          <w:szCs w:val="20"/>
          <w:lang w:val="en-US"/>
        </w:rPr>
        <w:t xml:space="preserve">It is a much more intuitive way to tell how the </w:t>
      </w:r>
      <w:r w:rsidR="00EE728E" w:rsidRPr="00E53A50">
        <w:rPr>
          <w:sz w:val="20"/>
          <w:szCs w:val="20"/>
          <w:lang w:val="en-US"/>
        </w:rPr>
        <w:t xml:space="preserve">each of the variables varies at the microscope and repeats certain behaviors at a fixed frequency. From Fig.4. we can say that both variables have a steady increasing global trend but also cycles with small amplitudes locally. In the more recent years, their global trend also </w:t>
      </w:r>
      <w:r w:rsidR="00D81B85" w:rsidRPr="00E53A50">
        <w:rPr>
          <w:sz w:val="20"/>
          <w:szCs w:val="20"/>
          <w:lang w:val="en-US"/>
        </w:rPr>
        <w:t>starts</w:t>
      </w:r>
      <w:r w:rsidR="00EE728E" w:rsidRPr="00E53A50">
        <w:rPr>
          <w:sz w:val="20"/>
          <w:szCs w:val="20"/>
          <w:lang w:val="en-US"/>
        </w:rPr>
        <w:t xml:space="preserve"> to have small seasonal behaviors due to the small fluctuations. </w:t>
      </w:r>
    </w:p>
    <w:p w14:paraId="12A2056C" w14:textId="216A1A10" w:rsidR="00D81B85" w:rsidRPr="00E53A50" w:rsidRDefault="00D81B85" w:rsidP="0012109F">
      <w:pPr>
        <w:jc w:val="both"/>
        <w:rPr>
          <w:sz w:val="20"/>
          <w:szCs w:val="20"/>
          <w:lang w:val="en-US"/>
        </w:rPr>
      </w:pPr>
      <w:r w:rsidRPr="00E53A50">
        <w:rPr>
          <w:sz w:val="20"/>
          <w:szCs w:val="20"/>
          <w:lang w:val="en-US"/>
        </w:rPr>
        <w:t>Next, we will investigate if there exists any collinearity between the two variables. This is important since if collinearity is observed, the same prediction model cannot be used to predict each of the variables independently. Fig. 5 shows the scatter plot of the two variables against each other</w:t>
      </w:r>
      <w:r w:rsidR="00D85728" w:rsidRPr="00E53A50">
        <w:rPr>
          <w:sz w:val="20"/>
          <w:szCs w:val="20"/>
          <w:lang w:val="en-US"/>
        </w:rPr>
        <w:t xml:space="preserve"> representing the data points.</w:t>
      </w:r>
    </w:p>
    <w:p w14:paraId="4534E552" w14:textId="669A0AF1" w:rsidR="00D85728" w:rsidRPr="00E53A50" w:rsidRDefault="00D85728" w:rsidP="0012109F">
      <w:pPr>
        <w:jc w:val="both"/>
        <w:rPr>
          <w:sz w:val="20"/>
          <w:szCs w:val="20"/>
          <w:lang w:val="en-US"/>
        </w:rPr>
      </w:pPr>
      <w:r w:rsidRPr="00E53A50">
        <w:rPr>
          <w:sz w:val="20"/>
          <w:szCs w:val="20"/>
          <w:lang w:val="en-US"/>
        </w:rPr>
        <w:lastRenderedPageBreak/>
        <w:t xml:space="preserve">Both linear and nonlinear polynomial regressions are performed on the data. The data points distributed closely to the linear curve have a strong correlation between them, which in this case, are the data with smaller values in both </w:t>
      </w:r>
      <w:r w:rsidRPr="00E53A50">
        <w:rPr>
          <w:i/>
          <w:iCs/>
          <w:sz w:val="20"/>
          <w:szCs w:val="20"/>
          <w:lang w:val="en-US"/>
        </w:rPr>
        <w:t>‘Records’</w:t>
      </w:r>
      <w:r w:rsidRPr="00E53A50">
        <w:rPr>
          <w:i/>
          <w:iCs/>
          <w:sz w:val="20"/>
          <w:szCs w:val="20"/>
          <w:lang w:val="en-US"/>
        </w:rPr>
        <w:t xml:space="preserve"> and </w:t>
      </w:r>
      <w:r w:rsidRPr="00E53A50">
        <w:rPr>
          <w:i/>
          <w:iCs/>
          <w:sz w:val="20"/>
          <w:szCs w:val="20"/>
          <w:lang w:val="en-US"/>
        </w:rPr>
        <w:t>'file_size_gb'</w:t>
      </w:r>
      <w:r w:rsidRPr="00E53A50">
        <w:rPr>
          <w:sz w:val="20"/>
          <w:szCs w:val="20"/>
          <w:lang w:val="en-US"/>
        </w:rPr>
        <w:t>. The data points distributed further out from the linear curve have a weak correlation between them, which in this case are data with the larger values in both variables</w:t>
      </w:r>
      <w:r w:rsidR="0006447C" w:rsidRPr="00E53A50">
        <w:rPr>
          <w:sz w:val="20"/>
          <w:szCs w:val="20"/>
          <w:lang w:val="en-US"/>
        </w:rPr>
        <w:t xml:space="preserve">, which correspond to the more recent years’ observations. AN insight from this is that during the more recent years, not only more file upload takes places but the file sizes are also more diverse. </w:t>
      </w:r>
    </w:p>
    <w:p w14:paraId="345F6AEB" w14:textId="3FE011D9" w:rsidR="00D81B85" w:rsidRPr="00E53A50" w:rsidRDefault="00D81B85" w:rsidP="00F326A0">
      <w:pPr>
        <w:jc w:val="center"/>
        <w:rPr>
          <w:sz w:val="20"/>
          <w:szCs w:val="20"/>
          <w:lang w:val="en-US"/>
        </w:rPr>
      </w:pPr>
      <w:r w:rsidRPr="00E53A50">
        <w:rPr>
          <w:noProof/>
          <w:sz w:val="20"/>
          <w:szCs w:val="20"/>
          <w:lang w:val="en-US"/>
        </w:rPr>
        <w:drawing>
          <wp:inline distT="0" distB="0" distL="0" distR="0" wp14:anchorId="3D9C61BA" wp14:editId="4DB9B5B2">
            <wp:extent cx="5439410" cy="307086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4198" cy="3073563"/>
                    </a:xfrm>
                    <a:prstGeom prst="rect">
                      <a:avLst/>
                    </a:prstGeom>
                    <a:noFill/>
                    <a:ln>
                      <a:noFill/>
                    </a:ln>
                  </pic:spPr>
                </pic:pic>
              </a:graphicData>
            </a:graphic>
          </wp:inline>
        </w:drawing>
      </w:r>
    </w:p>
    <w:p w14:paraId="121994D1" w14:textId="0F509F5C" w:rsidR="00F326A0" w:rsidRPr="00E53A50" w:rsidRDefault="00F326A0" w:rsidP="00F326A0">
      <w:pPr>
        <w:jc w:val="center"/>
        <w:rPr>
          <w:sz w:val="20"/>
          <w:szCs w:val="20"/>
          <w:lang w:val="en-US"/>
        </w:rPr>
      </w:pPr>
      <w:r w:rsidRPr="00E53A50">
        <w:rPr>
          <w:sz w:val="20"/>
          <w:szCs w:val="20"/>
          <w:lang w:val="en-US"/>
        </w:rPr>
        <w:t xml:space="preserve">Fig. 5. Correlation analysis between </w:t>
      </w:r>
      <w:r w:rsidRPr="00E53A50">
        <w:rPr>
          <w:sz w:val="20"/>
          <w:szCs w:val="20"/>
          <w:lang w:val="en-US"/>
        </w:rPr>
        <w:t>‘Records’</w:t>
      </w:r>
      <w:r w:rsidRPr="00E53A50">
        <w:rPr>
          <w:sz w:val="20"/>
          <w:szCs w:val="20"/>
          <w:lang w:val="en-US"/>
        </w:rPr>
        <w:t xml:space="preserve"> and </w:t>
      </w:r>
      <w:r w:rsidRPr="00E53A50">
        <w:rPr>
          <w:sz w:val="20"/>
          <w:szCs w:val="20"/>
          <w:lang w:val="en-US"/>
        </w:rPr>
        <w:t>'file_size_gb'</w:t>
      </w:r>
    </w:p>
    <w:p w14:paraId="22FE357C" w14:textId="0D569E35" w:rsidR="00A143AD" w:rsidRPr="00E53A50" w:rsidRDefault="00A143AD" w:rsidP="00A143AD">
      <w:pPr>
        <w:rPr>
          <w:sz w:val="20"/>
          <w:szCs w:val="20"/>
          <w:lang w:val="en-US"/>
        </w:rPr>
      </w:pPr>
    </w:p>
    <w:p w14:paraId="2D7F5DE8" w14:textId="03881D2D" w:rsidR="00A143AD" w:rsidRPr="00E53A50" w:rsidRDefault="00A143AD" w:rsidP="00A143AD">
      <w:pPr>
        <w:rPr>
          <w:sz w:val="20"/>
          <w:szCs w:val="20"/>
          <w:lang w:val="en-US"/>
        </w:rPr>
      </w:pPr>
      <w:r w:rsidRPr="00E53A50">
        <w:rPr>
          <w:sz w:val="20"/>
          <w:szCs w:val="20"/>
          <w:lang w:val="en-US"/>
        </w:rPr>
        <w:t xml:space="preserve"> </w:t>
      </w:r>
      <w:r w:rsidRPr="00E53A50">
        <w:rPr>
          <w:noProof/>
          <w:sz w:val="20"/>
          <w:szCs w:val="20"/>
          <w:lang w:val="en-US"/>
        </w:rPr>
        <w:drawing>
          <wp:inline distT="0" distB="0" distL="0" distR="0" wp14:anchorId="7CFC3A77" wp14:editId="3AA53DD1">
            <wp:extent cx="5295900" cy="2636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2636520"/>
                    </a:xfrm>
                    <a:prstGeom prst="rect">
                      <a:avLst/>
                    </a:prstGeom>
                    <a:noFill/>
                    <a:ln>
                      <a:noFill/>
                    </a:ln>
                  </pic:spPr>
                </pic:pic>
              </a:graphicData>
            </a:graphic>
          </wp:inline>
        </w:drawing>
      </w:r>
    </w:p>
    <w:p w14:paraId="17D3F668" w14:textId="704149D3" w:rsidR="00A143AD" w:rsidRPr="00E53A50" w:rsidRDefault="00A143AD" w:rsidP="00B06916">
      <w:pPr>
        <w:jc w:val="center"/>
        <w:rPr>
          <w:sz w:val="20"/>
          <w:szCs w:val="20"/>
          <w:lang w:val="en-US"/>
        </w:rPr>
      </w:pPr>
      <w:r w:rsidRPr="00E53A50">
        <w:rPr>
          <w:sz w:val="20"/>
          <w:szCs w:val="20"/>
          <w:lang w:val="en-US"/>
        </w:rPr>
        <w:t xml:space="preserve">Fig. 6. </w:t>
      </w:r>
      <w:r w:rsidRPr="00E53A50">
        <w:rPr>
          <w:sz w:val="20"/>
          <w:szCs w:val="20"/>
          <w:lang w:val="en-US"/>
        </w:rPr>
        <w:t xml:space="preserve">Correlation analysis </w:t>
      </w:r>
      <w:r w:rsidRPr="00E53A50">
        <w:rPr>
          <w:sz w:val="20"/>
          <w:szCs w:val="20"/>
          <w:lang w:val="en-US"/>
        </w:rPr>
        <w:t xml:space="preserve">with time lags </w:t>
      </w:r>
    </w:p>
    <w:p w14:paraId="2D3387B3" w14:textId="0BF881CA" w:rsidR="00A143AD" w:rsidRPr="00E53A50" w:rsidRDefault="00A143AD" w:rsidP="00A143AD">
      <w:pPr>
        <w:jc w:val="both"/>
        <w:rPr>
          <w:sz w:val="20"/>
          <w:szCs w:val="20"/>
          <w:lang w:val="en-US"/>
        </w:rPr>
      </w:pPr>
      <w:r w:rsidRPr="00E53A50">
        <w:rPr>
          <w:sz w:val="20"/>
          <w:szCs w:val="20"/>
          <w:lang w:val="en-US"/>
        </w:rPr>
        <w:t xml:space="preserve">The </w:t>
      </w:r>
      <w:r w:rsidRPr="00E53A50">
        <w:rPr>
          <w:sz w:val="20"/>
          <w:szCs w:val="20"/>
          <w:lang w:val="en-US"/>
        </w:rPr>
        <w:t>correlation with time lag effect is also analyzed and provided in Fig. 6</w:t>
      </w:r>
      <w:r w:rsidRPr="00E53A50">
        <w:rPr>
          <w:sz w:val="20"/>
          <w:szCs w:val="20"/>
          <w:lang w:val="en-US"/>
        </w:rPr>
        <w:t>, which plots the Pearson correlation of the variables with different lag values. It tells that the maximum correlation is achieved when there is no time lag (the case in Fig. 5). With time lags increases in either direction, the correlation decreases linearly.</w:t>
      </w:r>
    </w:p>
    <w:p w14:paraId="3D412C93" w14:textId="0D233B95" w:rsidR="00032571" w:rsidRPr="00E53A50" w:rsidRDefault="007D11DA" w:rsidP="00A143AD">
      <w:pPr>
        <w:jc w:val="both"/>
        <w:rPr>
          <w:noProof/>
          <w:sz w:val="20"/>
          <w:szCs w:val="20"/>
          <w:lang w:val="en-US"/>
        </w:rPr>
      </w:pPr>
      <w:r w:rsidRPr="00E53A50">
        <w:rPr>
          <w:sz w:val="20"/>
          <w:szCs w:val="20"/>
          <w:lang w:val="en-US"/>
        </w:rPr>
        <w:t xml:space="preserve">Next, it can also be helpful if we know if the data is stationary or nonstationary. A stationary time series means stable statistical properties in the data whilst nonstationary means the series’ statistical properties in unstable </w:t>
      </w:r>
      <w:r w:rsidRPr="00E53A50">
        <w:rPr>
          <w:sz w:val="20"/>
          <w:szCs w:val="20"/>
          <w:lang w:val="en-US"/>
        </w:rPr>
        <w:lastRenderedPageBreak/>
        <w:t xml:space="preserve">and changes at different times. </w:t>
      </w:r>
      <w:r w:rsidR="009E08AB" w:rsidRPr="00E53A50">
        <w:rPr>
          <w:sz w:val="20"/>
          <w:szCs w:val="20"/>
          <w:lang w:val="en-US"/>
        </w:rPr>
        <w:t>Augmented Dickey-Fuller</w:t>
      </w:r>
      <w:r w:rsidR="009E08AB" w:rsidRPr="00E53A50">
        <w:rPr>
          <w:sz w:val="20"/>
          <w:szCs w:val="20"/>
          <w:lang w:val="en-US"/>
        </w:rPr>
        <w:t xml:space="preserve"> (ADF)</w:t>
      </w:r>
      <w:r w:rsidR="009E08AB" w:rsidRPr="00E53A50">
        <w:rPr>
          <w:sz w:val="20"/>
          <w:szCs w:val="20"/>
          <w:lang w:val="en-US"/>
        </w:rPr>
        <w:t xml:space="preserve"> test</w:t>
      </w:r>
      <w:r w:rsidR="009E08AB" w:rsidRPr="00E53A50">
        <w:rPr>
          <w:sz w:val="20"/>
          <w:szCs w:val="20"/>
          <w:lang w:val="en-US"/>
        </w:rPr>
        <w:t xml:space="preserve"> is usually preferred for analyzing the stationarity of data by conducting a hypothesis test</w:t>
      </w:r>
      <w:r w:rsidR="00032571" w:rsidRPr="00E53A50">
        <w:rPr>
          <w:sz w:val="20"/>
          <w:szCs w:val="20"/>
          <w:lang w:val="en-US"/>
        </w:rPr>
        <w:t xml:space="preserve"> on if the time series is stationary or not. In ADF, the time series </w:t>
      </w:r>
      <w:r w:rsidR="00B83AD8" w:rsidRPr="00E53A50">
        <w:rPr>
          <w:sz w:val="20"/>
          <w:szCs w:val="20"/>
          <w:lang w:val="en-US"/>
        </w:rPr>
        <w:t>and its</w:t>
      </w:r>
      <w:r w:rsidR="00032571" w:rsidRPr="00E53A50">
        <w:rPr>
          <w:sz w:val="20"/>
          <w:szCs w:val="20"/>
          <w:lang w:val="en-US"/>
        </w:rPr>
        <w:t xml:space="preserve"> differenced </w:t>
      </w:r>
      <w:r w:rsidR="00B83AD8" w:rsidRPr="00E53A50">
        <w:rPr>
          <w:sz w:val="20"/>
          <w:szCs w:val="20"/>
          <w:lang w:val="en-US"/>
        </w:rPr>
        <w:t xml:space="preserve">versions with increasing order are analyzed </w:t>
      </w:r>
      <w:r w:rsidR="00032571" w:rsidRPr="00E53A50">
        <w:rPr>
          <w:sz w:val="20"/>
          <w:szCs w:val="20"/>
          <w:lang w:val="en-US"/>
        </w:rPr>
        <w:t>(figure provided in Fig. 7.).</w:t>
      </w:r>
      <w:r w:rsidR="00362F7D" w:rsidRPr="00E53A50">
        <w:rPr>
          <w:sz w:val="20"/>
          <w:szCs w:val="20"/>
          <w:lang w:val="en-US"/>
        </w:rPr>
        <w:t xml:space="preserve"> If t</w:t>
      </w:r>
      <w:r w:rsidR="00362F7D" w:rsidRPr="00E53A50">
        <w:rPr>
          <w:sz w:val="20"/>
          <w:szCs w:val="20"/>
          <w:lang w:val="en-US"/>
        </w:rPr>
        <w:t xml:space="preserve">he p-value is obtained is greater than significance level of 0.05 and the ADF statistic is higher than any of the critical values. The null hypothesis </w:t>
      </w:r>
      <w:r w:rsidR="00362F7D" w:rsidRPr="00E53A50">
        <w:rPr>
          <w:sz w:val="20"/>
          <w:szCs w:val="20"/>
          <w:lang w:val="en-US"/>
        </w:rPr>
        <w:t>suggests</w:t>
      </w:r>
      <w:r w:rsidR="00362F7D" w:rsidRPr="00E53A50">
        <w:rPr>
          <w:sz w:val="20"/>
          <w:szCs w:val="20"/>
          <w:lang w:val="en-US"/>
        </w:rPr>
        <w:t xml:space="preserve"> the time series is non-stationary.</w:t>
      </w:r>
      <w:r w:rsidR="002D5250" w:rsidRPr="00E53A50">
        <w:rPr>
          <w:sz w:val="20"/>
          <w:szCs w:val="20"/>
          <w:lang w:val="en-US"/>
        </w:rPr>
        <w:t xml:space="preserve"> The original, first-order differencing and second-order differencing result are provided in Table 2.</w:t>
      </w:r>
      <w:r w:rsidR="00537B6D" w:rsidRPr="00E53A50">
        <w:rPr>
          <w:sz w:val="20"/>
          <w:szCs w:val="20"/>
          <w:lang w:val="en-US"/>
        </w:rPr>
        <w:t xml:space="preserve"> The result shows the only stationary series is the first-order differencing </w:t>
      </w:r>
      <w:r w:rsidR="00537B6D" w:rsidRPr="00E53A50">
        <w:rPr>
          <w:i/>
          <w:iCs/>
          <w:sz w:val="20"/>
          <w:szCs w:val="20"/>
          <w:lang w:val="en-US"/>
        </w:rPr>
        <w:t>‘Records’</w:t>
      </w:r>
      <w:r w:rsidR="00537B6D" w:rsidRPr="00E53A50">
        <w:rPr>
          <w:sz w:val="20"/>
          <w:szCs w:val="20"/>
          <w:lang w:val="en-US"/>
        </w:rPr>
        <w:t xml:space="preserve"> series for it has a p-value less than 0.05</w:t>
      </w:r>
      <w:r w:rsidR="007654E7" w:rsidRPr="00E53A50">
        <w:rPr>
          <w:sz w:val="20"/>
          <w:szCs w:val="20"/>
          <w:lang w:val="en-US"/>
        </w:rPr>
        <w:t xml:space="preserve"> while the rest are nonstationary.</w:t>
      </w:r>
    </w:p>
    <w:p w14:paraId="2410B41B" w14:textId="0EC9D187" w:rsidR="007D11DA" w:rsidRPr="00E53A50" w:rsidRDefault="00032571" w:rsidP="00E53208">
      <w:pPr>
        <w:jc w:val="center"/>
        <w:rPr>
          <w:sz w:val="20"/>
          <w:szCs w:val="20"/>
          <w:lang w:val="en-US"/>
        </w:rPr>
      </w:pPr>
      <w:r w:rsidRPr="00E53A50">
        <w:rPr>
          <w:noProof/>
          <w:sz w:val="20"/>
          <w:szCs w:val="20"/>
          <w:lang w:val="en-US"/>
        </w:rPr>
        <w:drawing>
          <wp:inline distT="0" distB="0" distL="0" distR="0" wp14:anchorId="1F5FD38A" wp14:editId="6ACD3D00">
            <wp:extent cx="5731510" cy="22263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26310"/>
                    </a:xfrm>
                    <a:prstGeom prst="rect">
                      <a:avLst/>
                    </a:prstGeom>
                    <a:noFill/>
                    <a:ln>
                      <a:noFill/>
                    </a:ln>
                  </pic:spPr>
                </pic:pic>
              </a:graphicData>
            </a:graphic>
          </wp:inline>
        </w:drawing>
      </w:r>
    </w:p>
    <w:p w14:paraId="6F77E854" w14:textId="04FF068B" w:rsidR="00E53208" w:rsidRPr="00E53A50" w:rsidRDefault="00E53208" w:rsidP="00E53208">
      <w:pPr>
        <w:jc w:val="center"/>
        <w:rPr>
          <w:sz w:val="20"/>
          <w:szCs w:val="20"/>
          <w:lang w:val="en-US"/>
        </w:rPr>
      </w:pPr>
      <w:r w:rsidRPr="00E53A50">
        <w:rPr>
          <w:sz w:val="20"/>
          <w:szCs w:val="20"/>
          <w:lang w:val="en-US"/>
        </w:rPr>
        <w:t>Fig. 7. First and second-order differencing for both variables.</w:t>
      </w:r>
    </w:p>
    <w:p w14:paraId="46AAAD35" w14:textId="7E331D1C" w:rsidR="002D5250" w:rsidRPr="00E53A50" w:rsidRDefault="002D5250" w:rsidP="00E53208">
      <w:pPr>
        <w:jc w:val="center"/>
        <w:rPr>
          <w:sz w:val="20"/>
          <w:szCs w:val="20"/>
          <w:lang w:val="en-US"/>
        </w:rPr>
      </w:pPr>
    </w:p>
    <w:p w14:paraId="09F0B875" w14:textId="151C387F" w:rsidR="00897C39" w:rsidRPr="00E53A50" w:rsidRDefault="00897C39" w:rsidP="00E53208">
      <w:pPr>
        <w:jc w:val="center"/>
        <w:rPr>
          <w:sz w:val="20"/>
          <w:szCs w:val="20"/>
          <w:lang w:val="en-US"/>
        </w:rPr>
      </w:pPr>
      <w:r w:rsidRPr="00E53A50">
        <w:rPr>
          <w:sz w:val="20"/>
          <w:szCs w:val="20"/>
          <w:lang w:val="en-US"/>
        </w:rPr>
        <w:t xml:space="preserve">Table 2: ADF stationarity test </w:t>
      </w:r>
    </w:p>
    <w:tbl>
      <w:tblPr>
        <w:tblStyle w:val="TableGrid"/>
        <w:tblW w:w="9097" w:type="dxa"/>
        <w:tblLook w:val="04A0" w:firstRow="1" w:lastRow="0" w:firstColumn="1" w:lastColumn="0" w:noHBand="0" w:noVBand="1"/>
      </w:tblPr>
      <w:tblGrid>
        <w:gridCol w:w="3032"/>
        <w:gridCol w:w="3032"/>
        <w:gridCol w:w="3033"/>
      </w:tblGrid>
      <w:tr w:rsidR="00897C39" w:rsidRPr="00E53A50" w14:paraId="12F29022" w14:textId="77777777" w:rsidTr="00897C39">
        <w:trPr>
          <w:trHeight w:val="318"/>
        </w:trPr>
        <w:tc>
          <w:tcPr>
            <w:tcW w:w="3032" w:type="dxa"/>
          </w:tcPr>
          <w:p w14:paraId="1E345FB5" w14:textId="77777777" w:rsidR="00897C39" w:rsidRPr="00E53A50" w:rsidRDefault="00897C39" w:rsidP="00E53208">
            <w:pPr>
              <w:jc w:val="center"/>
              <w:rPr>
                <w:sz w:val="20"/>
                <w:szCs w:val="20"/>
                <w:lang w:val="en-US"/>
              </w:rPr>
            </w:pPr>
          </w:p>
        </w:tc>
        <w:tc>
          <w:tcPr>
            <w:tcW w:w="3032" w:type="dxa"/>
          </w:tcPr>
          <w:p w14:paraId="5A486AD5" w14:textId="30BD0F7F" w:rsidR="00897C39" w:rsidRPr="00E53A50" w:rsidRDefault="00897C39" w:rsidP="00E53208">
            <w:pPr>
              <w:jc w:val="center"/>
              <w:rPr>
                <w:sz w:val="20"/>
                <w:szCs w:val="20"/>
                <w:lang w:val="en-US"/>
              </w:rPr>
            </w:pPr>
            <w:r w:rsidRPr="00E53A50">
              <w:rPr>
                <w:i/>
                <w:iCs/>
                <w:sz w:val="20"/>
                <w:szCs w:val="20"/>
                <w:lang w:val="en-US"/>
              </w:rPr>
              <w:t>‘Records’</w:t>
            </w:r>
            <w:r w:rsidRPr="00E53A50">
              <w:rPr>
                <w:sz w:val="20"/>
                <w:szCs w:val="20"/>
                <w:lang w:val="en-US"/>
              </w:rPr>
              <w:t xml:space="preserve"> p-value</w:t>
            </w:r>
          </w:p>
        </w:tc>
        <w:tc>
          <w:tcPr>
            <w:tcW w:w="3033" w:type="dxa"/>
          </w:tcPr>
          <w:p w14:paraId="2737638B" w14:textId="45CD1F99" w:rsidR="00897C39" w:rsidRPr="00E53A50" w:rsidRDefault="00897C39" w:rsidP="00E53208">
            <w:pPr>
              <w:jc w:val="center"/>
              <w:rPr>
                <w:sz w:val="20"/>
                <w:szCs w:val="20"/>
                <w:lang w:val="en-US"/>
              </w:rPr>
            </w:pPr>
            <w:r w:rsidRPr="00E53A50">
              <w:rPr>
                <w:rFonts w:cstheme="minorHAnsi"/>
                <w:i/>
                <w:iCs/>
                <w:sz w:val="20"/>
                <w:szCs w:val="20"/>
                <w:lang w:val="en-US"/>
              </w:rPr>
              <w:t>'file_size_gb'</w:t>
            </w:r>
            <w:r w:rsidRPr="00E53A50">
              <w:rPr>
                <w:rFonts w:cstheme="minorHAnsi"/>
                <w:sz w:val="20"/>
                <w:szCs w:val="20"/>
                <w:lang w:val="en-US"/>
              </w:rPr>
              <w:t xml:space="preserve"> p-value</w:t>
            </w:r>
          </w:p>
        </w:tc>
      </w:tr>
      <w:tr w:rsidR="00897C39" w:rsidRPr="00E53A50" w14:paraId="4AEA8E4D" w14:textId="77777777" w:rsidTr="00897C39">
        <w:trPr>
          <w:trHeight w:val="318"/>
        </w:trPr>
        <w:tc>
          <w:tcPr>
            <w:tcW w:w="3032" w:type="dxa"/>
          </w:tcPr>
          <w:p w14:paraId="7E902A82" w14:textId="77F528BC" w:rsidR="00897C39" w:rsidRPr="00E53A50" w:rsidRDefault="00897C39" w:rsidP="00E53208">
            <w:pPr>
              <w:jc w:val="center"/>
              <w:rPr>
                <w:sz w:val="20"/>
                <w:szCs w:val="20"/>
                <w:lang w:val="en-US"/>
              </w:rPr>
            </w:pPr>
            <w:r w:rsidRPr="00E53A50">
              <w:rPr>
                <w:sz w:val="20"/>
                <w:szCs w:val="20"/>
                <w:lang w:val="en-US"/>
              </w:rPr>
              <w:t>Original series</w:t>
            </w:r>
          </w:p>
        </w:tc>
        <w:tc>
          <w:tcPr>
            <w:tcW w:w="3032" w:type="dxa"/>
          </w:tcPr>
          <w:p w14:paraId="7BBBCC56" w14:textId="4683E083" w:rsidR="00897C39" w:rsidRPr="00E53A50" w:rsidRDefault="00897C39" w:rsidP="00E53208">
            <w:pPr>
              <w:jc w:val="center"/>
              <w:rPr>
                <w:sz w:val="20"/>
                <w:szCs w:val="20"/>
                <w:lang w:val="en-US"/>
              </w:rPr>
            </w:pPr>
            <w:r w:rsidRPr="00E53A50">
              <w:rPr>
                <w:sz w:val="20"/>
                <w:szCs w:val="20"/>
                <w:lang w:val="en-US"/>
              </w:rPr>
              <w:t>0.999</w:t>
            </w:r>
          </w:p>
        </w:tc>
        <w:tc>
          <w:tcPr>
            <w:tcW w:w="3033" w:type="dxa"/>
          </w:tcPr>
          <w:p w14:paraId="6E9AFD0B" w14:textId="3C2A683B" w:rsidR="00897C39" w:rsidRPr="00E53A50" w:rsidRDefault="00897C39" w:rsidP="00E53208">
            <w:pPr>
              <w:jc w:val="center"/>
              <w:rPr>
                <w:sz w:val="20"/>
                <w:szCs w:val="20"/>
                <w:lang w:val="en-US"/>
              </w:rPr>
            </w:pPr>
            <w:r w:rsidRPr="00E53A50">
              <w:rPr>
                <w:sz w:val="20"/>
                <w:szCs w:val="20"/>
                <w:lang w:val="en-US"/>
              </w:rPr>
              <w:t>0.994</w:t>
            </w:r>
          </w:p>
        </w:tc>
      </w:tr>
      <w:tr w:rsidR="00897C39" w:rsidRPr="00E53A50" w14:paraId="2512F430" w14:textId="77777777" w:rsidTr="00897C39">
        <w:trPr>
          <w:trHeight w:val="334"/>
        </w:trPr>
        <w:tc>
          <w:tcPr>
            <w:tcW w:w="3032" w:type="dxa"/>
          </w:tcPr>
          <w:p w14:paraId="2361EAD4" w14:textId="0FDEBAD4" w:rsidR="00897C39" w:rsidRPr="00E53A50" w:rsidRDefault="00897C39" w:rsidP="00E53208">
            <w:pPr>
              <w:jc w:val="center"/>
              <w:rPr>
                <w:sz w:val="20"/>
                <w:szCs w:val="20"/>
                <w:lang w:val="en-US"/>
              </w:rPr>
            </w:pPr>
            <w:r w:rsidRPr="00E53A50">
              <w:rPr>
                <w:sz w:val="20"/>
                <w:szCs w:val="20"/>
                <w:lang w:val="en-US"/>
              </w:rPr>
              <w:t>1</w:t>
            </w:r>
            <w:r w:rsidRPr="00E53A50">
              <w:rPr>
                <w:sz w:val="20"/>
                <w:szCs w:val="20"/>
                <w:vertAlign w:val="superscript"/>
                <w:lang w:val="en-US"/>
              </w:rPr>
              <w:t>st</w:t>
            </w:r>
            <w:r w:rsidRPr="00E53A50">
              <w:rPr>
                <w:sz w:val="20"/>
                <w:szCs w:val="20"/>
                <w:lang w:val="en-US"/>
              </w:rPr>
              <w:t>-order differencing series</w:t>
            </w:r>
          </w:p>
        </w:tc>
        <w:tc>
          <w:tcPr>
            <w:tcW w:w="3032" w:type="dxa"/>
          </w:tcPr>
          <w:p w14:paraId="7E7A8C19" w14:textId="422B4809" w:rsidR="00897C39" w:rsidRPr="00E53A50" w:rsidRDefault="00897C39" w:rsidP="00E53208">
            <w:pPr>
              <w:jc w:val="center"/>
              <w:rPr>
                <w:sz w:val="20"/>
                <w:szCs w:val="20"/>
                <w:lang w:val="en-US"/>
              </w:rPr>
            </w:pPr>
            <w:r w:rsidRPr="00E53A50">
              <w:rPr>
                <w:sz w:val="20"/>
                <w:szCs w:val="20"/>
                <w:lang w:val="en-US"/>
              </w:rPr>
              <w:t>0.006</w:t>
            </w:r>
          </w:p>
        </w:tc>
        <w:tc>
          <w:tcPr>
            <w:tcW w:w="3033" w:type="dxa"/>
          </w:tcPr>
          <w:p w14:paraId="3E5D870E" w14:textId="46F73D98" w:rsidR="00897C39" w:rsidRPr="00E53A50" w:rsidRDefault="00897C39" w:rsidP="00E53208">
            <w:pPr>
              <w:jc w:val="center"/>
              <w:rPr>
                <w:sz w:val="20"/>
                <w:szCs w:val="20"/>
                <w:lang w:val="en-US"/>
              </w:rPr>
            </w:pPr>
            <w:r w:rsidRPr="00E53A50">
              <w:rPr>
                <w:sz w:val="20"/>
                <w:szCs w:val="20"/>
                <w:lang w:val="en-US"/>
              </w:rPr>
              <w:t>0.139</w:t>
            </w:r>
          </w:p>
        </w:tc>
      </w:tr>
      <w:tr w:rsidR="00897C39" w:rsidRPr="00E53A50" w14:paraId="17729A38" w14:textId="77777777" w:rsidTr="00897C39">
        <w:trPr>
          <w:trHeight w:val="318"/>
        </w:trPr>
        <w:tc>
          <w:tcPr>
            <w:tcW w:w="3032" w:type="dxa"/>
          </w:tcPr>
          <w:p w14:paraId="632E8F94" w14:textId="3218FBA7" w:rsidR="00897C39" w:rsidRPr="00E53A50" w:rsidRDefault="00897C39" w:rsidP="00E53208">
            <w:pPr>
              <w:jc w:val="center"/>
              <w:rPr>
                <w:sz w:val="20"/>
                <w:szCs w:val="20"/>
                <w:lang w:val="en-US"/>
              </w:rPr>
            </w:pPr>
            <w:r w:rsidRPr="00E53A50">
              <w:rPr>
                <w:sz w:val="20"/>
                <w:szCs w:val="20"/>
                <w:lang w:val="en-US"/>
              </w:rPr>
              <w:t>2</w:t>
            </w:r>
            <w:r w:rsidRPr="00E53A50">
              <w:rPr>
                <w:sz w:val="20"/>
                <w:szCs w:val="20"/>
                <w:vertAlign w:val="superscript"/>
                <w:lang w:val="en-US"/>
              </w:rPr>
              <w:t>nd</w:t>
            </w:r>
            <w:r w:rsidRPr="00E53A50">
              <w:rPr>
                <w:sz w:val="20"/>
                <w:szCs w:val="20"/>
                <w:lang w:val="en-US"/>
              </w:rPr>
              <w:t xml:space="preserve">-order differencing series </w:t>
            </w:r>
          </w:p>
        </w:tc>
        <w:tc>
          <w:tcPr>
            <w:tcW w:w="3032" w:type="dxa"/>
          </w:tcPr>
          <w:p w14:paraId="0C471F2C" w14:textId="4C9C3574" w:rsidR="00897C39" w:rsidRPr="00E53A50" w:rsidRDefault="00897C39" w:rsidP="00E53208">
            <w:pPr>
              <w:jc w:val="center"/>
              <w:rPr>
                <w:sz w:val="20"/>
                <w:szCs w:val="20"/>
                <w:lang w:val="en-US"/>
              </w:rPr>
            </w:pPr>
            <w:r w:rsidRPr="00E53A50">
              <w:rPr>
                <w:sz w:val="20"/>
                <w:szCs w:val="20"/>
                <w:lang w:val="en-US"/>
              </w:rPr>
              <w:t>1.247</w:t>
            </w:r>
          </w:p>
        </w:tc>
        <w:tc>
          <w:tcPr>
            <w:tcW w:w="3033" w:type="dxa"/>
          </w:tcPr>
          <w:p w14:paraId="1F839EDF" w14:textId="29126192" w:rsidR="00897C39" w:rsidRPr="00E53A50" w:rsidRDefault="00897C39" w:rsidP="00E53208">
            <w:pPr>
              <w:jc w:val="center"/>
              <w:rPr>
                <w:sz w:val="20"/>
                <w:szCs w:val="20"/>
                <w:lang w:val="en-US"/>
              </w:rPr>
            </w:pPr>
            <w:r w:rsidRPr="00E53A50">
              <w:rPr>
                <w:sz w:val="20"/>
                <w:szCs w:val="20"/>
                <w:lang w:val="en-US"/>
              </w:rPr>
              <w:t>3.865</w:t>
            </w:r>
          </w:p>
        </w:tc>
      </w:tr>
    </w:tbl>
    <w:p w14:paraId="3C4B6A5D" w14:textId="343C4841" w:rsidR="00447216" w:rsidRPr="00E53A50" w:rsidRDefault="00447216" w:rsidP="00447216">
      <w:pPr>
        <w:rPr>
          <w:sz w:val="20"/>
          <w:szCs w:val="20"/>
          <w:lang w:val="en-US"/>
        </w:rPr>
      </w:pPr>
    </w:p>
    <w:p w14:paraId="07ACB09F" w14:textId="6234D44C" w:rsidR="00447216" w:rsidRPr="00E53A50" w:rsidRDefault="00447216" w:rsidP="00447216">
      <w:pPr>
        <w:rPr>
          <w:b/>
          <w:bCs/>
          <w:sz w:val="20"/>
          <w:szCs w:val="20"/>
          <w:lang w:val="en-US"/>
        </w:rPr>
      </w:pPr>
      <w:r w:rsidRPr="00E53A50">
        <w:rPr>
          <w:b/>
          <w:bCs/>
          <w:sz w:val="20"/>
          <w:szCs w:val="20"/>
          <w:lang w:val="en-US"/>
        </w:rPr>
        <w:t xml:space="preserve">The </w:t>
      </w:r>
      <w:r w:rsidR="00AC666F" w:rsidRPr="00E53A50">
        <w:rPr>
          <w:b/>
          <w:bCs/>
          <w:sz w:val="20"/>
          <w:szCs w:val="20"/>
          <w:lang w:val="en-US"/>
        </w:rPr>
        <w:t>M</w:t>
      </w:r>
      <w:r w:rsidRPr="00E53A50">
        <w:rPr>
          <w:b/>
          <w:bCs/>
          <w:sz w:val="20"/>
          <w:szCs w:val="20"/>
          <w:lang w:val="en-US"/>
        </w:rPr>
        <w:t xml:space="preserve">odels </w:t>
      </w:r>
    </w:p>
    <w:p w14:paraId="61622861" w14:textId="31D09608" w:rsidR="00CE0921" w:rsidRPr="00E53A50" w:rsidRDefault="00A52ED5" w:rsidP="00557F02">
      <w:pPr>
        <w:jc w:val="both"/>
        <w:rPr>
          <w:sz w:val="20"/>
          <w:szCs w:val="20"/>
          <w:lang w:val="en-US"/>
        </w:rPr>
      </w:pPr>
      <w:r w:rsidRPr="00E53A50">
        <w:rPr>
          <w:sz w:val="20"/>
          <w:szCs w:val="20"/>
          <w:lang w:val="en-US"/>
        </w:rPr>
        <w:t xml:space="preserve">Now we </w:t>
      </w:r>
      <w:r w:rsidR="008A2275" w:rsidRPr="00E53A50">
        <w:rPr>
          <w:sz w:val="20"/>
          <w:szCs w:val="20"/>
          <w:lang w:val="en-US"/>
        </w:rPr>
        <w:t xml:space="preserve">will briefly </w:t>
      </w:r>
      <w:r w:rsidR="00557F02" w:rsidRPr="00E53A50">
        <w:rPr>
          <w:sz w:val="20"/>
          <w:szCs w:val="20"/>
          <w:lang w:val="en-US"/>
        </w:rPr>
        <w:t>describe</w:t>
      </w:r>
      <w:r w:rsidR="008A2275" w:rsidRPr="00E53A50">
        <w:rPr>
          <w:sz w:val="20"/>
          <w:szCs w:val="20"/>
          <w:lang w:val="en-US"/>
        </w:rPr>
        <w:t xml:space="preserve"> the models used for conducting the forecasting tasks. </w:t>
      </w:r>
      <w:r w:rsidR="002A07F1" w:rsidRPr="00E53A50">
        <w:rPr>
          <w:sz w:val="20"/>
          <w:szCs w:val="20"/>
          <w:lang w:val="en-US"/>
        </w:rPr>
        <w:t xml:space="preserve">A total of four models are tested, i.e. </w:t>
      </w:r>
      <w:r w:rsidR="00DE48A4" w:rsidRPr="00E53A50">
        <w:rPr>
          <w:sz w:val="20"/>
          <w:szCs w:val="20"/>
          <w:lang w:val="en-US"/>
        </w:rPr>
        <w:t xml:space="preserve">two statistical models including </w:t>
      </w:r>
      <w:r w:rsidR="002A07F1" w:rsidRPr="00E53A50">
        <w:rPr>
          <w:sz w:val="20"/>
          <w:szCs w:val="20"/>
          <w:lang w:val="en-US"/>
        </w:rPr>
        <w:t xml:space="preserve">the benchmark model ARIMA, </w:t>
      </w:r>
      <w:r w:rsidR="00DE48A4" w:rsidRPr="00E53A50">
        <w:rPr>
          <w:sz w:val="20"/>
          <w:szCs w:val="20"/>
          <w:lang w:val="en-US"/>
        </w:rPr>
        <w:t xml:space="preserve">the </w:t>
      </w:r>
      <w:r w:rsidR="00557F02" w:rsidRPr="00E53A50">
        <w:rPr>
          <w:sz w:val="20"/>
          <w:szCs w:val="20"/>
          <w:lang w:val="en-US"/>
        </w:rPr>
        <w:t>Vector Autoregression (VAR) model; two non-neural network machine learning models, i.e., the Kaggle data science competition winner model XGBoost but in its regression version (</w:t>
      </w:r>
      <w:r w:rsidR="00557F02" w:rsidRPr="00E53A50">
        <w:rPr>
          <w:rFonts w:eastAsiaTheme="minorEastAsia"/>
          <w:sz w:val="20"/>
          <w:szCs w:val="20"/>
          <w:lang w:val="en-US"/>
        </w:rPr>
        <w:t>XGBR</w:t>
      </w:r>
      <w:r w:rsidR="00F76255">
        <w:rPr>
          <w:rFonts w:eastAsiaTheme="minorEastAsia"/>
          <w:sz w:val="20"/>
          <w:szCs w:val="20"/>
          <w:lang w:val="en-US"/>
        </w:rPr>
        <w:t>e</w:t>
      </w:r>
      <w:r w:rsidR="00557F02" w:rsidRPr="00E53A50">
        <w:rPr>
          <w:rFonts w:eastAsiaTheme="minorEastAsia"/>
          <w:sz w:val="20"/>
          <w:szCs w:val="20"/>
          <w:lang w:val="en-US"/>
        </w:rPr>
        <w:t>gressor</w:t>
      </w:r>
      <w:r w:rsidR="00557F02" w:rsidRPr="00E53A50">
        <w:rPr>
          <w:sz w:val="20"/>
          <w:szCs w:val="20"/>
          <w:lang w:val="en-US"/>
        </w:rPr>
        <w:t xml:space="preserve"> </w:t>
      </w:r>
      <w:r w:rsidR="00557F02" w:rsidRPr="00E53A50">
        <w:rPr>
          <w:rStyle w:val="FootnoteReference"/>
          <w:sz w:val="20"/>
          <w:szCs w:val="20"/>
          <w:lang w:val="en-US"/>
        </w:rPr>
        <w:footnoteReference w:id="1"/>
      </w:r>
      <w:r w:rsidR="00A921BC" w:rsidRPr="00E53A50">
        <w:rPr>
          <w:sz w:val="20"/>
          <w:szCs w:val="20"/>
          <w:lang w:val="en-US"/>
        </w:rPr>
        <w:t xml:space="preserve">), </w:t>
      </w:r>
      <w:r w:rsidR="004D0513" w:rsidRPr="00E53A50">
        <w:rPr>
          <w:sz w:val="20"/>
          <w:szCs w:val="20"/>
          <w:lang w:val="en-US"/>
        </w:rPr>
        <w:t>Support Vector Regression (SVR</w:t>
      </w:r>
      <w:r w:rsidR="007319B7">
        <w:rPr>
          <w:rStyle w:val="FootnoteReference"/>
          <w:sz w:val="20"/>
          <w:szCs w:val="20"/>
          <w:lang w:val="en-US"/>
        </w:rPr>
        <w:footnoteReference w:id="2"/>
      </w:r>
      <w:r w:rsidR="004D0513" w:rsidRPr="00E53A50">
        <w:rPr>
          <w:sz w:val="20"/>
          <w:szCs w:val="20"/>
          <w:lang w:val="en-US"/>
        </w:rPr>
        <w:t xml:space="preserve">). </w:t>
      </w:r>
    </w:p>
    <w:p w14:paraId="3CDEC54B" w14:textId="6E83C9BE" w:rsidR="00CE0921" w:rsidRPr="00E53A50" w:rsidRDefault="00CE0921" w:rsidP="00557F02">
      <w:pPr>
        <w:jc w:val="both"/>
        <w:rPr>
          <w:sz w:val="20"/>
          <w:szCs w:val="20"/>
          <w:u w:val="single"/>
          <w:lang w:val="en-US"/>
        </w:rPr>
      </w:pPr>
      <w:r w:rsidRPr="00E53A50">
        <w:rPr>
          <w:sz w:val="20"/>
          <w:szCs w:val="20"/>
          <w:u w:val="single"/>
          <w:lang w:val="en-US"/>
        </w:rPr>
        <w:t>Autoregressive Integrated Moving Average (ARIMA)</w:t>
      </w:r>
    </w:p>
    <w:p w14:paraId="1A5356B2" w14:textId="028E9EE4" w:rsidR="00C75032" w:rsidRPr="00E53A50" w:rsidRDefault="006A1333" w:rsidP="00557F02">
      <w:pPr>
        <w:jc w:val="both"/>
        <w:rPr>
          <w:sz w:val="20"/>
          <w:szCs w:val="20"/>
          <w:lang w:val="en-US"/>
        </w:rPr>
      </w:pPr>
      <w:r w:rsidRPr="00E53A50">
        <w:rPr>
          <w:sz w:val="20"/>
          <w:szCs w:val="20"/>
          <w:lang w:val="en-US"/>
        </w:rPr>
        <w:t xml:space="preserve">ARIMA </w:t>
      </w:r>
      <w:r w:rsidRPr="00E53A50">
        <w:rPr>
          <w:sz w:val="20"/>
          <w:szCs w:val="20"/>
          <w:lang w:val="en-US"/>
        </w:rPr>
        <w:t>makes use of lagged moving averages to smooth time series data</w:t>
      </w:r>
      <w:r w:rsidRPr="00E53A50">
        <w:rPr>
          <w:sz w:val="20"/>
          <w:szCs w:val="20"/>
          <w:lang w:val="en-US"/>
        </w:rPr>
        <w:t xml:space="preserve"> is widely used to forecast future trend of time series data. The underpinning assumption of it is that the future resembles the past, which however is inaccurate since this does not account for data drift and change of trends and statistical properties, incident interventions and more. </w:t>
      </w:r>
      <w:r w:rsidR="00C75032" w:rsidRPr="00E53A50">
        <w:rPr>
          <w:sz w:val="20"/>
          <w:szCs w:val="20"/>
          <w:lang w:val="en-US"/>
        </w:rPr>
        <w:t>In ARIMA, parameters like time lags, differencing order and window size can be defined. It can be computational expensive and less effective in long range predictions.</w:t>
      </w:r>
    </w:p>
    <w:p w14:paraId="4E5BE140" w14:textId="7B26EB84" w:rsidR="00CE0921" w:rsidRPr="00E53A50" w:rsidRDefault="00C75032" w:rsidP="00557F02">
      <w:pPr>
        <w:jc w:val="both"/>
        <w:rPr>
          <w:sz w:val="20"/>
          <w:szCs w:val="20"/>
          <w:u w:val="single"/>
          <w:lang w:val="en-US"/>
        </w:rPr>
      </w:pPr>
      <w:r w:rsidRPr="00E53A50">
        <w:rPr>
          <w:sz w:val="20"/>
          <w:szCs w:val="20"/>
          <w:u w:val="single"/>
          <w:lang w:val="en-US"/>
        </w:rPr>
        <w:t>Vector Autoregression (VAR)</w:t>
      </w:r>
    </w:p>
    <w:p w14:paraId="1F262403" w14:textId="00F7C4E8" w:rsidR="00C75032" w:rsidRPr="00E53A50" w:rsidRDefault="00522624" w:rsidP="00557F02">
      <w:pPr>
        <w:jc w:val="both"/>
        <w:rPr>
          <w:sz w:val="20"/>
          <w:szCs w:val="20"/>
          <w:lang w:val="en-US"/>
        </w:rPr>
      </w:pPr>
      <w:r w:rsidRPr="00E53A50">
        <w:rPr>
          <w:sz w:val="20"/>
          <w:szCs w:val="20"/>
          <w:lang w:val="en-US"/>
        </w:rPr>
        <w:lastRenderedPageBreak/>
        <w:t xml:space="preserve">VAR is yet another autoregressive model and similar to ARIMA, but it significantly differs from most autoregressive models by its capacity to predict all variables at once. It runs over a number of variable (endogenous variables in VAR’s term) simultaneously and make prediction based on their lag values. </w:t>
      </w:r>
      <w:r w:rsidR="00B41BC7" w:rsidRPr="00E53A50">
        <w:rPr>
          <w:sz w:val="20"/>
          <w:szCs w:val="20"/>
          <w:lang w:val="en-US"/>
        </w:rPr>
        <w:t>It also requires the data to stationary in order to guarantee best performance.</w:t>
      </w:r>
    </w:p>
    <w:p w14:paraId="618CA67A" w14:textId="5081EE63" w:rsidR="00D93A3F" w:rsidRPr="00E53A50" w:rsidRDefault="00D93A3F" w:rsidP="00557F02">
      <w:pPr>
        <w:jc w:val="both"/>
        <w:rPr>
          <w:rFonts w:eastAsiaTheme="minorEastAsia"/>
          <w:sz w:val="20"/>
          <w:szCs w:val="20"/>
          <w:u w:val="single"/>
          <w:lang w:val="en-US"/>
        </w:rPr>
      </w:pPr>
      <w:r w:rsidRPr="00E53A50">
        <w:rPr>
          <w:rFonts w:eastAsiaTheme="minorEastAsia"/>
          <w:sz w:val="20"/>
          <w:szCs w:val="20"/>
          <w:u w:val="single"/>
          <w:lang w:val="en-US"/>
        </w:rPr>
        <w:t>XGBR</w:t>
      </w:r>
      <w:r w:rsidR="00F76255">
        <w:rPr>
          <w:rFonts w:eastAsiaTheme="minorEastAsia"/>
          <w:sz w:val="20"/>
          <w:szCs w:val="20"/>
          <w:u w:val="single"/>
          <w:lang w:val="en-US"/>
        </w:rPr>
        <w:t>e</w:t>
      </w:r>
      <w:r w:rsidRPr="00E53A50">
        <w:rPr>
          <w:rFonts w:eastAsiaTheme="minorEastAsia"/>
          <w:sz w:val="20"/>
          <w:szCs w:val="20"/>
          <w:u w:val="single"/>
          <w:lang w:val="en-US"/>
        </w:rPr>
        <w:t>gressor</w:t>
      </w:r>
      <w:r w:rsidR="00900385" w:rsidRPr="00E53A50">
        <w:rPr>
          <w:rFonts w:eastAsiaTheme="minorEastAsia"/>
          <w:sz w:val="20"/>
          <w:szCs w:val="20"/>
          <w:u w:val="single"/>
          <w:lang w:val="en-US"/>
        </w:rPr>
        <w:t xml:space="preserve"> </w:t>
      </w:r>
    </w:p>
    <w:p w14:paraId="24BDD3E3" w14:textId="23A33491" w:rsidR="00F85B18" w:rsidRPr="00E53A50" w:rsidRDefault="00900385" w:rsidP="00557F02">
      <w:pPr>
        <w:jc w:val="both"/>
        <w:rPr>
          <w:rFonts w:eastAsiaTheme="minorEastAsia"/>
          <w:sz w:val="20"/>
          <w:szCs w:val="20"/>
          <w:lang w:val="en-US"/>
        </w:rPr>
      </w:pPr>
      <w:r w:rsidRPr="00E53A50">
        <w:rPr>
          <w:rFonts w:eastAsiaTheme="minorEastAsia"/>
          <w:sz w:val="20"/>
          <w:szCs w:val="20"/>
          <w:lang w:val="en-US"/>
        </w:rPr>
        <w:t>XGBR</w:t>
      </w:r>
      <w:r w:rsidR="00F76255">
        <w:rPr>
          <w:rFonts w:eastAsiaTheme="minorEastAsia"/>
          <w:sz w:val="20"/>
          <w:szCs w:val="20"/>
          <w:lang w:val="en-US"/>
        </w:rPr>
        <w:t>e</w:t>
      </w:r>
      <w:r w:rsidRPr="00E53A50">
        <w:rPr>
          <w:rFonts w:eastAsiaTheme="minorEastAsia"/>
          <w:sz w:val="20"/>
          <w:szCs w:val="20"/>
          <w:lang w:val="en-US"/>
        </w:rPr>
        <w:t>gressor</w:t>
      </w:r>
      <w:r w:rsidRPr="00E53A50">
        <w:rPr>
          <w:rFonts w:eastAsiaTheme="minorEastAsia"/>
          <w:sz w:val="20"/>
          <w:szCs w:val="20"/>
          <w:lang w:val="en-US"/>
        </w:rPr>
        <w:t xml:space="preserve"> is a part of the XGBoost model libraries but used for </w:t>
      </w:r>
      <w:r w:rsidR="002C258B" w:rsidRPr="00E53A50">
        <w:rPr>
          <w:rFonts w:eastAsiaTheme="minorEastAsia"/>
          <w:sz w:val="20"/>
          <w:szCs w:val="20"/>
          <w:lang w:val="en-US"/>
        </w:rPr>
        <w:t xml:space="preserve">supervised </w:t>
      </w:r>
      <w:r w:rsidRPr="00E53A50">
        <w:rPr>
          <w:rFonts w:eastAsiaTheme="minorEastAsia"/>
          <w:sz w:val="20"/>
          <w:szCs w:val="20"/>
          <w:lang w:val="en-US"/>
        </w:rPr>
        <w:t xml:space="preserve">regression purposes. The XGBoost is an </w:t>
      </w:r>
      <w:r w:rsidR="00F85B18" w:rsidRPr="00E53A50">
        <w:rPr>
          <w:rFonts w:eastAsiaTheme="minorEastAsia"/>
          <w:sz w:val="20"/>
          <w:szCs w:val="20"/>
          <w:lang w:val="en-US"/>
        </w:rPr>
        <w:t>open-source</w:t>
      </w:r>
      <w:r w:rsidRPr="00E53A50">
        <w:rPr>
          <w:rFonts w:eastAsiaTheme="minorEastAsia"/>
          <w:sz w:val="20"/>
          <w:szCs w:val="20"/>
          <w:lang w:val="en-US"/>
        </w:rPr>
        <w:t xml:space="preserve"> API where a large volume of gradient boosted tree models methods with flexible implementations, scalable processing framework and a large number of tunable </w:t>
      </w:r>
      <w:r w:rsidR="00F85B18" w:rsidRPr="00E53A50">
        <w:rPr>
          <w:rFonts w:eastAsiaTheme="minorEastAsia"/>
          <w:sz w:val="20"/>
          <w:szCs w:val="20"/>
          <w:lang w:val="en-US"/>
        </w:rPr>
        <w:t>hyperparameters</w:t>
      </w:r>
      <w:r w:rsidR="00F85B18" w:rsidRPr="00E53A50">
        <w:rPr>
          <w:rFonts w:eastAsiaTheme="minorEastAsia"/>
          <w:sz w:val="20"/>
          <w:szCs w:val="20"/>
          <w:lang w:val="en-US"/>
        </w:rPr>
        <w:t xml:space="preserve"> such as depth of trees, learning rate etc</w:t>
      </w:r>
      <w:r w:rsidRPr="00E53A50">
        <w:rPr>
          <w:rFonts w:eastAsiaTheme="minorEastAsia"/>
          <w:sz w:val="20"/>
          <w:szCs w:val="20"/>
          <w:lang w:val="en-US"/>
        </w:rPr>
        <w:t>. It is basically a machine learning model framework and usually much less computational expensive compared to neural networks</w:t>
      </w:r>
      <w:r w:rsidR="00F85B18" w:rsidRPr="00E53A50">
        <w:rPr>
          <w:rFonts w:eastAsiaTheme="minorEastAsia"/>
          <w:sz w:val="20"/>
          <w:szCs w:val="20"/>
          <w:lang w:val="en-US"/>
        </w:rPr>
        <w:t>.</w:t>
      </w:r>
      <w:r w:rsidR="0004782D" w:rsidRPr="00E53A50">
        <w:rPr>
          <w:rFonts w:eastAsiaTheme="minorEastAsia"/>
          <w:sz w:val="20"/>
          <w:szCs w:val="20"/>
          <w:lang w:val="en-US"/>
        </w:rPr>
        <w:t xml:space="preserve"> It</w:t>
      </w:r>
      <w:r w:rsidR="00F85B18" w:rsidRPr="00E53A50">
        <w:rPr>
          <w:rFonts w:eastAsiaTheme="minorEastAsia"/>
          <w:sz w:val="20"/>
          <w:szCs w:val="20"/>
          <w:lang w:val="en-US"/>
        </w:rPr>
        <w:t xml:space="preserve"> uses a collection of decision trees (DT) to perform regression on different subset of the data for each tree, which can also be computationally parallelized. </w:t>
      </w:r>
      <w:r w:rsidR="0004782D" w:rsidRPr="00E53A50">
        <w:rPr>
          <w:rFonts w:eastAsiaTheme="minorEastAsia"/>
          <w:sz w:val="20"/>
          <w:szCs w:val="20"/>
          <w:lang w:val="en-US"/>
        </w:rPr>
        <w:t xml:space="preserve">It has been applied and tested </w:t>
      </w:r>
      <w:r w:rsidR="0004782D" w:rsidRPr="00E53A50">
        <w:rPr>
          <w:rFonts w:eastAsiaTheme="minorEastAsia"/>
          <w:sz w:val="20"/>
          <w:szCs w:val="20"/>
          <w:lang w:val="en-US"/>
        </w:rPr>
        <w:t xml:space="preserve">successfully </w:t>
      </w:r>
      <w:r w:rsidR="0004782D" w:rsidRPr="00E53A50">
        <w:rPr>
          <w:rFonts w:eastAsiaTheme="minorEastAsia"/>
          <w:sz w:val="20"/>
          <w:szCs w:val="20"/>
          <w:lang w:val="en-US"/>
        </w:rPr>
        <w:t xml:space="preserve">for various real-world applications with satisfactory results and won the first place in Kaggle data competition not long ago since initial release. </w:t>
      </w:r>
    </w:p>
    <w:p w14:paraId="789DFDB5" w14:textId="0FFACA42" w:rsidR="0004782D" w:rsidRPr="00E53A50" w:rsidRDefault="008420A1" w:rsidP="00557F02">
      <w:pPr>
        <w:jc w:val="both"/>
        <w:rPr>
          <w:sz w:val="20"/>
          <w:szCs w:val="20"/>
          <w:u w:val="single"/>
          <w:lang w:val="en-US"/>
        </w:rPr>
      </w:pPr>
      <w:r w:rsidRPr="00E53A50">
        <w:rPr>
          <w:sz w:val="20"/>
          <w:szCs w:val="20"/>
          <w:u w:val="single"/>
          <w:lang w:val="en-US"/>
        </w:rPr>
        <w:t>Support Vector Regression (SVR)</w:t>
      </w:r>
    </w:p>
    <w:p w14:paraId="00ECBC03" w14:textId="7883B87A" w:rsidR="00770845" w:rsidRPr="00E53A50" w:rsidRDefault="002C258B" w:rsidP="00557F02">
      <w:pPr>
        <w:jc w:val="both"/>
        <w:rPr>
          <w:sz w:val="20"/>
          <w:szCs w:val="20"/>
          <w:lang w:val="en-US"/>
        </w:rPr>
      </w:pPr>
      <w:r w:rsidRPr="00E53A50">
        <w:rPr>
          <w:sz w:val="20"/>
          <w:szCs w:val="20"/>
          <w:lang w:val="en-US"/>
        </w:rPr>
        <w:t>SVR is a derivation of Support Vector Machines (SVM)</w:t>
      </w:r>
      <w:r w:rsidR="005C639D" w:rsidRPr="00E53A50">
        <w:rPr>
          <w:sz w:val="20"/>
          <w:szCs w:val="20"/>
          <w:lang w:val="en-US"/>
        </w:rPr>
        <w:t xml:space="preserve"> with the same principle but for different machine learning tasks: whilst SVM is popular for classifications, SVM targets at performing regressions by finding the flattest </w:t>
      </w:r>
      <w:r w:rsidR="005C639D" w:rsidRPr="00E53A50">
        <w:rPr>
          <w:sz w:val="20"/>
          <w:szCs w:val="20"/>
          <w:lang w:val="en-US"/>
        </w:rPr>
        <w:t>hyperplane</w:t>
      </w:r>
      <w:r w:rsidR="005C639D" w:rsidRPr="00E53A50">
        <w:rPr>
          <w:sz w:val="20"/>
          <w:szCs w:val="20"/>
          <w:lang w:val="en-US"/>
        </w:rPr>
        <w:t xml:space="preserve"> which also maximizes the number of data points on the hyperplane. </w:t>
      </w:r>
      <w:r w:rsidR="007E3F9F" w:rsidRPr="00E53A50">
        <w:rPr>
          <w:sz w:val="20"/>
          <w:szCs w:val="20"/>
          <w:lang w:val="en-US"/>
        </w:rPr>
        <w:t>When fitting the data, hyperparameters like its kernel</w:t>
      </w:r>
      <w:r w:rsidR="00970FFB">
        <w:rPr>
          <w:sz w:val="20"/>
          <w:szCs w:val="20"/>
          <w:lang w:val="en-US"/>
        </w:rPr>
        <w:t xml:space="preserve">, </w:t>
      </w:r>
      <w:r w:rsidR="007E3F9F" w:rsidRPr="00E53A50">
        <w:rPr>
          <w:sz w:val="20"/>
          <w:szCs w:val="20"/>
          <w:lang w:val="en-US"/>
        </w:rPr>
        <w:t xml:space="preserve">the epsilon value relating to the flatness of the hyperplane and regularization parameters require to be tuned. </w:t>
      </w:r>
      <w:r w:rsidR="00A53DCE">
        <w:rPr>
          <w:sz w:val="20"/>
          <w:szCs w:val="20"/>
          <w:lang w:val="en-US"/>
        </w:rPr>
        <w:t>SVR can be computationally expensive when fitting a large dataset.</w:t>
      </w:r>
    </w:p>
    <w:p w14:paraId="232DF6D5" w14:textId="2FE828AE" w:rsidR="002C258B" w:rsidRDefault="00E301EA" w:rsidP="00557F02">
      <w:pPr>
        <w:jc w:val="both"/>
        <w:rPr>
          <w:b/>
          <w:bCs/>
          <w:sz w:val="20"/>
          <w:szCs w:val="20"/>
          <w:lang w:val="en-US"/>
        </w:rPr>
      </w:pPr>
      <w:r w:rsidRPr="00E53A50">
        <w:rPr>
          <w:b/>
          <w:bCs/>
          <w:sz w:val="20"/>
          <w:szCs w:val="20"/>
          <w:lang w:val="en-US"/>
        </w:rPr>
        <w:t>Modelling results</w:t>
      </w:r>
    </w:p>
    <w:p w14:paraId="0CE13997" w14:textId="6BF9BCDE" w:rsidR="00554E31" w:rsidRDefault="003139C0" w:rsidP="00557F02">
      <w:pPr>
        <w:jc w:val="both"/>
        <w:rPr>
          <w:sz w:val="20"/>
          <w:szCs w:val="20"/>
          <w:lang w:val="en-US"/>
        </w:rPr>
      </w:pPr>
      <w:r>
        <w:rPr>
          <w:sz w:val="20"/>
          <w:szCs w:val="20"/>
          <w:lang w:val="en-US"/>
        </w:rPr>
        <w:t xml:space="preserve">We will now divide the time series dataset into training and testing sets, train the above models with the training set and test on the test set, by evaluating and comparing the error metrics such as Mean Absolute Percentage Error (MAPE), Weighted </w:t>
      </w:r>
      <w:r>
        <w:rPr>
          <w:sz w:val="20"/>
          <w:szCs w:val="20"/>
          <w:lang w:val="en-US"/>
        </w:rPr>
        <w:t>Mean Absolute Percentage Error</w:t>
      </w:r>
      <w:r>
        <w:rPr>
          <w:sz w:val="20"/>
          <w:szCs w:val="20"/>
          <w:lang w:val="en-US"/>
        </w:rPr>
        <w:t xml:space="preserve"> (WMAPW) and Root Mean Squared Percentage Error (RMSPE) for each of the models. Once the models are tested, they are used to make a final forecasting for the data at 2023-01 timestamp.</w:t>
      </w:r>
    </w:p>
    <w:p w14:paraId="09FA3664" w14:textId="6963BE3A" w:rsidR="002047B3" w:rsidRDefault="00B85858" w:rsidP="00557F02">
      <w:pPr>
        <w:jc w:val="both"/>
        <w:rPr>
          <w:sz w:val="20"/>
          <w:szCs w:val="20"/>
          <w:lang w:val="en-US"/>
        </w:rPr>
      </w:pPr>
      <w:r>
        <w:rPr>
          <w:sz w:val="20"/>
          <w:szCs w:val="20"/>
          <w:lang w:val="en-US"/>
        </w:rPr>
        <w:t xml:space="preserve">The dataset has a total of 130 data samples and is divided into 110 training and 20 testing samples. Note there is comparably more training to test data in this split is because the data are not shuffled for training </w:t>
      </w:r>
      <w:r w:rsidRPr="00E53A50">
        <w:rPr>
          <w:sz w:val="20"/>
          <w:szCs w:val="20"/>
          <w:lang w:val="en-US"/>
        </w:rPr>
        <w:t xml:space="preserve">ARIMA and </w:t>
      </w:r>
      <w:r>
        <w:rPr>
          <w:sz w:val="20"/>
          <w:szCs w:val="20"/>
          <w:lang w:val="en-US"/>
        </w:rPr>
        <w:t xml:space="preserve">VAR </w:t>
      </w:r>
      <w:r>
        <w:rPr>
          <w:sz w:val="20"/>
          <w:szCs w:val="20"/>
          <w:lang w:val="en-US"/>
        </w:rPr>
        <w:t xml:space="preserve">and we want to preserve the trend changes as much as possible into the later timestamps. </w:t>
      </w:r>
    </w:p>
    <w:p w14:paraId="328598DA" w14:textId="7B249B77" w:rsidR="00B85858" w:rsidRDefault="00B85858" w:rsidP="00557F02">
      <w:pPr>
        <w:jc w:val="both"/>
        <w:rPr>
          <w:sz w:val="20"/>
          <w:szCs w:val="20"/>
          <w:lang w:val="en-US"/>
        </w:rPr>
      </w:pPr>
      <w:r>
        <w:rPr>
          <w:sz w:val="20"/>
          <w:szCs w:val="20"/>
          <w:lang w:val="en-US"/>
        </w:rPr>
        <w:t xml:space="preserve">The data is fed directly to the ARIMA and VAR model. For ARIMA, the moving average window is set at </w:t>
      </w:r>
      <w:r w:rsidR="00766E0B">
        <w:rPr>
          <w:sz w:val="20"/>
          <w:szCs w:val="20"/>
          <w:lang w:val="en-US"/>
        </w:rPr>
        <w:t>7</w:t>
      </w:r>
      <w:r>
        <w:rPr>
          <w:sz w:val="20"/>
          <w:szCs w:val="20"/>
          <w:lang w:val="en-US"/>
        </w:rPr>
        <w:t xml:space="preserve">,  difference is set to 1 (based on previous stationarity analysis), </w:t>
      </w:r>
      <w:r w:rsidR="00766E0B">
        <w:rPr>
          <w:sz w:val="20"/>
          <w:szCs w:val="20"/>
          <w:lang w:val="en-US"/>
        </w:rPr>
        <w:t xml:space="preserve">autoregressive order is also set to 1. </w:t>
      </w:r>
      <w:r w:rsidR="00A53DCE">
        <w:rPr>
          <w:sz w:val="20"/>
          <w:szCs w:val="20"/>
          <w:lang w:val="en-US"/>
        </w:rPr>
        <w:t xml:space="preserve">For the VAR model, </w:t>
      </w:r>
      <w:r w:rsidR="00B97069">
        <w:rPr>
          <w:sz w:val="20"/>
          <w:szCs w:val="20"/>
          <w:lang w:val="en-US"/>
        </w:rPr>
        <w:t xml:space="preserve">the model order is </w:t>
      </w:r>
      <w:r w:rsidR="00AC3CF4">
        <w:rPr>
          <w:sz w:val="20"/>
          <w:szCs w:val="20"/>
          <w:lang w:val="en-US"/>
        </w:rPr>
        <w:t xml:space="preserve">manually </w:t>
      </w:r>
      <w:r w:rsidR="00B97069">
        <w:rPr>
          <w:sz w:val="20"/>
          <w:szCs w:val="20"/>
          <w:lang w:val="en-US"/>
        </w:rPr>
        <w:t>optimized to 9</w:t>
      </w:r>
      <w:r w:rsidR="00AC3CF4">
        <w:rPr>
          <w:sz w:val="20"/>
          <w:szCs w:val="20"/>
          <w:lang w:val="en-US"/>
        </w:rPr>
        <w:t xml:space="preserve">. </w:t>
      </w:r>
      <w:r w:rsidR="004C55D8">
        <w:rPr>
          <w:sz w:val="20"/>
          <w:szCs w:val="20"/>
          <w:lang w:val="en-US"/>
        </w:rPr>
        <w:t xml:space="preserve">Modelling results are presented in Fig. 8 and Fig. 9 </w:t>
      </w:r>
    </w:p>
    <w:p w14:paraId="48B419E9" w14:textId="6B5130DA" w:rsidR="00402750" w:rsidRDefault="00402750" w:rsidP="00557F02">
      <w:pPr>
        <w:jc w:val="both"/>
        <w:rPr>
          <w:sz w:val="20"/>
          <w:szCs w:val="20"/>
          <w:lang w:val="en-US"/>
        </w:rPr>
      </w:pPr>
      <w:r>
        <w:rPr>
          <w:noProof/>
          <w:sz w:val="20"/>
          <w:szCs w:val="20"/>
          <w:lang w:val="en-US"/>
        </w:rPr>
        <w:drawing>
          <wp:inline distT="0" distB="0" distL="0" distR="0" wp14:anchorId="67E79D43" wp14:editId="3627DF1C">
            <wp:extent cx="5731510" cy="24841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84120"/>
                    </a:xfrm>
                    <a:prstGeom prst="rect">
                      <a:avLst/>
                    </a:prstGeom>
                    <a:noFill/>
                    <a:ln>
                      <a:noFill/>
                    </a:ln>
                  </pic:spPr>
                </pic:pic>
              </a:graphicData>
            </a:graphic>
          </wp:inline>
        </w:drawing>
      </w:r>
    </w:p>
    <w:p w14:paraId="24CC0333" w14:textId="22F59462" w:rsidR="00402750" w:rsidRDefault="00402750" w:rsidP="00402750">
      <w:pPr>
        <w:jc w:val="center"/>
        <w:rPr>
          <w:sz w:val="20"/>
          <w:szCs w:val="20"/>
          <w:lang w:val="en-US"/>
        </w:rPr>
      </w:pPr>
      <w:r>
        <w:rPr>
          <w:sz w:val="20"/>
          <w:szCs w:val="20"/>
          <w:lang w:val="en-US"/>
        </w:rPr>
        <w:t>Fig. 8. ARIMA</w:t>
      </w:r>
      <w:r w:rsidR="00DD59C5">
        <w:rPr>
          <w:sz w:val="20"/>
          <w:szCs w:val="20"/>
          <w:lang w:val="en-US"/>
        </w:rPr>
        <w:t xml:space="preserve"> forecasting </w:t>
      </w:r>
      <w:r w:rsidR="00DD59C5">
        <w:rPr>
          <w:sz w:val="20"/>
          <w:szCs w:val="20"/>
          <w:lang w:val="en-US"/>
        </w:rPr>
        <w:t xml:space="preserve">on the </w:t>
      </w:r>
      <w:r w:rsidR="00DD59C5">
        <w:rPr>
          <w:sz w:val="20"/>
          <w:szCs w:val="20"/>
          <w:lang w:val="en-US"/>
        </w:rPr>
        <w:t>test</w:t>
      </w:r>
      <w:r w:rsidR="00DD59C5">
        <w:rPr>
          <w:sz w:val="20"/>
          <w:szCs w:val="20"/>
          <w:lang w:val="en-US"/>
        </w:rPr>
        <w:t xml:space="preserve"> data</w:t>
      </w:r>
    </w:p>
    <w:p w14:paraId="6BBF94BC" w14:textId="2B417ADF" w:rsidR="00402750" w:rsidRDefault="00402750" w:rsidP="00557F02">
      <w:pPr>
        <w:jc w:val="both"/>
        <w:rPr>
          <w:sz w:val="20"/>
          <w:szCs w:val="20"/>
          <w:lang w:val="en-US"/>
        </w:rPr>
      </w:pPr>
      <w:r>
        <w:rPr>
          <w:noProof/>
          <w:sz w:val="20"/>
          <w:szCs w:val="20"/>
          <w:lang w:val="en-US"/>
        </w:rPr>
        <w:lastRenderedPageBreak/>
        <w:drawing>
          <wp:inline distT="0" distB="0" distL="0" distR="0" wp14:anchorId="04C8894E" wp14:editId="795C7081">
            <wp:extent cx="5731510" cy="25831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14953132" w14:textId="7D63B9AD" w:rsidR="00402750" w:rsidRDefault="00402750" w:rsidP="00D60FF6">
      <w:pPr>
        <w:jc w:val="center"/>
        <w:rPr>
          <w:sz w:val="20"/>
          <w:szCs w:val="20"/>
          <w:lang w:val="en-US"/>
        </w:rPr>
      </w:pPr>
      <w:r>
        <w:rPr>
          <w:sz w:val="20"/>
          <w:szCs w:val="20"/>
          <w:lang w:val="en-US"/>
        </w:rPr>
        <w:t>Fig. 9. VAR forecasting</w:t>
      </w:r>
      <w:r w:rsidR="00DD59C5" w:rsidRPr="00DD59C5">
        <w:rPr>
          <w:sz w:val="20"/>
          <w:szCs w:val="20"/>
          <w:lang w:val="en-US"/>
        </w:rPr>
        <w:t xml:space="preserve"> </w:t>
      </w:r>
      <w:r w:rsidR="00DD59C5">
        <w:rPr>
          <w:sz w:val="20"/>
          <w:szCs w:val="20"/>
          <w:lang w:val="en-US"/>
        </w:rPr>
        <w:t>on the test data</w:t>
      </w:r>
    </w:p>
    <w:p w14:paraId="4D93E36D" w14:textId="462C1850" w:rsidR="004C55D8" w:rsidRDefault="00402750" w:rsidP="00557F02">
      <w:pPr>
        <w:jc w:val="both"/>
        <w:rPr>
          <w:sz w:val="20"/>
          <w:szCs w:val="20"/>
          <w:lang w:val="en-US"/>
        </w:rPr>
      </w:pPr>
      <w:r>
        <w:rPr>
          <w:sz w:val="20"/>
          <w:szCs w:val="20"/>
          <w:lang w:val="en-US"/>
        </w:rPr>
        <w:t>F</w:t>
      </w:r>
      <w:r w:rsidR="00F76255">
        <w:rPr>
          <w:sz w:val="20"/>
          <w:szCs w:val="20"/>
          <w:lang w:val="en-US"/>
        </w:rPr>
        <w:t xml:space="preserve">or XGBRegressor and SVR </w:t>
      </w:r>
      <w:r w:rsidR="00A33DEF">
        <w:rPr>
          <w:sz w:val="20"/>
          <w:szCs w:val="20"/>
          <w:lang w:val="en-US"/>
        </w:rPr>
        <w:t xml:space="preserve">machine learning models, the data requires to be preprocessed into proper shape to match their </w:t>
      </w:r>
      <w:r w:rsidR="005C0173">
        <w:rPr>
          <w:sz w:val="20"/>
          <w:szCs w:val="20"/>
          <w:lang w:val="en-US"/>
        </w:rPr>
        <w:t>input-output requirements</w:t>
      </w:r>
      <w:r w:rsidR="00A33DEF">
        <w:rPr>
          <w:sz w:val="20"/>
          <w:szCs w:val="20"/>
          <w:lang w:val="en-US"/>
        </w:rPr>
        <w:t xml:space="preserve">. </w:t>
      </w:r>
      <w:r w:rsidR="00922CCE">
        <w:rPr>
          <w:sz w:val="20"/>
          <w:szCs w:val="20"/>
          <w:lang w:val="en-US"/>
        </w:rPr>
        <w:t xml:space="preserve">To address this, the data is </w:t>
      </w:r>
      <w:r w:rsidR="00325079">
        <w:rPr>
          <w:sz w:val="20"/>
          <w:szCs w:val="20"/>
          <w:lang w:val="en-US"/>
        </w:rPr>
        <w:t xml:space="preserve">shifted a time step to the right each time to generate a new sample (see Fig. </w:t>
      </w:r>
      <w:r w:rsidR="00D60FF6">
        <w:rPr>
          <w:sz w:val="20"/>
          <w:szCs w:val="20"/>
          <w:lang w:val="en-US"/>
        </w:rPr>
        <w:t>10</w:t>
      </w:r>
      <w:r w:rsidR="00325079">
        <w:rPr>
          <w:sz w:val="20"/>
          <w:szCs w:val="20"/>
          <w:lang w:val="en-US"/>
        </w:rPr>
        <w:t xml:space="preserve">.). The window length is set to 10 so as to generate a total number of 120 new data </w:t>
      </w:r>
      <w:r w:rsidR="007D4294">
        <w:rPr>
          <w:sz w:val="20"/>
          <w:szCs w:val="20"/>
          <w:lang w:val="en-US"/>
        </w:rPr>
        <w:t>sequences</w:t>
      </w:r>
      <w:r w:rsidR="00325079">
        <w:rPr>
          <w:sz w:val="20"/>
          <w:szCs w:val="20"/>
          <w:lang w:val="en-US"/>
        </w:rPr>
        <w:t xml:space="preserve">. Since both models are supervised learning and the task is to perform forecasting, each new sample is labeled with a target value that is just one time step </w:t>
      </w:r>
      <w:r w:rsidR="007D4294">
        <w:rPr>
          <w:sz w:val="20"/>
          <w:szCs w:val="20"/>
          <w:lang w:val="en-US"/>
        </w:rPr>
        <w:t>further to the sequence.</w:t>
      </w:r>
      <w:r w:rsidR="00325079">
        <w:rPr>
          <w:sz w:val="20"/>
          <w:szCs w:val="20"/>
          <w:lang w:val="en-US"/>
        </w:rPr>
        <w:t xml:space="preserve"> The </w:t>
      </w:r>
      <w:r w:rsidR="007D4294">
        <w:rPr>
          <w:sz w:val="20"/>
          <w:szCs w:val="20"/>
          <w:lang w:val="en-US"/>
        </w:rPr>
        <w:t xml:space="preserve">completed </w:t>
      </w:r>
      <w:r w:rsidR="00325079">
        <w:rPr>
          <w:sz w:val="20"/>
          <w:szCs w:val="20"/>
          <w:lang w:val="en-US"/>
        </w:rPr>
        <w:t>new data</w:t>
      </w:r>
      <w:r w:rsidR="007D4294">
        <w:rPr>
          <w:sz w:val="20"/>
          <w:szCs w:val="20"/>
          <w:lang w:val="en-US"/>
        </w:rPr>
        <w:t>set</w:t>
      </w:r>
      <w:r w:rsidR="00325079">
        <w:rPr>
          <w:sz w:val="20"/>
          <w:szCs w:val="20"/>
          <w:lang w:val="en-US"/>
        </w:rPr>
        <w:t xml:space="preserve"> is later </w:t>
      </w:r>
      <w:r w:rsidR="007D4294">
        <w:rPr>
          <w:sz w:val="20"/>
          <w:szCs w:val="20"/>
          <w:lang w:val="en-US"/>
        </w:rPr>
        <w:t xml:space="preserve">randomly </w:t>
      </w:r>
      <w:r w:rsidR="00325079">
        <w:rPr>
          <w:sz w:val="20"/>
          <w:szCs w:val="20"/>
          <w:lang w:val="en-US"/>
        </w:rPr>
        <w:t xml:space="preserve">divided into 100 training and </w:t>
      </w:r>
      <w:r w:rsidR="007D4294">
        <w:rPr>
          <w:sz w:val="20"/>
          <w:szCs w:val="20"/>
          <w:lang w:val="en-US"/>
        </w:rPr>
        <w:t xml:space="preserve">20 </w:t>
      </w:r>
      <w:r w:rsidR="00325079">
        <w:rPr>
          <w:sz w:val="20"/>
          <w:szCs w:val="20"/>
          <w:lang w:val="en-US"/>
        </w:rPr>
        <w:t>testing</w:t>
      </w:r>
      <w:r w:rsidR="007D4294">
        <w:rPr>
          <w:sz w:val="20"/>
          <w:szCs w:val="20"/>
          <w:lang w:val="en-US"/>
        </w:rPr>
        <w:t xml:space="preserve"> samples. For model validation purpose, 20 out of the 100 training samples are used for cross validation. </w:t>
      </w:r>
      <w:r w:rsidR="008C3896">
        <w:rPr>
          <w:sz w:val="20"/>
          <w:szCs w:val="20"/>
          <w:lang w:val="en-US"/>
        </w:rPr>
        <w:t>For hyperparameters of XGBRegressor, 100 decision trees with depth of 5 are used</w:t>
      </w:r>
      <w:r w:rsidR="007319B7">
        <w:rPr>
          <w:sz w:val="20"/>
          <w:szCs w:val="20"/>
          <w:lang w:val="en-US"/>
        </w:rPr>
        <w:t>. For SVR, radial-basis function kernel</w:t>
      </w:r>
      <w:r w:rsidR="00611EEF">
        <w:rPr>
          <w:sz w:val="20"/>
          <w:szCs w:val="20"/>
          <w:lang w:val="en-US"/>
        </w:rPr>
        <w:t xml:space="preserve"> is used with small epsilon-value equals 0.001 for precise optimization among normalized data points.</w:t>
      </w:r>
      <w:r w:rsidR="007319B7">
        <w:rPr>
          <w:sz w:val="20"/>
          <w:szCs w:val="20"/>
          <w:lang w:val="en-US"/>
        </w:rPr>
        <w:t xml:space="preserve"> </w:t>
      </w:r>
      <w:r w:rsidR="0035557E">
        <w:rPr>
          <w:sz w:val="20"/>
          <w:szCs w:val="20"/>
          <w:lang w:val="en-US"/>
        </w:rPr>
        <w:t xml:space="preserve">Validation scores </w:t>
      </w:r>
      <w:r w:rsidR="008C3896">
        <w:rPr>
          <w:sz w:val="20"/>
          <w:szCs w:val="20"/>
          <w:lang w:val="en-US"/>
        </w:rPr>
        <w:t xml:space="preserve">for both models </w:t>
      </w:r>
      <w:r w:rsidR="0035557E">
        <w:rPr>
          <w:sz w:val="20"/>
          <w:szCs w:val="20"/>
          <w:lang w:val="en-US"/>
        </w:rPr>
        <w:t xml:space="preserve">are listed in Table 3. </w:t>
      </w:r>
      <w:r w:rsidR="00360FFB">
        <w:rPr>
          <w:sz w:val="20"/>
          <w:szCs w:val="20"/>
          <w:lang w:val="en-US"/>
        </w:rPr>
        <w:t xml:space="preserve">The process is done for each variable and so </w:t>
      </w:r>
      <w:r w:rsidR="00714CE2">
        <w:rPr>
          <w:sz w:val="20"/>
          <w:szCs w:val="20"/>
          <w:lang w:val="en-US"/>
        </w:rPr>
        <w:t>are</w:t>
      </w:r>
      <w:r w:rsidR="00360FFB">
        <w:rPr>
          <w:sz w:val="20"/>
          <w:szCs w:val="20"/>
          <w:lang w:val="en-US"/>
        </w:rPr>
        <w:t xml:space="preserve"> </w:t>
      </w:r>
      <w:r w:rsidR="00714CE2">
        <w:rPr>
          <w:sz w:val="20"/>
          <w:szCs w:val="20"/>
          <w:lang w:val="en-US"/>
        </w:rPr>
        <w:t xml:space="preserve">for </w:t>
      </w:r>
      <w:r w:rsidR="00360FFB">
        <w:rPr>
          <w:sz w:val="20"/>
          <w:szCs w:val="20"/>
          <w:lang w:val="en-US"/>
        </w:rPr>
        <w:t xml:space="preserve">the training and prediction. </w:t>
      </w:r>
      <w:r w:rsidR="008B03F6">
        <w:rPr>
          <w:sz w:val="20"/>
          <w:szCs w:val="20"/>
          <w:lang w:val="en-US"/>
        </w:rPr>
        <w:t>The original data is also normalized and rescaled before training and after testing</w:t>
      </w:r>
      <w:r w:rsidR="006D4C84">
        <w:rPr>
          <w:sz w:val="20"/>
          <w:szCs w:val="20"/>
          <w:lang w:val="en-US"/>
        </w:rPr>
        <w:t xml:space="preserve"> to ensure stability. </w:t>
      </w:r>
    </w:p>
    <w:p w14:paraId="259CB3D9" w14:textId="396E529C" w:rsidR="00F76255" w:rsidRDefault="00325079" w:rsidP="00557F02">
      <w:pPr>
        <w:jc w:val="both"/>
        <w:rPr>
          <w:sz w:val="20"/>
          <w:szCs w:val="20"/>
          <w:lang w:val="en-US"/>
        </w:rPr>
      </w:pPr>
      <w:r w:rsidRPr="00325079">
        <w:rPr>
          <w:sz w:val="20"/>
          <w:szCs w:val="20"/>
          <w:lang w:val="en-US"/>
        </w:rPr>
        <w:drawing>
          <wp:inline distT="0" distB="0" distL="0" distR="0" wp14:anchorId="4BA42079" wp14:editId="12EC5331">
            <wp:extent cx="5105332" cy="17068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0758" cy="1708694"/>
                    </a:xfrm>
                    <a:prstGeom prst="rect">
                      <a:avLst/>
                    </a:prstGeom>
                  </pic:spPr>
                </pic:pic>
              </a:graphicData>
            </a:graphic>
          </wp:inline>
        </w:drawing>
      </w:r>
    </w:p>
    <w:p w14:paraId="5863F7EC" w14:textId="0B8D2CBF" w:rsidR="00D60FF6" w:rsidRDefault="00D60FF6" w:rsidP="00D60FF6">
      <w:pPr>
        <w:jc w:val="center"/>
        <w:rPr>
          <w:sz w:val="20"/>
          <w:szCs w:val="20"/>
          <w:lang w:val="en-US"/>
        </w:rPr>
      </w:pPr>
      <w:r>
        <w:rPr>
          <w:sz w:val="20"/>
          <w:szCs w:val="20"/>
          <w:lang w:val="en-US"/>
        </w:rPr>
        <w:t xml:space="preserve">Fig. 10. </w:t>
      </w:r>
      <w:r w:rsidR="00CF6D11">
        <w:rPr>
          <w:sz w:val="20"/>
          <w:szCs w:val="20"/>
          <w:lang w:val="en-US"/>
        </w:rPr>
        <w:t xml:space="preserve">Sampling </w:t>
      </w:r>
      <w:r w:rsidR="00134299">
        <w:rPr>
          <w:sz w:val="20"/>
          <w:szCs w:val="20"/>
          <w:lang w:val="en-US"/>
        </w:rPr>
        <w:t>on the original data using a shifting window method</w:t>
      </w:r>
    </w:p>
    <w:p w14:paraId="41FA6305" w14:textId="77777777" w:rsidR="00CA4883" w:rsidRDefault="00CA4883" w:rsidP="00D60FF6">
      <w:pPr>
        <w:jc w:val="center"/>
        <w:rPr>
          <w:sz w:val="20"/>
          <w:szCs w:val="20"/>
          <w:lang w:val="en-US"/>
        </w:rPr>
      </w:pPr>
    </w:p>
    <w:p w14:paraId="7EE78145" w14:textId="1DDA4213" w:rsidR="0035557E" w:rsidRDefault="004D54CA" w:rsidP="004D54CA">
      <w:pPr>
        <w:jc w:val="center"/>
        <w:rPr>
          <w:sz w:val="20"/>
          <w:szCs w:val="20"/>
          <w:lang w:val="en-US"/>
        </w:rPr>
      </w:pPr>
      <w:r>
        <w:rPr>
          <w:sz w:val="20"/>
          <w:szCs w:val="20"/>
          <w:lang w:val="en-US"/>
        </w:rPr>
        <w:t xml:space="preserve">Table 3: cross validation scores for </w:t>
      </w:r>
      <w:r w:rsidR="00B825B3">
        <w:rPr>
          <w:sz w:val="20"/>
          <w:szCs w:val="20"/>
          <w:lang w:val="en-US"/>
        </w:rPr>
        <w:t>XGBRegressor and SVR</w:t>
      </w:r>
      <w:r w:rsidR="001A79FB">
        <w:rPr>
          <w:sz w:val="20"/>
          <w:szCs w:val="20"/>
          <w:lang w:val="en-US"/>
        </w:rPr>
        <w:t xml:space="preserve"> models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C3896" w14:paraId="76D5D8D5" w14:textId="77777777" w:rsidTr="008C3896">
        <w:tc>
          <w:tcPr>
            <w:tcW w:w="1502" w:type="dxa"/>
          </w:tcPr>
          <w:p w14:paraId="62381EF2" w14:textId="77777777" w:rsidR="008C3896" w:rsidRDefault="008C3896" w:rsidP="008C3896">
            <w:pPr>
              <w:jc w:val="center"/>
              <w:rPr>
                <w:sz w:val="20"/>
                <w:szCs w:val="20"/>
                <w:lang w:val="en-US"/>
              </w:rPr>
            </w:pPr>
          </w:p>
        </w:tc>
        <w:tc>
          <w:tcPr>
            <w:tcW w:w="1502" w:type="dxa"/>
          </w:tcPr>
          <w:p w14:paraId="1E080ED8" w14:textId="6D659C57" w:rsidR="008C3896" w:rsidRDefault="008C3896" w:rsidP="008C3896">
            <w:pPr>
              <w:jc w:val="center"/>
              <w:rPr>
                <w:sz w:val="20"/>
                <w:szCs w:val="20"/>
                <w:lang w:val="en-US"/>
              </w:rPr>
            </w:pPr>
            <w:r>
              <w:rPr>
                <w:sz w:val="20"/>
                <w:szCs w:val="20"/>
                <w:lang w:val="en-US"/>
              </w:rPr>
              <w:t>cv score 1</w:t>
            </w:r>
          </w:p>
        </w:tc>
        <w:tc>
          <w:tcPr>
            <w:tcW w:w="1503" w:type="dxa"/>
          </w:tcPr>
          <w:p w14:paraId="362E41A5" w14:textId="6B007505" w:rsidR="008C3896" w:rsidRDefault="008C3896" w:rsidP="008C3896">
            <w:pPr>
              <w:jc w:val="center"/>
              <w:rPr>
                <w:sz w:val="20"/>
                <w:szCs w:val="20"/>
                <w:lang w:val="en-US"/>
              </w:rPr>
            </w:pPr>
            <w:r>
              <w:rPr>
                <w:sz w:val="20"/>
                <w:szCs w:val="20"/>
                <w:lang w:val="en-US"/>
              </w:rPr>
              <w:t xml:space="preserve">cv score </w:t>
            </w:r>
            <w:r>
              <w:rPr>
                <w:sz w:val="20"/>
                <w:szCs w:val="20"/>
                <w:lang w:val="en-US"/>
              </w:rPr>
              <w:t>2</w:t>
            </w:r>
          </w:p>
        </w:tc>
        <w:tc>
          <w:tcPr>
            <w:tcW w:w="1503" w:type="dxa"/>
          </w:tcPr>
          <w:p w14:paraId="2799343B" w14:textId="4F481506" w:rsidR="008C3896" w:rsidRDefault="008C3896" w:rsidP="008C3896">
            <w:pPr>
              <w:jc w:val="center"/>
              <w:rPr>
                <w:sz w:val="20"/>
                <w:szCs w:val="20"/>
                <w:lang w:val="en-US"/>
              </w:rPr>
            </w:pPr>
            <w:r>
              <w:rPr>
                <w:sz w:val="20"/>
                <w:szCs w:val="20"/>
                <w:lang w:val="en-US"/>
              </w:rPr>
              <w:t xml:space="preserve">cv score </w:t>
            </w:r>
            <w:r>
              <w:rPr>
                <w:sz w:val="20"/>
                <w:szCs w:val="20"/>
                <w:lang w:val="en-US"/>
              </w:rPr>
              <w:t>3</w:t>
            </w:r>
          </w:p>
        </w:tc>
        <w:tc>
          <w:tcPr>
            <w:tcW w:w="1503" w:type="dxa"/>
          </w:tcPr>
          <w:p w14:paraId="3B757461" w14:textId="5A7CCA35" w:rsidR="008C3896" w:rsidRDefault="008C3896" w:rsidP="008C3896">
            <w:pPr>
              <w:jc w:val="center"/>
              <w:rPr>
                <w:sz w:val="20"/>
                <w:szCs w:val="20"/>
                <w:lang w:val="en-US"/>
              </w:rPr>
            </w:pPr>
            <w:r>
              <w:rPr>
                <w:sz w:val="20"/>
                <w:szCs w:val="20"/>
                <w:lang w:val="en-US"/>
              </w:rPr>
              <w:t xml:space="preserve">cv score </w:t>
            </w:r>
            <w:r>
              <w:rPr>
                <w:sz w:val="20"/>
                <w:szCs w:val="20"/>
                <w:lang w:val="en-US"/>
              </w:rPr>
              <w:t>4</w:t>
            </w:r>
          </w:p>
        </w:tc>
        <w:tc>
          <w:tcPr>
            <w:tcW w:w="1503" w:type="dxa"/>
          </w:tcPr>
          <w:p w14:paraId="23FE88E1" w14:textId="63616CB4" w:rsidR="008C3896" w:rsidRDefault="008C3896" w:rsidP="008C3896">
            <w:pPr>
              <w:jc w:val="center"/>
              <w:rPr>
                <w:sz w:val="20"/>
                <w:szCs w:val="20"/>
                <w:lang w:val="en-US"/>
              </w:rPr>
            </w:pPr>
            <w:r>
              <w:rPr>
                <w:sz w:val="20"/>
                <w:szCs w:val="20"/>
                <w:lang w:val="en-US"/>
              </w:rPr>
              <w:t xml:space="preserve">cv score </w:t>
            </w:r>
            <w:r>
              <w:rPr>
                <w:sz w:val="20"/>
                <w:szCs w:val="20"/>
                <w:lang w:val="en-US"/>
              </w:rPr>
              <w:t>5</w:t>
            </w:r>
          </w:p>
        </w:tc>
      </w:tr>
      <w:tr w:rsidR="008C3896" w14:paraId="4626660F" w14:textId="77777777" w:rsidTr="008C3896">
        <w:tc>
          <w:tcPr>
            <w:tcW w:w="1502" w:type="dxa"/>
          </w:tcPr>
          <w:p w14:paraId="748487BB" w14:textId="77777777" w:rsidR="008C3896" w:rsidRDefault="008C3896" w:rsidP="008C3896">
            <w:pPr>
              <w:jc w:val="center"/>
              <w:rPr>
                <w:sz w:val="20"/>
                <w:szCs w:val="20"/>
                <w:lang w:val="en-US"/>
              </w:rPr>
            </w:pPr>
            <w:r>
              <w:rPr>
                <w:sz w:val="20"/>
                <w:szCs w:val="20"/>
                <w:lang w:val="en-US"/>
              </w:rPr>
              <w:t>XGBRegressor</w:t>
            </w:r>
          </w:p>
          <w:p w14:paraId="04EC4CF5" w14:textId="6E04BFB8" w:rsidR="00C50C1E" w:rsidRDefault="00C50C1E" w:rsidP="008C3896">
            <w:pPr>
              <w:jc w:val="center"/>
              <w:rPr>
                <w:sz w:val="20"/>
                <w:szCs w:val="20"/>
                <w:lang w:val="en-US"/>
              </w:rPr>
            </w:pPr>
            <w:r w:rsidRPr="00E53A50">
              <w:rPr>
                <w:i/>
                <w:iCs/>
                <w:sz w:val="20"/>
                <w:szCs w:val="20"/>
                <w:lang w:val="en-US"/>
              </w:rPr>
              <w:t>‘Records’</w:t>
            </w:r>
          </w:p>
        </w:tc>
        <w:tc>
          <w:tcPr>
            <w:tcW w:w="1502" w:type="dxa"/>
          </w:tcPr>
          <w:p w14:paraId="785103EE" w14:textId="467FE792" w:rsidR="008C3896" w:rsidRDefault="008C3896" w:rsidP="008C3896">
            <w:pPr>
              <w:jc w:val="center"/>
              <w:rPr>
                <w:sz w:val="20"/>
                <w:szCs w:val="20"/>
                <w:lang w:val="en-US"/>
              </w:rPr>
            </w:pPr>
            <w:r w:rsidRPr="008C3896">
              <w:rPr>
                <w:sz w:val="20"/>
                <w:szCs w:val="20"/>
                <w:lang w:val="en-US"/>
              </w:rPr>
              <w:t>0.85859529</w:t>
            </w:r>
          </w:p>
        </w:tc>
        <w:tc>
          <w:tcPr>
            <w:tcW w:w="1503" w:type="dxa"/>
          </w:tcPr>
          <w:p w14:paraId="5710B2C0" w14:textId="5096928E" w:rsidR="008C3896" w:rsidRDefault="008C3896" w:rsidP="008C3896">
            <w:pPr>
              <w:jc w:val="center"/>
              <w:rPr>
                <w:sz w:val="20"/>
                <w:szCs w:val="20"/>
                <w:lang w:val="en-US"/>
              </w:rPr>
            </w:pPr>
            <w:r w:rsidRPr="008C3896">
              <w:rPr>
                <w:sz w:val="20"/>
                <w:szCs w:val="20"/>
                <w:lang w:val="en-US"/>
              </w:rPr>
              <w:t>0.91775959</w:t>
            </w:r>
          </w:p>
        </w:tc>
        <w:tc>
          <w:tcPr>
            <w:tcW w:w="1503" w:type="dxa"/>
          </w:tcPr>
          <w:p w14:paraId="36A6622B" w14:textId="3395907D" w:rsidR="008C3896" w:rsidRDefault="008C3896" w:rsidP="008C3896">
            <w:pPr>
              <w:jc w:val="center"/>
              <w:rPr>
                <w:sz w:val="20"/>
                <w:szCs w:val="20"/>
                <w:lang w:val="en-US"/>
              </w:rPr>
            </w:pPr>
            <w:r w:rsidRPr="008C3896">
              <w:rPr>
                <w:sz w:val="20"/>
                <w:szCs w:val="20"/>
                <w:lang w:val="en-US"/>
              </w:rPr>
              <w:t>0.77649021</w:t>
            </w:r>
          </w:p>
        </w:tc>
        <w:tc>
          <w:tcPr>
            <w:tcW w:w="1503" w:type="dxa"/>
          </w:tcPr>
          <w:p w14:paraId="2810CD1C" w14:textId="181BE93C" w:rsidR="008C3896" w:rsidRDefault="008C3896" w:rsidP="008C3896">
            <w:pPr>
              <w:jc w:val="center"/>
              <w:rPr>
                <w:sz w:val="20"/>
                <w:szCs w:val="20"/>
                <w:lang w:val="en-US"/>
              </w:rPr>
            </w:pPr>
            <w:r w:rsidRPr="008C3896">
              <w:rPr>
                <w:sz w:val="20"/>
                <w:szCs w:val="20"/>
                <w:lang w:val="en-US"/>
              </w:rPr>
              <w:t>0.90625942</w:t>
            </w:r>
          </w:p>
        </w:tc>
        <w:tc>
          <w:tcPr>
            <w:tcW w:w="1503" w:type="dxa"/>
          </w:tcPr>
          <w:p w14:paraId="27997B92" w14:textId="5B11707C" w:rsidR="008C3896" w:rsidRDefault="008C3896" w:rsidP="008C3896">
            <w:pPr>
              <w:jc w:val="center"/>
              <w:rPr>
                <w:sz w:val="20"/>
                <w:szCs w:val="20"/>
                <w:lang w:val="en-US"/>
              </w:rPr>
            </w:pPr>
            <w:r w:rsidRPr="008C3896">
              <w:rPr>
                <w:sz w:val="20"/>
                <w:szCs w:val="20"/>
                <w:lang w:val="en-US"/>
              </w:rPr>
              <w:t>0.86414594</w:t>
            </w:r>
          </w:p>
        </w:tc>
      </w:tr>
      <w:tr w:rsidR="008C3896" w14:paraId="7B23D8C8" w14:textId="77777777" w:rsidTr="008C3896">
        <w:tc>
          <w:tcPr>
            <w:tcW w:w="1502" w:type="dxa"/>
          </w:tcPr>
          <w:p w14:paraId="4A261501" w14:textId="6ABA7769" w:rsidR="008C3896" w:rsidRDefault="00C50C1E" w:rsidP="008C3896">
            <w:pPr>
              <w:jc w:val="center"/>
              <w:rPr>
                <w:sz w:val="20"/>
                <w:szCs w:val="20"/>
                <w:lang w:val="en-US"/>
              </w:rPr>
            </w:pPr>
            <w:r>
              <w:rPr>
                <w:sz w:val="20"/>
                <w:szCs w:val="20"/>
                <w:lang w:val="en-US"/>
              </w:rPr>
              <w:t>XGBRegressor</w:t>
            </w:r>
            <w:r w:rsidRPr="00E53A50">
              <w:rPr>
                <w:rFonts w:cstheme="minorHAnsi"/>
                <w:i/>
                <w:iCs/>
                <w:sz w:val="20"/>
                <w:szCs w:val="20"/>
                <w:lang w:val="en-US"/>
              </w:rPr>
              <w:t xml:space="preserve"> </w:t>
            </w:r>
            <w:r w:rsidRPr="00E53A50">
              <w:rPr>
                <w:rFonts w:cstheme="minorHAnsi"/>
                <w:i/>
                <w:iCs/>
                <w:sz w:val="20"/>
                <w:szCs w:val="20"/>
                <w:lang w:val="en-US"/>
              </w:rPr>
              <w:t>'file_size_gb'</w:t>
            </w:r>
          </w:p>
        </w:tc>
        <w:tc>
          <w:tcPr>
            <w:tcW w:w="1502" w:type="dxa"/>
          </w:tcPr>
          <w:p w14:paraId="3200B31D" w14:textId="57DFD5FA" w:rsidR="008C3896" w:rsidRDefault="00882D40" w:rsidP="008C3896">
            <w:pPr>
              <w:jc w:val="center"/>
              <w:rPr>
                <w:sz w:val="20"/>
                <w:szCs w:val="20"/>
                <w:lang w:val="en-US"/>
              </w:rPr>
            </w:pPr>
            <w:r w:rsidRPr="00882D40">
              <w:rPr>
                <w:sz w:val="20"/>
                <w:szCs w:val="20"/>
                <w:lang w:val="en-US"/>
              </w:rPr>
              <w:t>0.94404033</w:t>
            </w:r>
          </w:p>
        </w:tc>
        <w:tc>
          <w:tcPr>
            <w:tcW w:w="1503" w:type="dxa"/>
          </w:tcPr>
          <w:p w14:paraId="5FE41AA7" w14:textId="077A65AE" w:rsidR="008C3896" w:rsidRDefault="00882D40" w:rsidP="008C3896">
            <w:pPr>
              <w:jc w:val="center"/>
              <w:rPr>
                <w:sz w:val="20"/>
                <w:szCs w:val="20"/>
                <w:lang w:val="en-US"/>
              </w:rPr>
            </w:pPr>
            <w:r w:rsidRPr="00882D40">
              <w:rPr>
                <w:sz w:val="20"/>
                <w:szCs w:val="20"/>
                <w:lang w:val="en-US"/>
              </w:rPr>
              <w:t>0.97571056</w:t>
            </w:r>
          </w:p>
        </w:tc>
        <w:tc>
          <w:tcPr>
            <w:tcW w:w="1503" w:type="dxa"/>
          </w:tcPr>
          <w:p w14:paraId="4CDF5E92" w14:textId="0C9047B5" w:rsidR="008C3896" w:rsidRDefault="00882D40" w:rsidP="008C3896">
            <w:pPr>
              <w:jc w:val="center"/>
              <w:rPr>
                <w:sz w:val="20"/>
                <w:szCs w:val="20"/>
                <w:lang w:val="en-US"/>
              </w:rPr>
            </w:pPr>
            <w:r w:rsidRPr="00882D40">
              <w:rPr>
                <w:sz w:val="20"/>
                <w:szCs w:val="20"/>
                <w:lang w:val="en-US"/>
              </w:rPr>
              <w:t>0.96179996</w:t>
            </w:r>
          </w:p>
        </w:tc>
        <w:tc>
          <w:tcPr>
            <w:tcW w:w="1503" w:type="dxa"/>
          </w:tcPr>
          <w:p w14:paraId="303BE214" w14:textId="227DD252" w:rsidR="008C3896" w:rsidRDefault="00882D40" w:rsidP="008C3896">
            <w:pPr>
              <w:jc w:val="center"/>
              <w:rPr>
                <w:sz w:val="20"/>
                <w:szCs w:val="20"/>
                <w:lang w:val="en-US"/>
              </w:rPr>
            </w:pPr>
            <w:r w:rsidRPr="00882D40">
              <w:rPr>
                <w:sz w:val="20"/>
                <w:szCs w:val="20"/>
                <w:lang w:val="en-US"/>
              </w:rPr>
              <w:t>0.97125546</w:t>
            </w:r>
          </w:p>
        </w:tc>
        <w:tc>
          <w:tcPr>
            <w:tcW w:w="1503" w:type="dxa"/>
          </w:tcPr>
          <w:p w14:paraId="045CE758" w14:textId="42176AC5" w:rsidR="008C3896" w:rsidRDefault="00882D40" w:rsidP="008C3896">
            <w:pPr>
              <w:jc w:val="center"/>
              <w:rPr>
                <w:sz w:val="20"/>
                <w:szCs w:val="20"/>
                <w:lang w:val="en-US"/>
              </w:rPr>
            </w:pPr>
            <w:r w:rsidRPr="00882D40">
              <w:rPr>
                <w:sz w:val="20"/>
                <w:szCs w:val="20"/>
                <w:lang w:val="en-US"/>
              </w:rPr>
              <w:t>0.96525569</w:t>
            </w:r>
          </w:p>
        </w:tc>
      </w:tr>
      <w:tr w:rsidR="00C50C1E" w14:paraId="38D7911E" w14:textId="77777777" w:rsidTr="008C3896">
        <w:tc>
          <w:tcPr>
            <w:tcW w:w="1502" w:type="dxa"/>
          </w:tcPr>
          <w:p w14:paraId="06A6287A" w14:textId="473BDC45" w:rsidR="00C50C1E" w:rsidRDefault="00C50C1E" w:rsidP="008C3896">
            <w:pPr>
              <w:jc w:val="center"/>
              <w:rPr>
                <w:sz w:val="20"/>
                <w:szCs w:val="20"/>
                <w:lang w:val="en-US"/>
              </w:rPr>
            </w:pPr>
            <w:r>
              <w:rPr>
                <w:sz w:val="20"/>
                <w:szCs w:val="20"/>
                <w:lang w:val="en-US"/>
              </w:rPr>
              <w:t xml:space="preserve">SVR </w:t>
            </w:r>
            <w:r w:rsidRPr="00E53A50">
              <w:rPr>
                <w:i/>
                <w:iCs/>
                <w:sz w:val="20"/>
                <w:szCs w:val="20"/>
                <w:lang w:val="en-US"/>
              </w:rPr>
              <w:t>‘Records’</w:t>
            </w:r>
          </w:p>
        </w:tc>
        <w:tc>
          <w:tcPr>
            <w:tcW w:w="1502" w:type="dxa"/>
          </w:tcPr>
          <w:p w14:paraId="2F6B9136" w14:textId="74670206" w:rsidR="00C50C1E" w:rsidRDefault="00C862DC" w:rsidP="008C3896">
            <w:pPr>
              <w:jc w:val="center"/>
              <w:rPr>
                <w:sz w:val="20"/>
                <w:szCs w:val="20"/>
                <w:lang w:val="en-US"/>
              </w:rPr>
            </w:pPr>
            <w:r w:rsidRPr="00C862DC">
              <w:rPr>
                <w:sz w:val="20"/>
                <w:szCs w:val="20"/>
                <w:lang w:val="en-US"/>
              </w:rPr>
              <w:t>0.92799065</w:t>
            </w:r>
          </w:p>
        </w:tc>
        <w:tc>
          <w:tcPr>
            <w:tcW w:w="1503" w:type="dxa"/>
          </w:tcPr>
          <w:p w14:paraId="4CAE83A2" w14:textId="6FF832FB" w:rsidR="00C50C1E" w:rsidRDefault="00C862DC" w:rsidP="008C3896">
            <w:pPr>
              <w:jc w:val="center"/>
              <w:rPr>
                <w:sz w:val="20"/>
                <w:szCs w:val="20"/>
                <w:lang w:val="en-US"/>
              </w:rPr>
            </w:pPr>
            <w:r w:rsidRPr="00C862DC">
              <w:rPr>
                <w:sz w:val="20"/>
                <w:szCs w:val="20"/>
                <w:lang w:val="en-US"/>
              </w:rPr>
              <w:t>0.88568179</w:t>
            </w:r>
          </w:p>
        </w:tc>
        <w:tc>
          <w:tcPr>
            <w:tcW w:w="1503" w:type="dxa"/>
          </w:tcPr>
          <w:p w14:paraId="5DFCAE79" w14:textId="6D556456" w:rsidR="00C50C1E" w:rsidRDefault="00C862DC" w:rsidP="008C3896">
            <w:pPr>
              <w:jc w:val="center"/>
              <w:rPr>
                <w:sz w:val="20"/>
                <w:szCs w:val="20"/>
                <w:lang w:val="en-US"/>
              </w:rPr>
            </w:pPr>
            <w:r w:rsidRPr="00C862DC">
              <w:rPr>
                <w:sz w:val="20"/>
                <w:szCs w:val="20"/>
                <w:lang w:val="en-US"/>
              </w:rPr>
              <w:t>0.74850591</w:t>
            </w:r>
          </w:p>
        </w:tc>
        <w:tc>
          <w:tcPr>
            <w:tcW w:w="1503" w:type="dxa"/>
          </w:tcPr>
          <w:p w14:paraId="41BE42E1" w14:textId="7BFDDC55" w:rsidR="00C50C1E" w:rsidRDefault="00C862DC" w:rsidP="008C3896">
            <w:pPr>
              <w:jc w:val="center"/>
              <w:rPr>
                <w:sz w:val="20"/>
                <w:szCs w:val="20"/>
                <w:lang w:val="en-US"/>
              </w:rPr>
            </w:pPr>
            <w:r w:rsidRPr="00C862DC">
              <w:rPr>
                <w:sz w:val="20"/>
                <w:szCs w:val="20"/>
                <w:lang w:val="en-US"/>
              </w:rPr>
              <w:t>0.84978276</w:t>
            </w:r>
          </w:p>
        </w:tc>
        <w:tc>
          <w:tcPr>
            <w:tcW w:w="1503" w:type="dxa"/>
          </w:tcPr>
          <w:p w14:paraId="3B18934C" w14:textId="02552CFA" w:rsidR="00C50C1E" w:rsidRDefault="00C862DC" w:rsidP="008C3896">
            <w:pPr>
              <w:jc w:val="center"/>
              <w:rPr>
                <w:sz w:val="20"/>
                <w:szCs w:val="20"/>
                <w:lang w:val="en-US"/>
              </w:rPr>
            </w:pPr>
            <w:r w:rsidRPr="00C862DC">
              <w:rPr>
                <w:sz w:val="20"/>
                <w:szCs w:val="20"/>
                <w:lang w:val="en-US"/>
              </w:rPr>
              <w:t>0.91827566</w:t>
            </w:r>
          </w:p>
        </w:tc>
      </w:tr>
      <w:tr w:rsidR="00C50C1E" w14:paraId="350DA568" w14:textId="77777777" w:rsidTr="008C3896">
        <w:tc>
          <w:tcPr>
            <w:tcW w:w="1502" w:type="dxa"/>
          </w:tcPr>
          <w:p w14:paraId="14AC8216" w14:textId="42D052DE" w:rsidR="00C50C1E" w:rsidRDefault="00C50C1E" w:rsidP="008C3896">
            <w:pPr>
              <w:jc w:val="center"/>
              <w:rPr>
                <w:sz w:val="20"/>
                <w:szCs w:val="20"/>
                <w:lang w:val="en-US"/>
              </w:rPr>
            </w:pPr>
            <w:r>
              <w:rPr>
                <w:sz w:val="20"/>
                <w:szCs w:val="20"/>
                <w:lang w:val="en-US"/>
              </w:rPr>
              <w:t xml:space="preserve">SVR </w:t>
            </w:r>
            <w:r w:rsidRPr="00E53A50">
              <w:rPr>
                <w:rFonts w:cstheme="minorHAnsi"/>
                <w:i/>
                <w:iCs/>
                <w:sz w:val="20"/>
                <w:szCs w:val="20"/>
                <w:lang w:val="en-US"/>
              </w:rPr>
              <w:t>'file_size_gb'</w:t>
            </w:r>
          </w:p>
        </w:tc>
        <w:tc>
          <w:tcPr>
            <w:tcW w:w="1502" w:type="dxa"/>
          </w:tcPr>
          <w:p w14:paraId="39074FA6" w14:textId="78D5C143" w:rsidR="00C50C1E" w:rsidRDefault="00C862DC" w:rsidP="008C3896">
            <w:pPr>
              <w:jc w:val="center"/>
              <w:rPr>
                <w:sz w:val="20"/>
                <w:szCs w:val="20"/>
                <w:lang w:val="en-US"/>
              </w:rPr>
            </w:pPr>
            <w:r w:rsidRPr="00C862DC">
              <w:rPr>
                <w:sz w:val="20"/>
                <w:szCs w:val="20"/>
                <w:lang w:val="en-US"/>
              </w:rPr>
              <w:t>0.97086331</w:t>
            </w:r>
          </w:p>
        </w:tc>
        <w:tc>
          <w:tcPr>
            <w:tcW w:w="1503" w:type="dxa"/>
          </w:tcPr>
          <w:p w14:paraId="68875BFC" w14:textId="6B153872" w:rsidR="00C50C1E" w:rsidRDefault="00C862DC" w:rsidP="008C3896">
            <w:pPr>
              <w:jc w:val="center"/>
              <w:rPr>
                <w:sz w:val="20"/>
                <w:szCs w:val="20"/>
                <w:lang w:val="en-US"/>
              </w:rPr>
            </w:pPr>
            <w:r w:rsidRPr="00C862DC">
              <w:rPr>
                <w:sz w:val="20"/>
                <w:szCs w:val="20"/>
                <w:lang w:val="en-US"/>
              </w:rPr>
              <w:t>0.96598467</w:t>
            </w:r>
          </w:p>
        </w:tc>
        <w:tc>
          <w:tcPr>
            <w:tcW w:w="1503" w:type="dxa"/>
          </w:tcPr>
          <w:p w14:paraId="2BE0B3BB" w14:textId="53662191" w:rsidR="00C50C1E" w:rsidRDefault="00C862DC" w:rsidP="008C3896">
            <w:pPr>
              <w:jc w:val="center"/>
              <w:rPr>
                <w:sz w:val="20"/>
                <w:szCs w:val="20"/>
                <w:lang w:val="en-US"/>
              </w:rPr>
            </w:pPr>
            <w:r w:rsidRPr="00C862DC">
              <w:rPr>
                <w:sz w:val="20"/>
                <w:szCs w:val="20"/>
                <w:lang w:val="en-US"/>
              </w:rPr>
              <w:t>0.96985196</w:t>
            </w:r>
          </w:p>
        </w:tc>
        <w:tc>
          <w:tcPr>
            <w:tcW w:w="1503" w:type="dxa"/>
          </w:tcPr>
          <w:p w14:paraId="665BD6F6" w14:textId="28157963" w:rsidR="00C50C1E" w:rsidRDefault="00C862DC" w:rsidP="008C3896">
            <w:pPr>
              <w:jc w:val="center"/>
              <w:rPr>
                <w:sz w:val="20"/>
                <w:szCs w:val="20"/>
                <w:lang w:val="en-US"/>
              </w:rPr>
            </w:pPr>
            <w:r w:rsidRPr="00C862DC">
              <w:rPr>
                <w:sz w:val="20"/>
                <w:szCs w:val="20"/>
                <w:lang w:val="en-US"/>
              </w:rPr>
              <w:t>0.97479508</w:t>
            </w:r>
          </w:p>
        </w:tc>
        <w:tc>
          <w:tcPr>
            <w:tcW w:w="1503" w:type="dxa"/>
          </w:tcPr>
          <w:p w14:paraId="6C5286E3" w14:textId="3F2ECAF2" w:rsidR="00C50C1E" w:rsidRDefault="00C862DC" w:rsidP="008C3896">
            <w:pPr>
              <w:jc w:val="center"/>
              <w:rPr>
                <w:sz w:val="20"/>
                <w:szCs w:val="20"/>
                <w:lang w:val="en-US"/>
              </w:rPr>
            </w:pPr>
            <w:r w:rsidRPr="00C862DC">
              <w:rPr>
                <w:sz w:val="20"/>
                <w:szCs w:val="20"/>
                <w:lang w:val="en-US"/>
              </w:rPr>
              <w:t>0.97790266</w:t>
            </w:r>
          </w:p>
        </w:tc>
      </w:tr>
    </w:tbl>
    <w:p w14:paraId="3814A0CA" w14:textId="0846ED95" w:rsidR="00A10009" w:rsidRDefault="00B34722" w:rsidP="0035557E">
      <w:pPr>
        <w:jc w:val="both"/>
        <w:rPr>
          <w:sz w:val="20"/>
          <w:szCs w:val="20"/>
          <w:lang w:val="en-US"/>
        </w:rPr>
      </w:pPr>
      <w:r>
        <w:rPr>
          <w:sz w:val="20"/>
          <w:szCs w:val="20"/>
          <w:lang w:val="en-US"/>
        </w:rPr>
        <w:lastRenderedPageBreak/>
        <w:t xml:space="preserve">It is </w:t>
      </w:r>
      <w:r w:rsidR="00222F29">
        <w:rPr>
          <w:sz w:val="20"/>
          <w:szCs w:val="20"/>
          <w:lang w:val="en-US"/>
        </w:rPr>
        <w:t>noteworthy that the testing samples are randomly selected during the new data sample shuffling process. Hence, it is impossible to produce a prediction curve on the test data on continuous timestamps. However, it is possible to calculator the error metrics based on the random testing samples and perform a separate fitting performance test on the 20 most recent timestamps following after</w:t>
      </w:r>
      <w:r w:rsidR="00DD7FB1">
        <w:rPr>
          <w:sz w:val="20"/>
          <w:szCs w:val="20"/>
          <w:lang w:val="en-US"/>
        </w:rPr>
        <w:t xml:space="preserve">. </w:t>
      </w:r>
      <w:r w:rsidR="002346FF">
        <w:rPr>
          <w:sz w:val="20"/>
          <w:szCs w:val="20"/>
          <w:lang w:val="en-US"/>
        </w:rPr>
        <w:t xml:space="preserve">In all plots, the data entry at 2023-01 has been padded with the same values as 2022-12 before any testing or forecasting. </w:t>
      </w:r>
      <w:r w:rsidR="00DD7FB1">
        <w:rPr>
          <w:sz w:val="20"/>
          <w:szCs w:val="20"/>
          <w:lang w:val="en-US"/>
        </w:rPr>
        <w:t xml:space="preserve">The fitting performance are presented in Fig. 11 and Fig. 12 </w:t>
      </w:r>
      <w:r w:rsidR="00CA4883">
        <w:rPr>
          <w:sz w:val="20"/>
          <w:szCs w:val="20"/>
          <w:lang w:val="en-US"/>
        </w:rPr>
        <w:t xml:space="preserve">respectively </w:t>
      </w:r>
      <w:r w:rsidR="00DD7FB1">
        <w:rPr>
          <w:sz w:val="20"/>
          <w:szCs w:val="20"/>
          <w:lang w:val="en-US"/>
        </w:rPr>
        <w:t>for XGBRegressor and SVR respectively.</w:t>
      </w:r>
      <w:r w:rsidR="00A10009">
        <w:rPr>
          <w:sz w:val="20"/>
          <w:szCs w:val="20"/>
          <w:lang w:val="en-US"/>
        </w:rPr>
        <w:t xml:space="preserve"> </w:t>
      </w:r>
    </w:p>
    <w:p w14:paraId="579AC5CD" w14:textId="7760AF28" w:rsidR="00C0329F" w:rsidRDefault="00A10009" w:rsidP="0035557E">
      <w:pPr>
        <w:jc w:val="both"/>
        <w:rPr>
          <w:sz w:val="20"/>
          <w:szCs w:val="20"/>
          <w:lang w:val="en-US"/>
        </w:rPr>
      </w:pPr>
      <w:r>
        <w:rPr>
          <w:sz w:val="20"/>
          <w:szCs w:val="20"/>
          <w:lang w:val="en-US"/>
        </w:rPr>
        <w:t>Lastly, the error metrics of all four models, and the final forecasting for 2023-01 are shown in Table 4.</w:t>
      </w:r>
      <w:r w:rsidR="00CA4883">
        <w:rPr>
          <w:sz w:val="20"/>
          <w:szCs w:val="20"/>
          <w:lang w:val="en-US"/>
        </w:rPr>
        <w:t xml:space="preserve"> As a result, XGBRegressor and SVR models achieve much better error metrics on the forecasting of </w:t>
      </w:r>
      <w:r w:rsidR="00CA4883" w:rsidRPr="00E53A50">
        <w:rPr>
          <w:rFonts w:cstheme="minorHAnsi"/>
          <w:i/>
          <w:iCs/>
          <w:sz w:val="20"/>
          <w:szCs w:val="20"/>
          <w:lang w:val="en-US"/>
        </w:rPr>
        <w:t>'file_size_gb'</w:t>
      </w:r>
      <w:r w:rsidR="00CA4883">
        <w:rPr>
          <w:sz w:val="20"/>
          <w:szCs w:val="20"/>
          <w:lang w:val="en-US"/>
        </w:rPr>
        <w:t xml:space="preserve"> compared to ARIMA and VAR, with MAPE and WAMPE errors below 5%</w:t>
      </w:r>
      <w:r w:rsidR="00B767D4">
        <w:rPr>
          <w:sz w:val="20"/>
          <w:szCs w:val="20"/>
          <w:lang w:val="en-US"/>
        </w:rPr>
        <w:t xml:space="preserve">. All four models do not seem to perform well on forecasting </w:t>
      </w:r>
      <w:r w:rsidR="00B767D4" w:rsidRPr="00B767D4">
        <w:rPr>
          <w:sz w:val="20"/>
          <w:szCs w:val="20"/>
          <w:lang w:val="en-US"/>
        </w:rPr>
        <w:t>‘Records’</w:t>
      </w:r>
      <w:r w:rsidR="00B767D4">
        <w:rPr>
          <w:sz w:val="20"/>
          <w:szCs w:val="20"/>
          <w:lang w:val="en-US"/>
        </w:rPr>
        <w:t xml:space="preserve"> with a average MAPE and MAPE around 10%. </w:t>
      </w:r>
    </w:p>
    <w:p w14:paraId="7E59835D" w14:textId="7C06D78C" w:rsidR="00873B79" w:rsidRDefault="00873B79" w:rsidP="0035557E">
      <w:pPr>
        <w:jc w:val="both"/>
        <w:rPr>
          <w:sz w:val="20"/>
          <w:szCs w:val="20"/>
          <w:lang w:val="en-US"/>
        </w:rPr>
      </w:pPr>
      <w:r>
        <w:rPr>
          <w:noProof/>
          <w:sz w:val="20"/>
          <w:szCs w:val="20"/>
          <w:lang w:val="en-US"/>
        </w:rPr>
        <w:drawing>
          <wp:inline distT="0" distB="0" distL="0" distR="0" wp14:anchorId="3727A1DC" wp14:editId="4F98ACCD">
            <wp:extent cx="5731510" cy="29997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18714C8C" w14:textId="7B6E60F8" w:rsidR="00532008" w:rsidRDefault="00873B79" w:rsidP="00532008">
      <w:pPr>
        <w:jc w:val="center"/>
        <w:rPr>
          <w:sz w:val="20"/>
          <w:szCs w:val="20"/>
          <w:lang w:val="en-US"/>
        </w:rPr>
      </w:pPr>
      <w:r>
        <w:rPr>
          <w:sz w:val="20"/>
          <w:szCs w:val="20"/>
          <w:lang w:val="en-US"/>
        </w:rPr>
        <w:t>Fig. 11. XGBRegressor forecasting performance on test data</w:t>
      </w:r>
    </w:p>
    <w:p w14:paraId="013A6B68" w14:textId="5AC40D3C" w:rsidR="00532008" w:rsidRDefault="00532008" w:rsidP="00873B79">
      <w:pPr>
        <w:jc w:val="center"/>
        <w:rPr>
          <w:sz w:val="20"/>
          <w:szCs w:val="20"/>
          <w:lang w:val="en-US"/>
        </w:rPr>
      </w:pPr>
      <w:r>
        <w:rPr>
          <w:noProof/>
          <w:sz w:val="20"/>
          <w:szCs w:val="20"/>
          <w:lang w:val="en-US"/>
        </w:rPr>
        <w:drawing>
          <wp:inline distT="0" distB="0" distL="0" distR="0" wp14:anchorId="3F6F8368" wp14:editId="63840516">
            <wp:extent cx="5731510" cy="29997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p>
    <w:p w14:paraId="713FB36F" w14:textId="55F114A7" w:rsidR="00532008" w:rsidRDefault="00532008" w:rsidP="00532008">
      <w:pPr>
        <w:jc w:val="center"/>
        <w:rPr>
          <w:sz w:val="20"/>
          <w:szCs w:val="20"/>
          <w:lang w:val="en-US"/>
        </w:rPr>
      </w:pPr>
      <w:r>
        <w:rPr>
          <w:sz w:val="20"/>
          <w:szCs w:val="20"/>
          <w:lang w:val="en-US"/>
        </w:rPr>
        <w:t>Fig. 1</w:t>
      </w:r>
      <w:r>
        <w:rPr>
          <w:sz w:val="20"/>
          <w:szCs w:val="20"/>
          <w:lang w:val="en-US"/>
        </w:rPr>
        <w:t xml:space="preserve">2. </w:t>
      </w:r>
      <w:r>
        <w:rPr>
          <w:sz w:val="20"/>
          <w:szCs w:val="20"/>
          <w:lang w:val="en-US"/>
        </w:rPr>
        <w:t xml:space="preserve"> </w:t>
      </w:r>
      <w:r>
        <w:rPr>
          <w:sz w:val="20"/>
          <w:szCs w:val="20"/>
          <w:lang w:val="en-US"/>
        </w:rPr>
        <w:t>SVR</w:t>
      </w:r>
      <w:r>
        <w:rPr>
          <w:sz w:val="20"/>
          <w:szCs w:val="20"/>
          <w:lang w:val="en-US"/>
        </w:rPr>
        <w:t xml:space="preserve"> forecasting performance on test data</w:t>
      </w:r>
    </w:p>
    <w:p w14:paraId="3742095F" w14:textId="77777777" w:rsidR="00532008" w:rsidRDefault="00532008" w:rsidP="002346FF">
      <w:pPr>
        <w:rPr>
          <w:sz w:val="20"/>
          <w:szCs w:val="20"/>
          <w:lang w:val="en-US"/>
        </w:rPr>
      </w:pPr>
    </w:p>
    <w:tbl>
      <w:tblPr>
        <w:tblStyle w:val="TableGrid"/>
        <w:tblpPr w:leftFromText="180" w:rightFromText="180" w:vertAnchor="text" w:horzAnchor="margin" w:tblpXSpec="center" w:tblpY="349"/>
        <w:tblW w:w="10278" w:type="dxa"/>
        <w:tblLook w:val="04A0" w:firstRow="1" w:lastRow="0" w:firstColumn="1" w:lastColumn="0" w:noHBand="0" w:noVBand="1"/>
      </w:tblPr>
      <w:tblGrid>
        <w:gridCol w:w="1346"/>
        <w:gridCol w:w="950"/>
        <w:gridCol w:w="1252"/>
        <w:gridCol w:w="950"/>
        <w:gridCol w:w="1252"/>
        <w:gridCol w:w="950"/>
        <w:gridCol w:w="1252"/>
        <w:gridCol w:w="1074"/>
        <w:gridCol w:w="1252"/>
      </w:tblGrid>
      <w:tr w:rsidR="00CA4883" w14:paraId="148AC119" w14:textId="77777777" w:rsidTr="00CA4883">
        <w:trPr>
          <w:trHeight w:val="587"/>
        </w:trPr>
        <w:tc>
          <w:tcPr>
            <w:tcW w:w="1346" w:type="dxa"/>
          </w:tcPr>
          <w:p w14:paraId="64C2EE58" w14:textId="77777777" w:rsidR="00CA4883" w:rsidRDefault="00CA4883" w:rsidP="00CA4883">
            <w:pPr>
              <w:jc w:val="center"/>
              <w:rPr>
                <w:sz w:val="20"/>
                <w:szCs w:val="20"/>
                <w:lang w:val="en-US"/>
              </w:rPr>
            </w:pPr>
          </w:p>
        </w:tc>
        <w:tc>
          <w:tcPr>
            <w:tcW w:w="950" w:type="dxa"/>
          </w:tcPr>
          <w:p w14:paraId="253EA1E7" w14:textId="77777777" w:rsidR="00CA4883" w:rsidRDefault="00CA4883" w:rsidP="00CA4883">
            <w:pPr>
              <w:jc w:val="center"/>
              <w:rPr>
                <w:sz w:val="20"/>
                <w:szCs w:val="20"/>
                <w:lang w:val="en-US"/>
              </w:rPr>
            </w:pPr>
            <w:r>
              <w:rPr>
                <w:sz w:val="20"/>
                <w:szCs w:val="20"/>
                <w:lang w:val="en-US"/>
              </w:rPr>
              <w:t>MAPE</w:t>
            </w:r>
          </w:p>
          <w:p w14:paraId="6ED5DF06" w14:textId="77777777" w:rsidR="00CA4883" w:rsidRDefault="00CA4883" w:rsidP="00CA4883">
            <w:pPr>
              <w:jc w:val="center"/>
              <w:rPr>
                <w:sz w:val="20"/>
                <w:szCs w:val="20"/>
                <w:lang w:val="en-US"/>
              </w:rPr>
            </w:pPr>
            <w:r w:rsidRPr="00E53A50">
              <w:rPr>
                <w:i/>
                <w:iCs/>
                <w:sz w:val="20"/>
                <w:szCs w:val="20"/>
                <w:lang w:val="en-US"/>
              </w:rPr>
              <w:t>‘Records’</w:t>
            </w:r>
          </w:p>
        </w:tc>
        <w:tc>
          <w:tcPr>
            <w:tcW w:w="1252" w:type="dxa"/>
          </w:tcPr>
          <w:p w14:paraId="1DD9EDA8" w14:textId="77777777" w:rsidR="00CA4883" w:rsidRDefault="00CA4883" w:rsidP="00CA4883">
            <w:pPr>
              <w:jc w:val="center"/>
              <w:rPr>
                <w:sz w:val="20"/>
                <w:szCs w:val="20"/>
                <w:lang w:val="en-US"/>
              </w:rPr>
            </w:pPr>
            <w:r>
              <w:rPr>
                <w:sz w:val="20"/>
                <w:szCs w:val="20"/>
                <w:lang w:val="en-US"/>
              </w:rPr>
              <w:t>MAPE</w:t>
            </w:r>
          </w:p>
          <w:p w14:paraId="4C7EFEE7" w14:textId="77777777" w:rsidR="00CA4883" w:rsidRDefault="00CA4883" w:rsidP="00CA4883">
            <w:pPr>
              <w:jc w:val="center"/>
              <w:rPr>
                <w:sz w:val="20"/>
                <w:szCs w:val="20"/>
                <w:lang w:val="en-US"/>
              </w:rPr>
            </w:pPr>
            <w:r w:rsidRPr="00E53A50">
              <w:rPr>
                <w:rFonts w:cstheme="minorHAnsi"/>
                <w:i/>
                <w:iCs/>
                <w:sz w:val="20"/>
                <w:szCs w:val="20"/>
                <w:lang w:val="en-US"/>
              </w:rPr>
              <w:t>'file_size_gb'</w:t>
            </w:r>
          </w:p>
        </w:tc>
        <w:tc>
          <w:tcPr>
            <w:tcW w:w="950" w:type="dxa"/>
          </w:tcPr>
          <w:p w14:paraId="3F05B896" w14:textId="77777777" w:rsidR="00CA4883" w:rsidRDefault="00CA4883" w:rsidP="00CA4883">
            <w:pPr>
              <w:jc w:val="center"/>
              <w:rPr>
                <w:sz w:val="20"/>
                <w:szCs w:val="20"/>
                <w:lang w:val="en-US"/>
              </w:rPr>
            </w:pPr>
            <w:r>
              <w:rPr>
                <w:sz w:val="20"/>
                <w:szCs w:val="20"/>
                <w:lang w:val="en-US"/>
              </w:rPr>
              <w:t>WMAPE</w:t>
            </w:r>
          </w:p>
          <w:p w14:paraId="59873612" w14:textId="77777777" w:rsidR="00CA4883" w:rsidRDefault="00CA4883" w:rsidP="00CA4883">
            <w:pPr>
              <w:jc w:val="center"/>
              <w:rPr>
                <w:sz w:val="20"/>
                <w:szCs w:val="20"/>
                <w:lang w:val="en-US"/>
              </w:rPr>
            </w:pPr>
            <w:r w:rsidRPr="00E53A50">
              <w:rPr>
                <w:i/>
                <w:iCs/>
                <w:sz w:val="20"/>
                <w:szCs w:val="20"/>
                <w:lang w:val="en-US"/>
              </w:rPr>
              <w:t>‘Records’</w:t>
            </w:r>
          </w:p>
        </w:tc>
        <w:tc>
          <w:tcPr>
            <w:tcW w:w="1252" w:type="dxa"/>
          </w:tcPr>
          <w:p w14:paraId="333239BD" w14:textId="77777777" w:rsidR="00CA4883" w:rsidRDefault="00CA4883" w:rsidP="00CA4883">
            <w:pPr>
              <w:jc w:val="center"/>
              <w:rPr>
                <w:sz w:val="20"/>
                <w:szCs w:val="20"/>
                <w:lang w:val="en-US"/>
              </w:rPr>
            </w:pPr>
            <w:r>
              <w:rPr>
                <w:sz w:val="20"/>
                <w:szCs w:val="20"/>
                <w:lang w:val="en-US"/>
              </w:rPr>
              <w:t>WMAPE</w:t>
            </w:r>
          </w:p>
          <w:p w14:paraId="28DDE266" w14:textId="77777777" w:rsidR="00CA4883" w:rsidRDefault="00CA4883" w:rsidP="00CA4883">
            <w:pPr>
              <w:jc w:val="center"/>
              <w:rPr>
                <w:sz w:val="20"/>
                <w:szCs w:val="20"/>
                <w:lang w:val="en-US"/>
              </w:rPr>
            </w:pPr>
            <w:r w:rsidRPr="00E53A50">
              <w:rPr>
                <w:rFonts w:cstheme="minorHAnsi"/>
                <w:i/>
                <w:iCs/>
                <w:sz w:val="20"/>
                <w:szCs w:val="20"/>
                <w:lang w:val="en-US"/>
              </w:rPr>
              <w:t>'file_size_gb'</w:t>
            </w:r>
          </w:p>
        </w:tc>
        <w:tc>
          <w:tcPr>
            <w:tcW w:w="950" w:type="dxa"/>
          </w:tcPr>
          <w:p w14:paraId="63433B9E" w14:textId="77777777" w:rsidR="00CA4883" w:rsidRDefault="00CA4883" w:rsidP="00CA4883">
            <w:pPr>
              <w:jc w:val="center"/>
              <w:rPr>
                <w:sz w:val="20"/>
                <w:szCs w:val="20"/>
                <w:lang w:val="en-US"/>
              </w:rPr>
            </w:pPr>
            <w:r>
              <w:rPr>
                <w:sz w:val="20"/>
                <w:szCs w:val="20"/>
                <w:lang w:val="en-US"/>
              </w:rPr>
              <w:t>RMSPE</w:t>
            </w:r>
          </w:p>
          <w:p w14:paraId="25531110" w14:textId="77777777" w:rsidR="00CA4883" w:rsidRDefault="00CA4883" w:rsidP="00CA4883">
            <w:pPr>
              <w:jc w:val="center"/>
              <w:rPr>
                <w:sz w:val="20"/>
                <w:szCs w:val="20"/>
                <w:lang w:val="en-US"/>
              </w:rPr>
            </w:pPr>
            <w:r w:rsidRPr="00E53A50">
              <w:rPr>
                <w:i/>
                <w:iCs/>
                <w:sz w:val="20"/>
                <w:szCs w:val="20"/>
                <w:lang w:val="en-US"/>
              </w:rPr>
              <w:t>‘Records’</w:t>
            </w:r>
          </w:p>
        </w:tc>
        <w:tc>
          <w:tcPr>
            <w:tcW w:w="1252" w:type="dxa"/>
          </w:tcPr>
          <w:p w14:paraId="7EC26588" w14:textId="77777777" w:rsidR="00CA4883" w:rsidRDefault="00CA4883" w:rsidP="00CA4883">
            <w:pPr>
              <w:jc w:val="center"/>
              <w:rPr>
                <w:sz w:val="20"/>
                <w:szCs w:val="20"/>
                <w:lang w:val="en-US"/>
              </w:rPr>
            </w:pPr>
            <w:r>
              <w:rPr>
                <w:sz w:val="20"/>
                <w:szCs w:val="20"/>
                <w:lang w:val="en-US"/>
              </w:rPr>
              <w:t>RMSPE</w:t>
            </w:r>
          </w:p>
          <w:p w14:paraId="02BE00A1" w14:textId="77777777" w:rsidR="00CA4883" w:rsidRDefault="00CA4883" w:rsidP="00CA4883">
            <w:pPr>
              <w:jc w:val="center"/>
              <w:rPr>
                <w:sz w:val="20"/>
                <w:szCs w:val="20"/>
                <w:lang w:val="en-US"/>
              </w:rPr>
            </w:pPr>
            <w:r w:rsidRPr="00E53A50">
              <w:rPr>
                <w:rFonts w:cstheme="minorHAnsi"/>
                <w:i/>
                <w:iCs/>
                <w:sz w:val="20"/>
                <w:szCs w:val="20"/>
                <w:lang w:val="en-US"/>
              </w:rPr>
              <w:t>'file_size_gb'</w:t>
            </w:r>
          </w:p>
        </w:tc>
        <w:tc>
          <w:tcPr>
            <w:tcW w:w="1074" w:type="dxa"/>
          </w:tcPr>
          <w:p w14:paraId="4E2ADB75" w14:textId="77777777" w:rsidR="00CA4883" w:rsidRDefault="00CA4883" w:rsidP="00CA4883">
            <w:pPr>
              <w:jc w:val="center"/>
              <w:rPr>
                <w:sz w:val="20"/>
                <w:szCs w:val="20"/>
                <w:lang w:val="en-US"/>
              </w:rPr>
            </w:pPr>
            <w:r>
              <w:rPr>
                <w:sz w:val="20"/>
                <w:szCs w:val="20"/>
                <w:lang w:val="en-US"/>
              </w:rPr>
              <w:t xml:space="preserve">Forecast for </w:t>
            </w:r>
          </w:p>
          <w:p w14:paraId="5D31EF78" w14:textId="77777777" w:rsidR="00CA4883" w:rsidRDefault="00CA4883" w:rsidP="00CA4883">
            <w:pPr>
              <w:jc w:val="center"/>
              <w:rPr>
                <w:sz w:val="20"/>
                <w:szCs w:val="20"/>
                <w:lang w:val="en-US"/>
              </w:rPr>
            </w:pPr>
            <w:r>
              <w:rPr>
                <w:sz w:val="20"/>
                <w:szCs w:val="20"/>
                <w:lang w:val="en-US"/>
              </w:rPr>
              <w:t>2023-01</w:t>
            </w:r>
          </w:p>
          <w:p w14:paraId="5FBCC8E0" w14:textId="42ABE34B" w:rsidR="00CA4883" w:rsidRDefault="00CA4883" w:rsidP="00CA4883">
            <w:pPr>
              <w:jc w:val="center"/>
              <w:rPr>
                <w:sz w:val="20"/>
                <w:szCs w:val="20"/>
                <w:lang w:val="en-US"/>
              </w:rPr>
            </w:pPr>
            <w:r>
              <w:rPr>
                <w:i/>
                <w:iCs/>
                <w:sz w:val="20"/>
                <w:szCs w:val="20"/>
                <w:lang w:val="en-US"/>
              </w:rPr>
              <w:t>‘</w:t>
            </w:r>
            <w:r w:rsidRPr="00E53A50">
              <w:rPr>
                <w:i/>
                <w:iCs/>
                <w:sz w:val="20"/>
                <w:szCs w:val="20"/>
                <w:lang w:val="en-US"/>
              </w:rPr>
              <w:t>Records’</w:t>
            </w:r>
          </w:p>
        </w:tc>
        <w:tc>
          <w:tcPr>
            <w:tcW w:w="1252" w:type="dxa"/>
          </w:tcPr>
          <w:p w14:paraId="687323FF" w14:textId="77777777" w:rsidR="00CA4883" w:rsidRDefault="00CA4883" w:rsidP="00CA4883">
            <w:pPr>
              <w:jc w:val="center"/>
              <w:rPr>
                <w:sz w:val="20"/>
                <w:szCs w:val="20"/>
                <w:lang w:val="en-US"/>
              </w:rPr>
            </w:pPr>
            <w:r>
              <w:rPr>
                <w:sz w:val="20"/>
                <w:szCs w:val="20"/>
                <w:lang w:val="en-US"/>
              </w:rPr>
              <w:t xml:space="preserve">Forecast for </w:t>
            </w:r>
          </w:p>
          <w:p w14:paraId="2438D9AF" w14:textId="77777777" w:rsidR="00CA4883" w:rsidRDefault="00CA4883" w:rsidP="00CA4883">
            <w:pPr>
              <w:jc w:val="center"/>
              <w:rPr>
                <w:sz w:val="20"/>
                <w:szCs w:val="20"/>
                <w:lang w:val="en-US"/>
              </w:rPr>
            </w:pPr>
            <w:r>
              <w:rPr>
                <w:sz w:val="20"/>
                <w:szCs w:val="20"/>
                <w:lang w:val="en-US"/>
              </w:rPr>
              <w:t>2023-01</w:t>
            </w:r>
          </w:p>
          <w:p w14:paraId="3403E591" w14:textId="77777777" w:rsidR="00CA4883" w:rsidRDefault="00CA4883" w:rsidP="00CA4883">
            <w:pPr>
              <w:jc w:val="center"/>
              <w:rPr>
                <w:sz w:val="20"/>
                <w:szCs w:val="20"/>
                <w:lang w:val="en-US"/>
              </w:rPr>
            </w:pPr>
            <w:r w:rsidRPr="00E53A50">
              <w:rPr>
                <w:rFonts w:cstheme="minorHAnsi"/>
                <w:i/>
                <w:iCs/>
                <w:sz w:val="20"/>
                <w:szCs w:val="20"/>
                <w:lang w:val="en-US"/>
              </w:rPr>
              <w:t>'file_size_gb'</w:t>
            </w:r>
          </w:p>
        </w:tc>
      </w:tr>
      <w:tr w:rsidR="00CA4883" w14:paraId="17ACB6A5" w14:textId="77777777" w:rsidTr="00CA4883">
        <w:trPr>
          <w:trHeight w:val="587"/>
        </w:trPr>
        <w:tc>
          <w:tcPr>
            <w:tcW w:w="1346" w:type="dxa"/>
          </w:tcPr>
          <w:p w14:paraId="2A1E9242" w14:textId="77777777" w:rsidR="00CA4883" w:rsidRDefault="00CA4883" w:rsidP="00CA4883">
            <w:pPr>
              <w:jc w:val="center"/>
              <w:rPr>
                <w:sz w:val="20"/>
                <w:szCs w:val="20"/>
                <w:lang w:val="en-US"/>
              </w:rPr>
            </w:pPr>
            <w:r>
              <w:rPr>
                <w:sz w:val="20"/>
                <w:szCs w:val="20"/>
                <w:lang w:val="en-US"/>
              </w:rPr>
              <w:t>ARIMA</w:t>
            </w:r>
          </w:p>
        </w:tc>
        <w:tc>
          <w:tcPr>
            <w:tcW w:w="950" w:type="dxa"/>
          </w:tcPr>
          <w:p w14:paraId="71DDADF6" w14:textId="77777777" w:rsidR="00CA4883" w:rsidRDefault="00CA4883" w:rsidP="00CA4883">
            <w:pPr>
              <w:jc w:val="center"/>
              <w:rPr>
                <w:sz w:val="20"/>
                <w:szCs w:val="20"/>
                <w:lang w:val="en-US"/>
              </w:rPr>
            </w:pPr>
            <w:r>
              <w:rPr>
                <w:sz w:val="20"/>
                <w:szCs w:val="20"/>
                <w:lang w:val="en-US"/>
              </w:rPr>
              <w:t>0.105</w:t>
            </w:r>
          </w:p>
        </w:tc>
        <w:tc>
          <w:tcPr>
            <w:tcW w:w="1252" w:type="dxa"/>
          </w:tcPr>
          <w:p w14:paraId="6067BB37" w14:textId="77777777" w:rsidR="00CA4883" w:rsidRPr="00815CDD" w:rsidRDefault="00CA4883" w:rsidP="00CA4883">
            <w:pPr>
              <w:jc w:val="center"/>
              <w:rPr>
                <w:sz w:val="20"/>
                <w:szCs w:val="20"/>
                <w:lang w:val="en-US"/>
              </w:rPr>
            </w:pPr>
            <w:r>
              <w:rPr>
                <w:sz w:val="20"/>
                <w:szCs w:val="20"/>
                <w:lang w:val="en-US"/>
              </w:rPr>
              <w:t>0.064</w:t>
            </w:r>
          </w:p>
        </w:tc>
        <w:tc>
          <w:tcPr>
            <w:tcW w:w="950" w:type="dxa"/>
          </w:tcPr>
          <w:p w14:paraId="068608C5" w14:textId="77777777" w:rsidR="00CA4883" w:rsidRDefault="00CA4883" w:rsidP="00CA4883">
            <w:pPr>
              <w:jc w:val="center"/>
              <w:rPr>
                <w:sz w:val="20"/>
                <w:szCs w:val="20"/>
                <w:lang w:val="en-US"/>
              </w:rPr>
            </w:pPr>
            <w:r w:rsidRPr="00815CDD">
              <w:rPr>
                <w:sz w:val="20"/>
                <w:szCs w:val="20"/>
                <w:lang w:val="en-US"/>
              </w:rPr>
              <w:t>0.10</w:t>
            </w:r>
            <w:r>
              <w:rPr>
                <w:sz w:val="20"/>
                <w:szCs w:val="20"/>
                <w:lang w:val="en-US"/>
              </w:rPr>
              <w:t>9</w:t>
            </w:r>
          </w:p>
        </w:tc>
        <w:tc>
          <w:tcPr>
            <w:tcW w:w="1252" w:type="dxa"/>
          </w:tcPr>
          <w:p w14:paraId="5F0B3499" w14:textId="77777777" w:rsidR="00CA4883" w:rsidRPr="00815CDD" w:rsidRDefault="00CA4883" w:rsidP="00CA4883">
            <w:pPr>
              <w:jc w:val="center"/>
              <w:rPr>
                <w:sz w:val="20"/>
                <w:szCs w:val="20"/>
                <w:lang w:val="en-US"/>
              </w:rPr>
            </w:pPr>
            <w:r>
              <w:rPr>
                <w:sz w:val="20"/>
                <w:szCs w:val="20"/>
                <w:lang w:val="en-US"/>
              </w:rPr>
              <w:t>0.061</w:t>
            </w:r>
          </w:p>
        </w:tc>
        <w:tc>
          <w:tcPr>
            <w:tcW w:w="950" w:type="dxa"/>
          </w:tcPr>
          <w:p w14:paraId="4BEDB2EA" w14:textId="77777777" w:rsidR="00CA4883" w:rsidRDefault="00CA4883" w:rsidP="00CA4883">
            <w:pPr>
              <w:jc w:val="center"/>
              <w:rPr>
                <w:sz w:val="20"/>
                <w:szCs w:val="20"/>
                <w:lang w:val="en-US"/>
              </w:rPr>
            </w:pPr>
            <w:r w:rsidRPr="00815CDD">
              <w:rPr>
                <w:sz w:val="20"/>
                <w:szCs w:val="20"/>
                <w:lang w:val="en-US"/>
              </w:rPr>
              <w:t>0.13</w:t>
            </w:r>
            <w:r>
              <w:rPr>
                <w:sz w:val="20"/>
                <w:szCs w:val="20"/>
                <w:lang w:val="en-US"/>
              </w:rPr>
              <w:t>2</w:t>
            </w:r>
          </w:p>
        </w:tc>
        <w:tc>
          <w:tcPr>
            <w:tcW w:w="1252" w:type="dxa"/>
          </w:tcPr>
          <w:p w14:paraId="78F592F8" w14:textId="77777777" w:rsidR="00CA4883" w:rsidRPr="00232170" w:rsidRDefault="00CA4883" w:rsidP="00CA4883">
            <w:pPr>
              <w:jc w:val="center"/>
              <w:rPr>
                <w:sz w:val="20"/>
                <w:szCs w:val="20"/>
                <w:lang w:val="en-US"/>
              </w:rPr>
            </w:pPr>
            <w:r>
              <w:rPr>
                <w:sz w:val="20"/>
                <w:szCs w:val="20"/>
                <w:lang w:val="en-US"/>
              </w:rPr>
              <w:t>0.077</w:t>
            </w:r>
          </w:p>
        </w:tc>
        <w:tc>
          <w:tcPr>
            <w:tcW w:w="1074" w:type="dxa"/>
          </w:tcPr>
          <w:p w14:paraId="00143DBE" w14:textId="77777777" w:rsidR="00CA4883" w:rsidRDefault="00CA4883" w:rsidP="00CA4883">
            <w:pPr>
              <w:jc w:val="center"/>
              <w:rPr>
                <w:sz w:val="20"/>
                <w:szCs w:val="20"/>
                <w:lang w:val="en-US"/>
              </w:rPr>
            </w:pPr>
            <w:r w:rsidRPr="00232170">
              <w:rPr>
                <w:sz w:val="20"/>
                <w:szCs w:val="20"/>
                <w:lang w:val="en-US"/>
              </w:rPr>
              <w:t>1.766e+08</w:t>
            </w:r>
          </w:p>
        </w:tc>
        <w:tc>
          <w:tcPr>
            <w:tcW w:w="1252" w:type="dxa"/>
          </w:tcPr>
          <w:p w14:paraId="23914910" w14:textId="77777777" w:rsidR="00CA4883" w:rsidRDefault="00CA4883" w:rsidP="00CA4883">
            <w:pPr>
              <w:jc w:val="center"/>
              <w:rPr>
                <w:sz w:val="20"/>
                <w:szCs w:val="20"/>
                <w:lang w:val="en-US"/>
              </w:rPr>
            </w:pPr>
            <w:r w:rsidRPr="00232170">
              <w:rPr>
                <w:sz w:val="20"/>
                <w:szCs w:val="20"/>
                <w:lang w:val="en-US"/>
              </w:rPr>
              <w:t>190034.679</w:t>
            </w:r>
          </w:p>
        </w:tc>
      </w:tr>
      <w:tr w:rsidR="00CA4883" w14:paraId="1113D2B6" w14:textId="77777777" w:rsidTr="00CA4883">
        <w:trPr>
          <w:trHeight w:val="619"/>
        </w:trPr>
        <w:tc>
          <w:tcPr>
            <w:tcW w:w="1346" w:type="dxa"/>
          </w:tcPr>
          <w:p w14:paraId="57E79229" w14:textId="77777777" w:rsidR="00CA4883" w:rsidRDefault="00CA4883" w:rsidP="00CA4883">
            <w:pPr>
              <w:jc w:val="center"/>
              <w:rPr>
                <w:sz w:val="20"/>
                <w:szCs w:val="20"/>
                <w:lang w:val="en-US"/>
              </w:rPr>
            </w:pPr>
            <w:r>
              <w:rPr>
                <w:sz w:val="20"/>
                <w:szCs w:val="20"/>
                <w:lang w:val="en-US"/>
              </w:rPr>
              <w:t>VAR</w:t>
            </w:r>
          </w:p>
        </w:tc>
        <w:tc>
          <w:tcPr>
            <w:tcW w:w="950" w:type="dxa"/>
          </w:tcPr>
          <w:p w14:paraId="69DF0DE7" w14:textId="77777777" w:rsidR="00CA4883" w:rsidRDefault="00CA4883" w:rsidP="00CA4883">
            <w:pPr>
              <w:jc w:val="center"/>
              <w:rPr>
                <w:sz w:val="20"/>
                <w:szCs w:val="20"/>
                <w:lang w:val="en-US"/>
              </w:rPr>
            </w:pPr>
            <w:r w:rsidRPr="00232170">
              <w:rPr>
                <w:sz w:val="20"/>
                <w:szCs w:val="20"/>
                <w:lang w:val="en-US"/>
              </w:rPr>
              <w:t>0.091</w:t>
            </w:r>
          </w:p>
        </w:tc>
        <w:tc>
          <w:tcPr>
            <w:tcW w:w="1252" w:type="dxa"/>
          </w:tcPr>
          <w:p w14:paraId="2D253D0C" w14:textId="77777777" w:rsidR="00CA4883" w:rsidRPr="00232170" w:rsidRDefault="00CA4883" w:rsidP="00CA4883">
            <w:pPr>
              <w:jc w:val="center"/>
              <w:rPr>
                <w:sz w:val="20"/>
                <w:szCs w:val="20"/>
                <w:lang w:val="en-US"/>
              </w:rPr>
            </w:pPr>
            <w:r>
              <w:rPr>
                <w:sz w:val="20"/>
                <w:szCs w:val="20"/>
                <w:lang w:val="en-US"/>
              </w:rPr>
              <w:t>0.135</w:t>
            </w:r>
          </w:p>
        </w:tc>
        <w:tc>
          <w:tcPr>
            <w:tcW w:w="950" w:type="dxa"/>
          </w:tcPr>
          <w:p w14:paraId="08A3BEF1" w14:textId="77777777" w:rsidR="00CA4883" w:rsidRDefault="00CA4883" w:rsidP="00CA4883">
            <w:pPr>
              <w:jc w:val="center"/>
              <w:rPr>
                <w:sz w:val="20"/>
                <w:szCs w:val="20"/>
                <w:lang w:val="en-US"/>
              </w:rPr>
            </w:pPr>
            <w:r w:rsidRPr="00232170">
              <w:rPr>
                <w:sz w:val="20"/>
                <w:szCs w:val="20"/>
                <w:lang w:val="en-US"/>
              </w:rPr>
              <w:t>0.090</w:t>
            </w:r>
          </w:p>
        </w:tc>
        <w:tc>
          <w:tcPr>
            <w:tcW w:w="1252" w:type="dxa"/>
          </w:tcPr>
          <w:p w14:paraId="0CE0E544" w14:textId="77777777" w:rsidR="00CA4883" w:rsidRPr="00232170" w:rsidRDefault="00CA4883" w:rsidP="00CA4883">
            <w:pPr>
              <w:jc w:val="center"/>
              <w:rPr>
                <w:sz w:val="20"/>
                <w:szCs w:val="20"/>
                <w:lang w:val="en-US"/>
              </w:rPr>
            </w:pPr>
            <w:r>
              <w:rPr>
                <w:sz w:val="20"/>
                <w:szCs w:val="20"/>
                <w:lang w:val="en-US"/>
              </w:rPr>
              <w:t>0.135</w:t>
            </w:r>
          </w:p>
        </w:tc>
        <w:tc>
          <w:tcPr>
            <w:tcW w:w="950" w:type="dxa"/>
          </w:tcPr>
          <w:p w14:paraId="2AC820A5" w14:textId="77777777" w:rsidR="00CA4883" w:rsidRDefault="00CA4883" w:rsidP="00CA4883">
            <w:pPr>
              <w:jc w:val="center"/>
              <w:rPr>
                <w:sz w:val="20"/>
                <w:szCs w:val="20"/>
                <w:lang w:val="en-US"/>
              </w:rPr>
            </w:pPr>
            <w:r w:rsidRPr="00232170">
              <w:rPr>
                <w:sz w:val="20"/>
                <w:szCs w:val="20"/>
                <w:lang w:val="en-US"/>
              </w:rPr>
              <w:t>0.107</w:t>
            </w:r>
          </w:p>
        </w:tc>
        <w:tc>
          <w:tcPr>
            <w:tcW w:w="1252" w:type="dxa"/>
          </w:tcPr>
          <w:p w14:paraId="5A992398" w14:textId="77777777" w:rsidR="00CA4883" w:rsidRPr="00232170" w:rsidRDefault="00CA4883" w:rsidP="00CA4883">
            <w:pPr>
              <w:jc w:val="center"/>
              <w:rPr>
                <w:sz w:val="20"/>
                <w:szCs w:val="20"/>
                <w:lang w:val="en-US"/>
              </w:rPr>
            </w:pPr>
            <w:r>
              <w:rPr>
                <w:sz w:val="20"/>
                <w:szCs w:val="20"/>
                <w:lang w:val="en-US"/>
              </w:rPr>
              <w:t>0.146</w:t>
            </w:r>
          </w:p>
        </w:tc>
        <w:tc>
          <w:tcPr>
            <w:tcW w:w="1074" w:type="dxa"/>
          </w:tcPr>
          <w:p w14:paraId="3FF76D43" w14:textId="77777777" w:rsidR="00CA4883" w:rsidRDefault="00CA4883" w:rsidP="00CA4883">
            <w:pPr>
              <w:jc w:val="center"/>
              <w:rPr>
                <w:sz w:val="20"/>
                <w:szCs w:val="20"/>
                <w:lang w:val="en-US"/>
              </w:rPr>
            </w:pPr>
            <w:r w:rsidRPr="00232170">
              <w:rPr>
                <w:sz w:val="20"/>
                <w:szCs w:val="20"/>
                <w:lang w:val="en-US"/>
              </w:rPr>
              <w:t>2.138e+08</w:t>
            </w:r>
          </w:p>
        </w:tc>
        <w:tc>
          <w:tcPr>
            <w:tcW w:w="1252" w:type="dxa"/>
          </w:tcPr>
          <w:p w14:paraId="12278486" w14:textId="77777777" w:rsidR="00CA4883" w:rsidRDefault="00CA4883" w:rsidP="00CA4883">
            <w:pPr>
              <w:jc w:val="center"/>
              <w:rPr>
                <w:sz w:val="20"/>
                <w:szCs w:val="20"/>
                <w:lang w:val="en-US"/>
              </w:rPr>
            </w:pPr>
            <w:r w:rsidRPr="00232170">
              <w:rPr>
                <w:sz w:val="20"/>
                <w:szCs w:val="20"/>
                <w:lang w:val="en-US"/>
              </w:rPr>
              <w:t>246684.944</w:t>
            </w:r>
          </w:p>
        </w:tc>
      </w:tr>
      <w:tr w:rsidR="00CA4883" w14:paraId="00751618" w14:textId="77777777" w:rsidTr="00CA4883">
        <w:trPr>
          <w:trHeight w:val="587"/>
        </w:trPr>
        <w:tc>
          <w:tcPr>
            <w:tcW w:w="1346" w:type="dxa"/>
          </w:tcPr>
          <w:p w14:paraId="40875547" w14:textId="77777777" w:rsidR="00CA4883" w:rsidRDefault="00CA4883" w:rsidP="00CA4883">
            <w:pPr>
              <w:jc w:val="center"/>
              <w:rPr>
                <w:sz w:val="20"/>
                <w:szCs w:val="20"/>
                <w:lang w:val="en-US"/>
              </w:rPr>
            </w:pPr>
            <w:r>
              <w:rPr>
                <w:sz w:val="20"/>
                <w:szCs w:val="20"/>
                <w:lang w:val="en-US"/>
              </w:rPr>
              <w:t>XGBRegressor</w:t>
            </w:r>
          </w:p>
        </w:tc>
        <w:tc>
          <w:tcPr>
            <w:tcW w:w="950" w:type="dxa"/>
          </w:tcPr>
          <w:p w14:paraId="22DF515F" w14:textId="77777777" w:rsidR="00CA4883" w:rsidRDefault="00CA4883" w:rsidP="00CA4883">
            <w:pPr>
              <w:jc w:val="center"/>
              <w:rPr>
                <w:sz w:val="20"/>
                <w:szCs w:val="20"/>
                <w:lang w:val="en-US"/>
              </w:rPr>
            </w:pPr>
            <w:r w:rsidRPr="00232170">
              <w:rPr>
                <w:sz w:val="20"/>
                <w:szCs w:val="20"/>
                <w:lang w:val="en-US"/>
              </w:rPr>
              <w:t>0.</w:t>
            </w:r>
            <w:r>
              <w:rPr>
                <w:sz w:val="20"/>
                <w:szCs w:val="20"/>
                <w:lang w:val="en-US"/>
              </w:rPr>
              <w:t>096</w:t>
            </w:r>
          </w:p>
        </w:tc>
        <w:tc>
          <w:tcPr>
            <w:tcW w:w="1252" w:type="dxa"/>
          </w:tcPr>
          <w:p w14:paraId="6C417569" w14:textId="77777777" w:rsidR="00CA4883" w:rsidRDefault="00CA4883" w:rsidP="00CA4883">
            <w:pPr>
              <w:jc w:val="center"/>
              <w:rPr>
                <w:sz w:val="20"/>
                <w:szCs w:val="20"/>
                <w:lang w:val="en-US"/>
              </w:rPr>
            </w:pPr>
            <w:r>
              <w:rPr>
                <w:sz w:val="20"/>
                <w:szCs w:val="20"/>
                <w:lang w:val="en-US"/>
              </w:rPr>
              <w:t>0.046</w:t>
            </w:r>
          </w:p>
        </w:tc>
        <w:tc>
          <w:tcPr>
            <w:tcW w:w="950" w:type="dxa"/>
          </w:tcPr>
          <w:p w14:paraId="26423D6C" w14:textId="77777777" w:rsidR="00CA4883" w:rsidRDefault="00CA4883" w:rsidP="00CA4883">
            <w:pPr>
              <w:jc w:val="center"/>
              <w:rPr>
                <w:sz w:val="20"/>
                <w:szCs w:val="20"/>
                <w:lang w:val="en-US"/>
              </w:rPr>
            </w:pPr>
            <w:r>
              <w:rPr>
                <w:sz w:val="20"/>
                <w:szCs w:val="20"/>
                <w:lang w:val="en-US"/>
              </w:rPr>
              <w:t>0.093</w:t>
            </w:r>
          </w:p>
        </w:tc>
        <w:tc>
          <w:tcPr>
            <w:tcW w:w="1252" w:type="dxa"/>
          </w:tcPr>
          <w:p w14:paraId="563B30E0" w14:textId="77777777" w:rsidR="00CA4883" w:rsidRDefault="00CA4883" w:rsidP="00CA4883">
            <w:pPr>
              <w:jc w:val="center"/>
              <w:rPr>
                <w:sz w:val="20"/>
                <w:szCs w:val="20"/>
                <w:lang w:val="en-US"/>
              </w:rPr>
            </w:pPr>
            <w:r>
              <w:rPr>
                <w:sz w:val="20"/>
                <w:szCs w:val="20"/>
                <w:lang w:val="en-US"/>
              </w:rPr>
              <w:t>0.048</w:t>
            </w:r>
          </w:p>
        </w:tc>
        <w:tc>
          <w:tcPr>
            <w:tcW w:w="950" w:type="dxa"/>
          </w:tcPr>
          <w:p w14:paraId="37CED6A5" w14:textId="77777777" w:rsidR="00CA4883" w:rsidRDefault="00CA4883" w:rsidP="00CA4883">
            <w:pPr>
              <w:jc w:val="center"/>
              <w:rPr>
                <w:sz w:val="20"/>
                <w:szCs w:val="20"/>
                <w:lang w:val="en-US"/>
              </w:rPr>
            </w:pPr>
            <w:r>
              <w:rPr>
                <w:sz w:val="20"/>
                <w:szCs w:val="20"/>
                <w:lang w:val="en-US"/>
              </w:rPr>
              <w:t>0.108</w:t>
            </w:r>
          </w:p>
        </w:tc>
        <w:tc>
          <w:tcPr>
            <w:tcW w:w="1252" w:type="dxa"/>
          </w:tcPr>
          <w:p w14:paraId="150D468B" w14:textId="77777777" w:rsidR="00CA4883" w:rsidRDefault="00CA4883" w:rsidP="00CA4883">
            <w:pPr>
              <w:jc w:val="center"/>
              <w:rPr>
                <w:sz w:val="20"/>
                <w:szCs w:val="20"/>
                <w:lang w:val="en-US"/>
              </w:rPr>
            </w:pPr>
            <w:r>
              <w:rPr>
                <w:sz w:val="20"/>
                <w:szCs w:val="20"/>
                <w:lang w:val="en-US"/>
              </w:rPr>
              <w:t>0.056</w:t>
            </w:r>
          </w:p>
        </w:tc>
        <w:tc>
          <w:tcPr>
            <w:tcW w:w="1074" w:type="dxa"/>
          </w:tcPr>
          <w:p w14:paraId="39580ABA" w14:textId="77777777" w:rsidR="00CA4883" w:rsidRDefault="00CA4883" w:rsidP="00CA4883">
            <w:pPr>
              <w:jc w:val="center"/>
              <w:rPr>
                <w:sz w:val="20"/>
                <w:szCs w:val="20"/>
                <w:lang w:val="en-US"/>
              </w:rPr>
            </w:pPr>
            <w:r w:rsidRPr="00D12A34">
              <w:rPr>
                <w:sz w:val="20"/>
                <w:szCs w:val="20"/>
                <w:lang w:val="en-US"/>
              </w:rPr>
              <w:t>2.03</w:t>
            </w:r>
            <w:r>
              <w:rPr>
                <w:sz w:val="20"/>
                <w:szCs w:val="20"/>
                <w:lang w:val="en-US"/>
              </w:rPr>
              <w:t>8</w:t>
            </w:r>
            <w:r w:rsidRPr="00D12A34">
              <w:rPr>
                <w:sz w:val="20"/>
                <w:szCs w:val="20"/>
                <w:lang w:val="en-US"/>
              </w:rPr>
              <w:t>e+08</w:t>
            </w:r>
          </w:p>
        </w:tc>
        <w:tc>
          <w:tcPr>
            <w:tcW w:w="1252" w:type="dxa"/>
          </w:tcPr>
          <w:p w14:paraId="01A05F4F" w14:textId="77777777" w:rsidR="00CA4883" w:rsidRDefault="00CA4883" w:rsidP="00CA4883">
            <w:pPr>
              <w:jc w:val="center"/>
              <w:rPr>
                <w:sz w:val="20"/>
                <w:szCs w:val="20"/>
                <w:lang w:val="en-US"/>
              </w:rPr>
            </w:pPr>
            <w:r w:rsidRPr="00D12A34">
              <w:rPr>
                <w:sz w:val="20"/>
                <w:szCs w:val="20"/>
                <w:lang w:val="en-US"/>
              </w:rPr>
              <w:t>209613.61</w:t>
            </w:r>
          </w:p>
        </w:tc>
      </w:tr>
      <w:tr w:rsidR="00CA4883" w14:paraId="1AD8550E" w14:textId="77777777" w:rsidTr="00CA4883">
        <w:trPr>
          <w:trHeight w:val="587"/>
        </w:trPr>
        <w:tc>
          <w:tcPr>
            <w:tcW w:w="1346" w:type="dxa"/>
          </w:tcPr>
          <w:p w14:paraId="26DD59A2" w14:textId="77777777" w:rsidR="00CA4883" w:rsidRDefault="00CA4883" w:rsidP="00CA4883">
            <w:pPr>
              <w:jc w:val="center"/>
              <w:rPr>
                <w:sz w:val="20"/>
                <w:szCs w:val="20"/>
                <w:lang w:val="en-US"/>
              </w:rPr>
            </w:pPr>
            <w:r>
              <w:rPr>
                <w:sz w:val="20"/>
                <w:szCs w:val="20"/>
                <w:lang w:val="en-US"/>
              </w:rPr>
              <w:t>SVR</w:t>
            </w:r>
          </w:p>
        </w:tc>
        <w:tc>
          <w:tcPr>
            <w:tcW w:w="950" w:type="dxa"/>
          </w:tcPr>
          <w:p w14:paraId="14C462B2" w14:textId="77777777" w:rsidR="00CA4883" w:rsidRDefault="00CA4883" w:rsidP="00CA4883">
            <w:pPr>
              <w:jc w:val="center"/>
              <w:rPr>
                <w:sz w:val="20"/>
                <w:szCs w:val="20"/>
                <w:lang w:val="en-US"/>
              </w:rPr>
            </w:pPr>
            <w:r w:rsidRPr="0038233B">
              <w:rPr>
                <w:sz w:val="20"/>
                <w:szCs w:val="20"/>
                <w:lang w:val="en-US"/>
              </w:rPr>
              <w:t>0.104</w:t>
            </w:r>
          </w:p>
        </w:tc>
        <w:tc>
          <w:tcPr>
            <w:tcW w:w="1252" w:type="dxa"/>
          </w:tcPr>
          <w:p w14:paraId="4D0B12C1" w14:textId="77777777" w:rsidR="00CA4883" w:rsidRDefault="00CA4883" w:rsidP="00CA4883">
            <w:pPr>
              <w:jc w:val="center"/>
              <w:rPr>
                <w:sz w:val="20"/>
                <w:szCs w:val="20"/>
                <w:lang w:val="en-US"/>
              </w:rPr>
            </w:pPr>
            <w:r>
              <w:rPr>
                <w:sz w:val="20"/>
                <w:szCs w:val="20"/>
                <w:lang w:val="en-US"/>
              </w:rPr>
              <w:t>0.045</w:t>
            </w:r>
          </w:p>
        </w:tc>
        <w:tc>
          <w:tcPr>
            <w:tcW w:w="950" w:type="dxa"/>
          </w:tcPr>
          <w:p w14:paraId="3CDB4E44" w14:textId="77777777" w:rsidR="00CA4883" w:rsidRDefault="00CA4883" w:rsidP="00CA4883">
            <w:pPr>
              <w:jc w:val="center"/>
              <w:rPr>
                <w:sz w:val="20"/>
                <w:szCs w:val="20"/>
                <w:lang w:val="en-US"/>
              </w:rPr>
            </w:pPr>
            <w:r w:rsidRPr="0038233B">
              <w:rPr>
                <w:sz w:val="20"/>
                <w:szCs w:val="20"/>
                <w:lang w:val="en-US"/>
              </w:rPr>
              <w:t>0.10</w:t>
            </w:r>
            <w:r>
              <w:rPr>
                <w:sz w:val="20"/>
                <w:szCs w:val="20"/>
                <w:lang w:val="en-US"/>
              </w:rPr>
              <w:t>5</w:t>
            </w:r>
          </w:p>
        </w:tc>
        <w:tc>
          <w:tcPr>
            <w:tcW w:w="1252" w:type="dxa"/>
          </w:tcPr>
          <w:p w14:paraId="44566843" w14:textId="77777777" w:rsidR="00CA4883" w:rsidRDefault="00CA4883" w:rsidP="00CA4883">
            <w:pPr>
              <w:jc w:val="center"/>
              <w:rPr>
                <w:sz w:val="20"/>
                <w:szCs w:val="20"/>
                <w:lang w:val="en-US"/>
              </w:rPr>
            </w:pPr>
            <w:r>
              <w:rPr>
                <w:sz w:val="20"/>
                <w:szCs w:val="20"/>
                <w:lang w:val="en-US"/>
              </w:rPr>
              <w:t>0.048</w:t>
            </w:r>
          </w:p>
        </w:tc>
        <w:tc>
          <w:tcPr>
            <w:tcW w:w="950" w:type="dxa"/>
          </w:tcPr>
          <w:p w14:paraId="41EA98D9" w14:textId="77777777" w:rsidR="00CA4883" w:rsidRDefault="00CA4883" w:rsidP="00CA4883">
            <w:pPr>
              <w:jc w:val="center"/>
              <w:rPr>
                <w:sz w:val="20"/>
                <w:szCs w:val="20"/>
                <w:lang w:val="en-US"/>
              </w:rPr>
            </w:pPr>
            <w:r w:rsidRPr="0038233B">
              <w:rPr>
                <w:sz w:val="20"/>
                <w:szCs w:val="20"/>
                <w:lang w:val="en-US"/>
              </w:rPr>
              <w:t>0.1</w:t>
            </w:r>
            <w:r>
              <w:rPr>
                <w:sz w:val="20"/>
                <w:szCs w:val="20"/>
                <w:lang w:val="en-US"/>
              </w:rPr>
              <w:t>13</w:t>
            </w:r>
          </w:p>
        </w:tc>
        <w:tc>
          <w:tcPr>
            <w:tcW w:w="1252" w:type="dxa"/>
          </w:tcPr>
          <w:p w14:paraId="5FF693BF" w14:textId="77777777" w:rsidR="00CA4883" w:rsidRDefault="00CA4883" w:rsidP="00CA4883">
            <w:pPr>
              <w:jc w:val="center"/>
              <w:rPr>
                <w:sz w:val="20"/>
                <w:szCs w:val="20"/>
                <w:lang w:val="en-US"/>
              </w:rPr>
            </w:pPr>
            <w:r>
              <w:rPr>
                <w:sz w:val="20"/>
                <w:szCs w:val="20"/>
                <w:lang w:val="en-US"/>
              </w:rPr>
              <w:t>0.051</w:t>
            </w:r>
          </w:p>
        </w:tc>
        <w:tc>
          <w:tcPr>
            <w:tcW w:w="1074" w:type="dxa"/>
          </w:tcPr>
          <w:p w14:paraId="118EFB34" w14:textId="77777777" w:rsidR="00CA4883" w:rsidRDefault="00CA4883" w:rsidP="00CA4883">
            <w:pPr>
              <w:jc w:val="center"/>
              <w:rPr>
                <w:sz w:val="20"/>
                <w:szCs w:val="20"/>
                <w:lang w:val="en-US"/>
              </w:rPr>
            </w:pPr>
            <w:r w:rsidRPr="0038233B">
              <w:rPr>
                <w:sz w:val="20"/>
                <w:szCs w:val="20"/>
                <w:lang w:val="en-US"/>
              </w:rPr>
              <w:t>2.09e+08</w:t>
            </w:r>
          </w:p>
        </w:tc>
        <w:tc>
          <w:tcPr>
            <w:tcW w:w="1252" w:type="dxa"/>
          </w:tcPr>
          <w:p w14:paraId="3547B430" w14:textId="77777777" w:rsidR="00CA4883" w:rsidRDefault="00CA4883" w:rsidP="00CA4883">
            <w:pPr>
              <w:jc w:val="center"/>
              <w:rPr>
                <w:sz w:val="20"/>
                <w:szCs w:val="20"/>
                <w:lang w:val="en-US"/>
              </w:rPr>
            </w:pPr>
            <w:r w:rsidRPr="0038233B">
              <w:rPr>
                <w:sz w:val="20"/>
                <w:szCs w:val="20"/>
                <w:lang w:val="en-US"/>
              </w:rPr>
              <w:t>206835.630</w:t>
            </w:r>
          </w:p>
        </w:tc>
      </w:tr>
    </w:tbl>
    <w:p w14:paraId="461187B7" w14:textId="4CA8F5F5" w:rsidR="00A10009" w:rsidRDefault="001568B9" w:rsidP="00873B79">
      <w:pPr>
        <w:jc w:val="center"/>
        <w:rPr>
          <w:sz w:val="20"/>
          <w:szCs w:val="20"/>
          <w:lang w:val="en-US"/>
        </w:rPr>
      </w:pPr>
      <w:r>
        <w:rPr>
          <w:sz w:val="20"/>
          <w:szCs w:val="20"/>
          <w:lang w:val="en-US"/>
        </w:rPr>
        <w:t>Table 4: Testing Error metrics</w:t>
      </w:r>
      <w:r w:rsidR="00BE00E1">
        <w:rPr>
          <w:sz w:val="20"/>
          <w:szCs w:val="20"/>
          <w:lang w:val="en-US"/>
        </w:rPr>
        <w:t xml:space="preserve"> and final forecasting</w:t>
      </w:r>
      <w:r>
        <w:rPr>
          <w:sz w:val="20"/>
          <w:szCs w:val="20"/>
          <w:lang w:val="en-US"/>
        </w:rPr>
        <w:t xml:space="preserve"> for all 4 models</w:t>
      </w:r>
    </w:p>
    <w:p w14:paraId="2C8BEA76" w14:textId="0EAE714F" w:rsidR="00CA4883" w:rsidRDefault="00CA4883" w:rsidP="00CA4883">
      <w:pPr>
        <w:rPr>
          <w:sz w:val="20"/>
          <w:szCs w:val="20"/>
          <w:lang w:val="en-US"/>
        </w:rPr>
      </w:pPr>
    </w:p>
    <w:p w14:paraId="553DAAC5" w14:textId="28542BC8" w:rsidR="00CA4883" w:rsidRDefault="00CA4883" w:rsidP="00CA4883">
      <w:pPr>
        <w:rPr>
          <w:b/>
          <w:bCs/>
          <w:sz w:val="20"/>
          <w:szCs w:val="20"/>
          <w:lang w:val="en-US"/>
        </w:rPr>
      </w:pPr>
      <w:r>
        <w:rPr>
          <w:b/>
          <w:bCs/>
          <w:sz w:val="20"/>
          <w:szCs w:val="20"/>
          <w:lang w:val="en-US"/>
        </w:rPr>
        <w:t>Summary</w:t>
      </w:r>
    </w:p>
    <w:p w14:paraId="40206582" w14:textId="239B67CB" w:rsidR="00CA4883" w:rsidRPr="00CA4883" w:rsidRDefault="00CA4883" w:rsidP="00D76554">
      <w:pPr>
        <w:jc w:val="both"/>
        <w:rPr>
          <w:sz w:val="20"/>
          <w:szCs w:val="20"/>
          <w:lang w:val="en-US"/>
        </w:rPr>
      </w:pPr>
      <w:r>
        <w:rPr>
          <w:sz w:val="20"/>
          <w:szCs w:val="20"/>
          <w:lang w:val="en-US"/>
        </w:rPr>
        <w:t xml:space="preserve">The time series dataset has been </w:t>
      </w:r>
      <w:r w:rsidR="00D76554">
        <w:rPr>
          <w:sz w:val="20"/>
          <w:szCs w:val="20"/>
          <w:lang w:val="en-US"/>
        </w:rPr>
        <w:t xml:space="preserve">investigated in this work including outlier detection, deletion and interpolation; statistical distribution decomposition and visualization on its global trend and local seasonality; collinearity and correlation analysis with and without time lags; stationarity tests up to the second-order differencing of all features. </w:t>
      </w:r>
      <w:r w:rsidR="002346FF">
        <w:rPr>
          <w:sz w:val="20"/>
          <w:szCs w:val="20"/>
          <w:lang w:val="en-US"/>
        </w:rPr>
        <w:t xml:space="preserve">In order to perform forecasting for the most recent timestamp </w:t>
      </w:r>
      <w:r w:rsidR="00B53F0D">
        <w:rPr>
          <w:sz w:val="20"/>
          <w:szCs w:val="20"/>
          <w:lang w:val="en-US"/>
        </w:rPr>
        <w:t xml:space="preserve">(2023-01) </w:t>
      </w:r>
      <w:r w:rsidR="002346FF">
        <w:rPr>
          <w:sz w:val="20"/>
          <w:szCs w:val="20"/>
          <w:lang w:val="en-US"/>
        </w:rPr>
        <w:t xml:space="preserve">data entry, </w:t>
      </w:r>
      <w:r w:rsidR="00B53F0D">
        <w:rPr>
          <w:sz w:val="20"/>
          <w:szCs w:val="20"/>
          <w:lang w:val="en-US"/>
        </w:rPr>
        <w:t xml:space="preserve">four different models comprising two statistical models (ARIMA and VAR) and two non-neural network models (XGBRegressor and SVR) have been </w:t>
      </w:r>
      <w:r w:rsidR="00693B00">
        <w:rPr>
          <w:sz w:val="20"/>
          <w:szCs w:val="20"/>
          <w:lang w:val="en-US"/>
        </w:rPr>
        <w:t>tested and compared in regards to error metrics such as MAPE, WMAPE and RMSPE</w:t>
      </w:r>
      <w:r w:rsidR="005E60EB">
        <w:rPr>
          <w:sz w:val="20"/>
          <w:szCs w:val="20"/>
          <w:lang w:val="en-US"/>
        </w:rPr>
        <w:t xml:space="preserve">, where </w:t>
      </w:r>
      <w:r w:rsidR="005E60EB">
        <w:rPr>
          <w:sz w:val="20"/>
          <w:szCs w:val="20"/>
          <w:lang w:val="en-US"/>
        </w:rPr>
        <w:t>XGBRegressor</w:t>
      </w:r>
      <w:r w:rsidR="005E60EB">
        <w:rPr>
          <w:sz w:val="20"/>
          <w:szCs w:val="20"/>
          <w:lang w:val="en-US"/>
        </w:rPr>
        <w:t xml:space="preserve"> and </w:t>
      </w:r>
      <w:r w:rsidR="005E60EB">
        <w:rPr>
          <w:sz w:val="20"/>
          <w:szCs w:val="20"/>
          <w:lang w:val="en-US"/>
        </w:rPr>
        <w:t>SVR</w:t>
      </w:r>
      <w:r w:rsidR="005E60EB">
        <w:rPr>
          <w:sz w:val="20"/>
          <w:szCs w:val="20"/>
          <w:lang w:val="en-US"/>
        </w:rPr>
        <w:t xml:space="preserve"> grant the lowest errors particularly on the forecasting of submitted file size each month. The submitted file size in 2023 Jan are estimated to be between 200000-210000 based on the forecasting results from </w:t>
      </w:r>
      <w:r w:rsidR="005E60EB">
        <w:rPr>
          <w:sz w:val="20"/>
          <w:szCs w:val="20"/>
          <w:lang w:val="en-US"/>
        </w:rPr>
        <w:t>XGBRegressor</w:t>
      </w:r>
      <w:r w:rsidR="005E60EB">
        <w:rPr>
          <w:sz w:val="20"/>
          <w:szCs w:val="20"/>
          <w:lang w:val="en-US"/>
        </w:rPr>
        <w:t xml:space="preserve"> and SVR models.</w:t>
      </w:r>
    </w:p>
    <w:sectPr w:rsidR="00CA4883" w:rsidRPr="00CA48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C7038" w14:textId="77777777" w:rsidR="00DB6A36" w:rsidRDefault="00DB6A36" w:rsidP="00557F02">
      <w:pPr>
        <w:spacing w:after="0" w:line="240" w:lineRule="auto"/>
      </w:pPr>
      <w:r>
        <w:separator/>
      </w:r>
    </w:p>
  </w:endnote>
  <w:endnote w:type="continuationSeparator" w:id="0">
    <w:p w14:paraId="603AE2F8" w14:textId="77777777" w:rsidR="00DB6A36" w:rsidRDefault="00DB6A36" w:rsidP="00557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197F7" w14:textId="77777777" w:rsidR="00DB6A36" w:rsidRDefault="00DB6A36" w:rsidP="00557F02">
      <w:pPr>
        <w:spacing w:after="0" w:line="240" w:lineRule="auto"/>
      </w:pPr>
      <w:r>
        <w:separator/>
      </w:r>
    </w:p>
  </w:footnote>
  <w:footnote w:type="continuationSeparator" w:id="0">
    <w:p w14:paraId="15B8B013" w14:textId="77777777" w:rsidR="00DB6A36" w:rsidRDefault="00DB6A36" w:rsidP="00557F02">
      <w:pPr>
        <w:spacing w:after="0" w:line="240" w:lineRule="auto"/>
      </w:pPr>
      <w:r>
        <w:continuationSeparator/>
      </w:r>
    </w:p>
  </w:footnote>
  <w:footnote w:id="1">
    <w:p w14:paraId="32CEBF36" w14:textId="00A2D1DF" w:rsidR="00557F02" w:rsidRPr="00557F02" w:rsidRDefault="00557F02">
      <w:pPr>
        <w:pStyle w:val="FootnoteText"/>
        <w:rPr>
          <w:lang w:val="en-US"/>
        </w:rPr>
      </w:pPr>
      <w:r>
        <w:rPr>
          <w:rStyle w:val="FootnoteReference"/>
        </w:rPr>
        <w:footnoteRef/>
      </w:r>
      <w:r>
        <w:t xml:space="preserve"> </w:t>
      </w:r>
      <w:r w:rsidRPr="00557F02">
        <w:t>https://xgboost.readthedocs.io/en/stable/python/python_api.html</w:t>
      </w:r>
    </w:p>
  </w:footnote>
  <w:footnote w:id="2">
    <w:p w14:paraId="2A1883C7" w14:textId="5BA45DAE" w:rsidR="007319B7" w:rsidRPr="007319B7" w:rsidRDefault="007319B7">
      <w:pPr>
        <w:pStyle w:val="FootnoteText"/>
        <w:rPr>
          <w:lang w:val="en-US"/>
        </w:rPr>
      </w:pPr>
      <w:r>
        <w:rPr>
          <w:rStyle w:val="FootnoteReference"/>
        </w:rPr>
        <w:footnoteRef/>
      </w:r>
      <w:r>
        <w:t xml:space="preserve"> </w:t>
      </w:r>
      <w:r w:rsidRPr="007319B7">
        <w:t>https://scikit-learn.org/stable/modules/generated/sklearn.svm.SVR.html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3E"/>
    <w:rsid w:val="0001700E"/>
    <w:rsid w:val="00017838"/>
    <w:rsid w:val="00032571"/>
    <w:rsid w:val="000447A8"/>
    <w:rsid w:val="0004782D"/>
    <w:rsid w:val="000559FA"/>
    <w:rsid w:val="0006447C"/>
    <w:rsid w:val="0006648F"/>
    <w:rsid w:val="00073419"/>
    <w:rsid w:val="00094E36"/>
    <w:rsid w:val="000A6B2A"/>
    <w:rsid w:val="000E3756"/>
    <w:rsid w:val="000E7D7E"/>
    <w:rsid w:val="0012109F"/>
    <w:rsid w:val="00134299"/>
    <w:rsid w:val="001568B9"/>
    <w:rsid w:val="001716DA"/>
    <w:rsid w:val="001A239E"/>
    <w:rsid w:val="001A79FB"/>
    <w:rsid w:val="001A7EB2"/>
    <w:rsid w:val="001F4744"/>
    <w:rsid w:val="00203A2E"/>
    <w:rsid w:val="002047B3"/>
    <w:rsid w:val="0021123E"/>
    <w:rsid w:val="00216ADF"/>
    <w:rsid w:val="00222F29"/>
    <w:rsid w:val="00225FF2"/>
    <w:rsid w:val="00232170"/>
    <w:rsid w:val="002346FF"/>
    <w:rsid w:val="002A07F1"/>
    <w:rsid w:val="002B0F6A"/>
    <w:rsid w:val="002C258B"/>
    <w:rsid w:val="002D5250"/>
    <w:rsid w:val="003139C0"/>
    <w:rsid w:val="00325079"/>
    <w:rsid w:val="0033043B"/>
    <w:rsid w:val="0035557E"/>
    <w:rsid w:val="00360FFB"/>
    <w:rsid w:val="00361CFE"/>
    <w:rsid w:val="00362F7D"/>
    <w:rsid w:val="00375183"/>
    <w:rsid w:val="0038233B"/>
    <w:rsid w:val="003F7D07"/>
    <w:rsid w:val="00402750"/>
    <w:rsid w:val="00417816"/>
    <w:rsid w:val="00447216"/>
    <w:rsid w:val="004542A8"/>
    <w:rsid w:val="00460065"/>
    <w:rsid w:val="004A3DE8"/>
    <w:rsid w:val="004C55D8"/>
    <w:rsid w:val="004D0513"/>
    <w:rsid w:val="004D505E"/>
    <w:rsid w:val="004D54CA"/>
    <w:rsid w:val="00522624"/>
    <w:rsid w:val="00532008"/>
    <w:rsid w:val="00537B6D"/>
    <w:rsid w:val="00545541"/>
    <w:rsid w:val="00554E31"/>
    <w:rsid w:val="00557F02"/>
    <w:rsid w:val="00597BB8"/>
    <w:rsid w:val="005B7DF6"/>
    <w:rsid w:val="005C0173"/>
    <w:rsid w:val="005C639D"/>
    <w:rsid w:val="005E60EB"/>
    <w:rsid w:val="005E7098"/>
    <w:rsid w:val="005F2DDD"/>
    <w:rsid w:val="00606CE8"/>
    <w:rsid w:val="00611EEF"/>
    <w:rsid w:val="006132D5"/>
    <w:rsid w:val="00637F55"/>
    <w:rsid w:val="0065111F"/>
    <w:rsid w:val="00693B00"/>
    <w:rsid w:val="006A1333"/>
    <w:rsid w:val="006C0DCC"/>
    <w:rsid w:val="006D4C84"/>
    <w:rsid w:val="006F6201"/>
    <w:rsid w:val="00714CE2"/>
    <w:rsid w:val="007319B7"/>
    <w:rsid w:val="007654E7"/>
    <w:rsid w:val="00765826"/>
    <w:rsid w:val="00766B0C"/>
    <w:rsid w:val="00766E0B"/>
    <w:rsid w:val="00770845"/>
    <w:rsid w:val="007D11DA"/>
    <w:rsid w:val="007D4294"/>
    <w:rsid w:val="007E1D49"/>
    <w:rsid w:val="007E3F9F"/>
    <w:rsid w:val="008027D4"/>
    <w:rsid w:val="00815CDD"/>
    <w:rsid w:val="008250BA"/>
    <w:rsid w:val="008420A1"/>
    <w:rsid w:val="00873B79"/>
    <w:rsid w:val="00882D40"/>
    <w:rsid w:val="00897C39"/>
    <w:rsid w:val="008A2275"/>
    <w:rsid w:val="008B03F6"/>
    <w:rsid w:val="008C3896"/>
    <w:rsid w:val="008D32CE"/>
    <w:rsid w:val="008D6E88"/>
    <w:rsid w:val="00900385"/>
    <w:rsid w:val="00922CCE"/>
    <w:rsid w:val="00970FFB"/>
    <w:rsid w:val="00973907"/>
    <w:rsid w:val="009852F1"/>
    <w:rsid w:val="009E08AB"/>
    <w:rsid w:val="00A10009"/>
    <w:rsid w:val="00A143AD"/>
    <w:rsid w:val="00A277DA"/>
    <w:rsid w:val="00A33DEF"/>
    <w:rsid w:val="00A52ED5"/>
    <w:rsid w:val="00A53DCE"/>
    <w:rsid w:val="00A91B0C"/>
    <w:rsid w:val="00A921BC"/>
    <w:rsid w:val="00AC3CF4"/>
    <w:rsid w:val="00AC666F"/>
    <w:rsid w:val="00AE29A6"/>
    <w:rsid w:val="00AF02A1"/>
    <w:rsid w:val="00AF2916"/>
    <w:rsid w:val="00B06916"/>
    <w:rsid w:val="00B34722"/>
    <w:rsid w:val="00B41BC7"/>
    <w:rsid w:val="00B53F0D"/>
    <w:rsid w:val="00B7510C"/>
    <w:rsid w:val="00B767D4"/>
    <w:rsid w:val="00B825B3"/>
    <w:rsid w:val="00B83AD8"/>
    <w:rsid w:val="00B85858"/>
    <w:rsid w:val="00B97069"/>
    <w:rsid w:val="00BB6FD8"/>
    <w:rsid w:val="00BC0A4A"/>
    <w:rsid w:val="00BE00E1"/>
    <w:rsid w:val="00C0329F"/>
    <w:rsid w:val="00C50C1E"/>
    <w:rsid w:val="00C75032"/>
    <w:rsid w:val="00C862DC"/>
    <w:rsid w:val="00C93BD2"/>
    <w:rsid w:val="00CA147D"/>
    <w:rsid w:val="00CA4883"/>
    <w:rsid w:val="00CD268B"/>
    <w:rsid w:val="00CE0921"/>
    <w:rsid w:val="00CF6015"/>
    <w:rsid w:val="00CF6D11"/>
    <w:rsid w:val="00D12A34"/>
    <w:rsid w:val="00D60FF6"/>
    <w:rsid w:val="00D76554"/>
    <w:rsid w:val="00D81B85"/>
    <w:rsid w:val="00D85728"/>
    <w:rsid w:val="00D93A3F"/>
    <w:rsid w:val="00DB6A36"/>
    <w:rsid w:val="00DC1704"/>
    <w:rsid w:val="00DD4A6B"/>
    <w:rsid w:val="00DD59C5"/>
    <w:rsid w:val="00DD7FB1"/>
    <w:rsid w:val="00DE48A4"/>
    <w:rsid w:val="00E00221"/>
    <w:rsid w:val="00E301EA"/>
    <w:rsid w:val="00E51C84"/>
    <w:rsid w:val="00E53208"/>
    <w:rsid w:val="00E53A50"/>
    <w:rsid w:val="00E56AB5"/>
    <w:rsid w:val="00E94FD9"/>
    <w:rsid w:val="00EB175E"/>
    <w:rsid w:val="00ED2B69"/>
    <w:rsid w:val="00EE728E"/>
    <w:rsid w:val="00EF6C8C"/>
    <w:rsid w:val="00F326A0"/>
    <w:rsid w:val="00F66792"/>
    <w:rsid w:val="00F76255"/>
    <w:rsid w:val="00F85B18"/>
    <w:rsid w:val="00F92109"/>
    <w:rsid w:val="00FF6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DD2E"/>
  <w15:chartTrackingRefBased/>
  <w15:docId w15:val="{7B6D196B-EBF0-4E6A-80FB-7A6ED204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D9"/>
    <w:rPr>
      <w:color w:val="808080"/>
    </w:rPr>
  </w:style>
  <w:style w:type="table" w:styleId="TableGrid">
    <w:name w:val="Table Grid"/>
    <w:basedOn w:val="TableNormal"/>
    <w:uiPriority w:val="39"/>
    <w:rsid w:val="005E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57F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7F02"/>
    <w:rPr>
      <w:sz w:val="20"/>
      <w:szCs w:val="20"/>
    </w:rPr>
  </w:style>
  <w:style w:type="character" w:styleId="FootnoteReference">
    <w:name w:val="footnote reference"/>
    <w:basedOn w:val="DefaultParagraphFont"/>
    <w:uiPriority w:val="99"/>
    <w:semiHidden/>
    <w:unhideWhenUsed/>
    <w:rsid w:val="00557F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9499">
      <w:bodyDiv w:val="1"/>
      <w:marLeft w:val="0"/>
      <w:marRight w:val="0"/>
      <w:marTop w:val="0"/>
      <w:marBottom w:val="0"/>
      <w:divBdr>
        <w:top w:val="none" w:sz="0" w:space="0" w:color="auto"/>
        <w:left w:val="none" w:sz="0" w:space="0" w:color="auto"/>
        <w:bottom w:val="none" w:sz="0" w:space="0" w:color="auto"/>
        <w:right w:val="none" w:sz="0" w:space="0" w:color="auto"/>
      </w:divBdr>
    </w:div>
    <w:div w:id="97800953">
      <w:bodyDiv w:val="1"/>
      <w:marLeft w:val="0"/>
      <w:marRight w:val="0"/>
      <w:marTop w:val="0"/>
      <w:marBottom w:val="0"/>
      <w:divBdr>
        <w:top w:val="none" w:sz="0" w:space="0" w:color="auto"/>
        <w:left w:val="none" w:sz="0" w:space="0" w:color="auto"/>
        <w:bottom w:val="none" w:sz="0" w:space="0" w:color="auto"/>
        <w:right w:val="none" w:sz="0" w:space="0" w:color="auto"/>
      </w:divBdr>
    </w:div>
    <w:div w:id="132451863">
      <w:bodyDiv w:val="1"/>
      <w:marLeft w:val="0"/>
      <w:marRight w:val="0"/>
      <w:marTop w:val="0"/>
      <w:marBottom w:val="0"/>
      <w:divBdr>
        <w:top w:val="none" w:sz="0" w:space="0" w:color="auto"/>
        <w:left w:val="none" w:sz="0" w:space="0" w:color="auto"/>
        <w:bottom w:val="none" w:sz="0" w:space="0" w:color="auto"/>
        <w:right w:val="none" w:sz="0" w:space="0" w:color="auto"/>
      </w:divBdr>
    </w:div>
    <w:div w:id="233320244">
      <w:bodyDiv w:val="1"/>
      <w:marLeft w:val="0"/>
      <w:marRight w:val="0"/>
      <w:marTop w:val="0"/>
      <w:marBottom w:val="0"/>
      <w:divBdr>
        <w:top w:val="none" w:sz="0" w:space="0" w:color="auto"/>
        <w:left w:val="none" w:sz="0" w:space="0" w:color="auto"/>
        <w:bottom w:val="none" w:sz="0" w:space="0" w:color="auto"/>
        <w:right w:val="none" w:sz="0" w:space="0" w:color="auto"/>
      </w:divBdr>
    </w:div>
    <w:div w:id="325868428">
      <w:bodyDiv w:val="1"/>
      <w:marLeft w:val="0"/>
      <w:marRight w:val="0"/>
      <w:marTop w:val="0"/>
      <w:marBottom w:val="0"/>
      <w:divBdr>
        <w:top w:val="none" w:sz="0" w:space="0" w:color="auto"/>
        <w:left w:val="none" w:sz="0" w:space="0" w:color="auto"/>
        <w:bottom w:val="none" w:sz="0" w:space="0" w:color="auto"/>
        <w:right w:val="none" w:sz="0" w:space="0" w:color="auto"/>
      </w:divBdr>
    </w:div>
    <w:div w:id="334307434">
      <w:bodyDiv w:val="1"/>
      <w:marLeft w:val="0"/>
      <w:marRight w:val="0"/>
      <w:marTop w:val="0"/>
      <w:marBottom w:val="0"/>
      <w:divBdr>
        <w:top w:val="none" w:sz="0" w:space="0" w:color="auto"/>
        <w:left w:val="none" w:sz="0" w:space="0" w:color="auto"/>
        <w:bottom w:val="none" w:sz="0" w:space="0" w:color="auto"/>
        <w:right w:val="none" w:sz="0" w:space="0" w:color="auto"/>
      </w:divBdr>
    </w:div>
    <w:div w:id="1260142071">
      <w:bodyDiv w:val="1"/>
      <w:marLeft w:val="0"/>
      <w:marRight w:val="0"/>
      <w:marTop w:val="0"/>
      <w:marBottom w:val="0"/>
      <w:divBdr>
        <w:top w:val="none" w:sz="0" w:space="0" w:color="auto"/>
        <w:left w:val="none" w:sz="0" w:space="0" w:color="auto"/>
        <w:bottom w:val="none" w:sz="0" w:space="0" w:color="auto"/>
        <w:right w:val="none" w:sz="0" w:space="0" w:color="auto"/>
      </w:divBdr>
    </w:div>
    <w:div w:id="1303342733">
      <w:bodyDiv w:val="1"/>
      <w:marLeft w:val="0"/>
      <w:marRight w:val="0"/>
      <w:marTop w:val="0"/>
      <w:marBottom w:val="0"/>
      <w:divBdr>
        <w:top w:val="none" w:sz="0" w:space="0" w:color="auto"/>
        <w:left w:val="none" w:sz="0" w:space="0" w:color="auto"/>
        <w:bottom w:val="none" w:sz="0" w:space="0" w:color="auto"/>
        <w:right w:val="none" w:sz="0" w:space="0" w:color="auto"/>
      </w:divBdr>
    </w:div>
    <w:div w:id="1320577720">
      <w:bodyDiv w:val="1"/>
      <w:marLeft w:val="0"/>
      <w:marRight w:val="0"/>
      <w:marTop w:val="0"/>
      <w:marBottom w:val="0"/>
      <w:divBdr>
        <w:top w:val="none" w:sz="0" w:space="0" w:color="auto"/>
        <w:left w:val="none" w:sz="0" w:space="0" w:color="auto"/>
        <w:bottom w:val="none" w:sz="0" w:space="0" w:color="auto"/>
        <w:right w:val="none" w:sz="0" w:space="0" w:color="auto"/>
      </w:divBdr>
    </w:div>
    <w:div w:id="1454400314">
      <w:bodyDiv w:val="1"/>
      <w:marLeft w:val="0"/>
      <w:marRight w:val="0"/>
      <w:marTop w:val="0"/>
      <w:marBottom w:val="0"/>
      <w:divBdr>
        <w:top w:val="none" w:sz="0" w:space="0" w:color="auto"/>
        <w:left w:val="none" w:sz="0" w:space="0" w:color="auto"/>
        <w:bottom w:val="none" w:sz="0" w:space="0" w:color="auto"/>
        <w:right w:val="none" w:sz="0" w:space="0" w:color="auto"/>
      </w:divBdr>
    </w:div>
    <w:div w:id="1596208896">
      <w:bodyDiv w:val="1"/>
      <w:marLeft w:val="0"/>
      <w:marRight w:val="0"/>
      <w:marTop w:val="0"/>
      <w:marBottom w:val="0"/>
      <w:divBdr>
        <w:top w:val="none" w:sz="0" w:space="0" w:color="auto"/>
        <w:left w:val="none" w:sz="0" w:space="0" w:color="auto"/>
        <w:bottom w:val="none" w:sz="0" w:space="0" w:color="auto"/>
        <w:right w:val="none" w:sz="0" w:space="0" w:color="auto"/>
      </w:divBdr>
    </w:div>
    <w:div w:id="1596481158">
      <w:bodyDiv w:val="1"/>
      <w:marLeft w:val="0"/>
      <w:marRight w:val="0"/>
      <w:marTop w:val="0"/>
      <w:marBottom w:val="0"/>
      <w:divBdr>
        <w:top w:val="none" w:sz="0" w:space="0" w:color="auto"/>
        <w:left w:val="none" w:sz="0" w:space="0" w:color="auto"/>
        <w:bottom w:val="none" w:sz="0" w:space="0" w:color="auto"/>
        <w:right w:val="none" w:sz="0" w:space="0" w:color="auto"/>
      </w:divBdr>
    </w:div>
    <w:div w:id="1646935754">
      <w:bodyDiv w:val="1"/>
      <w:marLeft w:val="0"/>
      <w:marRight w:val="0"/>
      <w:marTop w:val="0"/>
      <w:marBottom w:val="0"/>
      <w:divBdr>
        <w:top w:val="none" w:sz="0" w:space="0" w:color="auto"/>
        <w:left w:val="none" w:sz="0" w:space="0" w:color="auto"/>
        <w:bottom w:val="none" w:sz="0" w:space="0" w:color="auto"/>
        <w:right w:val="none" w:sz="0" w:space="0" w:color="auto"/>
      </w:divBdr>
    </w:div>
    <w:div w:id="1864588658">
      <w:bodyDiv w:val="1"/>
      <w:marLeft w:val="0"/>
      <w:marRight w:val="0"/>
      <w:marTop w:val="0"/>
      <w:marBottom w:val="0"/>
      <w:divBdr>
        <w:top w:val="none" w:sz="0" w:space="0" w:color="auto"/>
        <w:left w:val="none" w:sz="0" w:space="0" w:color="auto"/>
        <w:bottom w:val="none" w:sz="0" w:space="0" w:color="auto"/>
        <w:right w:val="none" w:sz="0" w:space="0" w:color="auto"/>
      </w:divBdr>
    </w:div>
    <w:div w:id="200520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EFB0F-878E-4AC6-A97A-6FE46888B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10</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Ruan</dc:creator>
  <cp:keywords/>
  <dc:description/>
  <cp:lastModifiedBy>Hang Ruan</cp:lastModifiedBy>
  <cp:revision>134</cp:revision>
  <dcterms:created xsi:type="dcterms:W3CDTF">2023-03-15T14:35:00Z</dcterms:created>
  <dcterms:modified xsi:type="dcterms:W3CDTF">2023-03-16T05:52:00Z</dcterms:modified>
</cp:coreProperties>
</file>