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34"/>
          <w:szCs w:val="34"/>
        </w:rPr>
        <w:t xml:space="preserve">Watcher Platform — Product Requirements Document</w:t>
      </w:r>
    </w:p>
    <w:p>
      <w:pPr>
        <w:spacing w:after="260"/>
      </w:pPr>
      <w:r>
        <w:rPr>
          <w:i/>
          <w:iCs/>
          <w:color w:val="595959"/>
          <w:sz w:val="20"/>
          <w:szCs w:val="20"/>
        </w:rPr>
        <w:t xml:space="preserve">Ad-monetized, no-signup utility watchers · Phase 1 focus: Fuel Price Watcher</w:t>
      </w:r>
    </w:p>
    <w:p>
      <w:pPr>
        <w:pStyle w:val="Heading1"/>
        <w:pBdr>
          <w:bottom w:val="single" w:color="2E7D6E" w:sz="6" w:space="4"/>
        </w:pBdr>
        <w:spacing w:after="140" w:before="320"/>
      </w:pPr>
      <w:r>
        <w:rPr>
          <w:b/>
          <w:bCs/>
          <w:color w:val="1F4E5F"/>
          <w:sz w:val="27"/>
          <w:szCs w:val="27"/>
        </w:rPr>
        <w:t xml:space="preserve">1. Goal &amp; Principles</w:t>
      </w:r>
    </w:p>
    <w:p>
      <w:pPr>
        <w:spacing w:after="120" w:line="276"/>
      </w:pPr>
      <w:r>
        <w:rPr>
          <w:b w:val="false"/>
          <w:bCs w:val="false"/>
          <w:i w:val="false"/>
          <w:iCs w:val="false"/>
          <w:color w:val="2B2B2B"/>
          <w:sz w:val="21"/>
          <w:szCs w:val="21"/>
        </w:rPr>
        <w:t xml:space="preserve">Build a single side project generating ₹20,000/month, monetized entirely through Google Ads (no subscriptions, no paid plans).</w:t>
      </w:r>
    </w:p>
    <w:p>
      <w:pPr>
        <w:spacing w:after="40" w:before="60"/>
      </w:pPr>
      <w:r>
        <w:rPr>
          <w:b/>
          <w:bCs/>
          <w:color w:val="1F4E5F"/>
          <w:sz w:val="21"/>
          <w:szCs w:val="21"/>
        </w:rPr>
        <w:t xml:space="preserve">Non-negotiable principles</w:t>
      </w:r>
    </w:p>
    <w:p>
      <w:pPr>
        <w:pStyle w:val="ListParagraph"/>
        <w:numPr>
          <w:ilvl w:val="0"/>
          <w:numId w:val="2"/>
        </w:numPr>
        <w:spacing w:after="70" w:line="264"/>
      </w:pPr>
      <w:r>
        <w:rPr>
          <w:b w:val="false"/>
          <w:bCs w:val="false"/>
          <w:sz w:val="21"/>
          <w:szCs w:val="21"/>
        </w:rPr>
        <w:t xml:space="preserve">Free forever, no signup — alerts use email capture only, no accounts or passwords</w:t>
      </w:r>
    </w:p>
    <w:p>
      <w:pPr>
        <w:pStyle w:val="ListParagraph"/>
        <w:numPr>
          <w:ilvl w:val="0"/>
          <w:numId w:val="2"/>
        </w:numPr>
        <w:spacing w:after="70" w:line="264"/>
      </w:pPr>
      <w:r>
        <w:rPr>
          <w:b w:val="false"/>
          <w:bCs w:val="false"/>
          <w:sz w:val="21"/>
          <w:szCs w:val="21"/>
        </w:rPr>
        <w:t xml:space="preserve">Privacy-friendly — minimal data collection, no tracking beyond what ads require</w:t>
      </w:r>
    </w:p>
    <w:p>
      <w:pPr>
        <w:pStyle w:val="ListParagraph"/>
        <w:numPr>
          <w:ilvl w:val="0"/>
          <w:numId w:val="2"/>
        </w:numPr>
        <w:spacing w:after="70" w:line="264"/>
      </w:pPr>
      <w:r>
        <w:rPr>
          <w:b w:val="false"/>
          <w:bCs w:val="false"/>
          <w:sz w:val="21"/>
          <w:szCs w:val="21"/>
        </w:rPr>
        <w:t xml:space="preserve">Very low maintenance — no daily content creation, no customer support</w:t>
      </w:r>
    </w:p>
    <w:p>
      <w:pPr>
        <w:pStyle w:val="ListParagraph"/>
        <w:numPr>
          <w:ilvl w:val="0"/>
          <w:numId w:val="2"/>
        </w:numPr>
        <w:spacing w:after="70" w:line="264"/>
      </w:pPr>
      <w:r>
        <w:rPr>
          <w:b w:val="false"/>
          <w:bCs w:val="false"/>
          <w:sz w:val="21"/>
          <w:szCs w:val="21"/>
        </w:rPr>
        <w:t xml:space="preserve">Low infrastructure cost — target &lt;₹1,000/month at launch, &lt;₹2,500/month at scale</w:t>
      </w:r>
    </w:p>
    <w:p>
      <w:pPr>
        <w:pStyle w:val="ListParagraph"/>
        <w:numPr>
          <w:ilvl w:val="0"/>
          <w:numId w:val="2"/>
        </w:numPr>
        <w:spacing w:after="70" w:line="264"/>
      </w:pPr>
      <w:r>
        <w:rPr>
          <w:b w:val="false"/>
          <w:bCs w:val="false"/>
          <w:sz w:val="21"/>
          <w:szCs w:val="21"/>
        </w:rPr>
        <w:t xml:space="preserve">Fast to build — each watcher ships in ~1 weekend using a shared, reusable engine</w:t>
      </w:r>
    </w:p>
    <w:p>
      <w:pPr>
        <w:pStyle w:val="ListParagraph"/>
        <w:numPr>
          <w:ilvl w:val="0"/>
          <w:numId w:val="2"/>
        </w:numPr>
        <w:spacing w:after="70" w:line="264"/>
      </w:pPr>
      <w:r>
        <w:rPr>
          <w:b w:val="false"/>
          <w:bCs w:val="false"/>
          <w:sz w:val="21"/>
          <w:szCs w:val="21"/>
        </w:rPr>
        <w:t xml:space="preserve">Global from day one — every watcher launches for 2+ countries (starting India + US), more countries added later without re-architecting</w:t>
      </w:r>
    </w:p>
    <w:p>
      <w:pPr>
        <w:pStyle w:val="Heading1"/>
        <w:pBdr>
          <w:bottom w:val="single" w:color="2E7D6E" w:sz="6" w:space="4"/>
        </w:pBdr>
        <w:spacing w:after="140" w:before="320"/>
      </w:pPr>
      <w:r>
        <w:rPr>
          <w:b/>
          <w:bCs/>
          <w:color w:val="1F4E5F"/>
          <w:sz w:val="27"/>
          <w:szCs w:val="27"/>
        </w:rPr>
        <w:t xml:space="preserve">2. Product Roadmap (Locked Sequence)</w:t>
      </w:r>
    </w:p>
    <w:p>
      <w:pPr>
        <w:spacing w:after="120" w:line="276"/>
      </w:pPr>
      <w:r>
        <w:rPr>
          <w:b w:val="false"/>
          <w:bCs w:val="false"/>
          <w:i w:val="false"/>
          <w:iCs w:val="false"/>
          <w:color w:val="2B2B2B"/>
          <w:sz w:val="21"/>
          <w:szCs w:val="21"/>
        </w:rPr>
        <w:t xml:space="preserve">One watcher type is built at a time, each reusing the same underlying engine. Order is set by data-source reliability first, ad-revenue potential second.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600"/>
        <w:gridCol w:w="2900"/>
      </w:tblGrid>
      <w:tr>
        <w:tc>
          <w:tcPr>
            <w:tcW w:type="dxa" w:w="700"/>
            <w:shd w:fill="1F4E5F" w:val="clear"/>
            <w:tcMar>
              <w:top w:type="dxa" w:w="90"/>
              <w:left w:type="dxa" w:w="110"/>
              <w:bottom w:type="dxa" w:w="90"/>
              <w:right w:type="dxa" w:w="110"/>
            </w:tcMar>
          </w:tcPr>
          <w:p>
            <w:pPr>
              <w:spacing w:after="20"/>
            </w:pPr>
            <w:r>
              <w:rPr>
                <w:b/>
                <w:bCs/>
                <w:color w:val="FFFFFF"/>
                <w:sz w:val="19"/>
                <w:szCs w:val="19"/>
              </w:rPr>
              <w:t xml:space="preserve">#</w:t>
            </w:r>
          </w:p>
        </w:tc>
        <w:tc>
          <w:tcPr>
            <w:tcW w:type="dxa" w:w="3500"/>
            <w:shd w:fill="1F4E5F" w:val="clear"/>
            <w:tcMar>
              <w:top w:type="dxa" w:w="90"/>
              <w:left w:type="dxa" w:w="110"/>
              <w:bottom w:type="dxa" w:w="90"/>
              <w:right w:type="dxa" w:w="110"/>
            </w:tcMar>
          </w:tcPr>
          <w:p>
            <w:pPr>
              <w:spacing w:after="20"/>
            </w:pPr>
            <w:r>
              <w:rPr>
                <w:b/>
                <w:bCs/>
                <w:color w:val="FFFFFF"/>
                <w:sz w:val="19"/>
                <w:szCs w:val="19"/>
              </w:rPr>
              <w:t xml:space="preserve">Watcher</w:t>
            </w:r>
          </w:p>
        </w:tc>
        <w:tc>
          <w:tcPr>
            <w:tcW w:type="dxa" w:w="2600"/>
            <w:shd w:fill="1F4E5F" w:val="clear"/>
            <w:tcMar>
              <w:top w:type="dxa" w:w="90"/>
              <w:left w:type="dxa" w:w="110"/>
              <w:bottom w:type="dxa" w:w="90"/>
              <w:right w:type="dxa" w:w="110"/>
            </w:tcMar>
          </w:tcPr>
          <w:p>
            <w:pPr>
              <w:spacing w:after="20"/>
            </w:pPr>
            <w:r>
              <w:rPr>
                <w:b/>
                <w:bCs/>
                <w:color w:val="FFFFFF"/>
                <w:sz w:val="19"/>
                <w:szCs w:val="19"/>
              </w:rPr>
              <w:t xml:space="preserve">Countries</w:t>
            </w:r>
          </w:p>
        </w:tc>
        <w:tc>
          <w:tcPr>
            <w:tcW w:type="dxa" w:w="2900"/>
            <w:shd w:fill="1F4E5F" w:val="clear"/>
            <w:tcMar>
              <w:top w:type="dxa" w:w="90"/>
              <w:left w:type="dxa" w:w="110"/>
              <w:bottom w:type="dxa" w:w="90"/>
              <w:right w:type="dxa" w:w="110"/>
            </w:tcMar>
          </w:tcPr>
          <w:p>
            <w:pPr>
              <w:spacing w:after="20"/>
            </w:pPr>
            <w:r>
              <w:rPr>
                <w:b/>
                <w:bCs/>
                <w:color w:val="FFFFFF"/>
                <w:sz w:val="19"/>
                <w:szCs w:val="19"/>
              </w:rPr>
              <w:t xml:space="preserve">Status</w:t>
            </w:r>
          </w:p>
        </w:tc>
      </w:tr>
      <w:tr>
        <w:tc>
          <w:tcPr>
            <w:tcW w:type="dxa" w:w="700"/>
            <w:shd w:fill="F2F6F5" w:val="clear"/>
            <w:tcMar>
              <w:top w:type="dxa" w:w="90"/>
              <w:left w:type="dxa" w:w="110"/>
              <w:bottom w:type="dxa" w:w="90"/>
              <w:right w:type="dxa" w:w="110"/>
            </w:tcMar>
          </w:tcPr>
          <w:p>
            <w:pPr>
              <w:spacing w:after="20"/>
            </w:pPr>
            <w:r>
              <w:rPr>
                <w:b w:val="false"/>
                <w:bCs w:val="false"/>
                <w:color w:val="2B2B2B"/>
                <w:sz w:val="19"/>
                <w:szCs w:val="19"/>
              </w:rPr>
              <w:t xml:space="preserve">1</w:t>
            </w:r>
          </w:p>
        </w:tc>
        <w:tc>
          <w:tcPr>
            <w:tcW w:type="dxa" w:w="3500"/>
            <w:shd w:fill="F2F6F5" w:val="clear"/>
            <w:tcMar>
              <w:top w:type="dxa" w:w="90"/>
              <w:left w:type="dxa" w:w="110"/>
              <w:bottom w:type="dxa" w:w="90"/>
              <w:right w:type="dxa" w:w="110"/>
            </w:tcMar>
          </w:tcPr>
          <w:p>
            <w:pPr>
              <w:spacing w:after="20"/>
            </w:pPr>
            <w:r>
              <w:rPr>
                <w:b w:val="false"/>
                <w:bCs w:val="false"/>
                <w:color w:val="2B2B2B"/>
                <w:sz w:val="19"/>
                <w:szCs w:val="19"/>
              </w:rPr>
              <w:t xml:space="preserve">Fuel Price Watcher</w:t>
            </w:r>
          </w:p>
        </w:tc>
        <w:tc>
          <w:tcPr>
            <w:tcW w:type="dxa" w:w="2600"/>
            <w:shd w:fill="F2F6F5" w:val="clear"/>
            <w:tcMar>
              <w:top w:type="dxa" w:w="90"/>
              <w:left w:type="dxa" w:w="110"/>
              <w:bottom w:type="dxa" w:w="90"/>
              <w:right w:type="dxa" w:w="110"/>
            </w:tcMar>
          </w:tcPr>
          <w:p>
            <w:pPr>
              <w:spacing w:after="20"/>
            </w:pPr>
            <w:r>
              <w:rPr>
                <w:b w:val="false"/>
                <w:bCs w:val="false"/>
                <w:color w:val="2B2B2B"/>
                <w:sz w:val="19"/>
                <w:szCs w:val="19"/>
              </w:rPr>
              <w:t xml:space="preserve">India + US</w:t>
            </w:r>
          </w:p>
        </w:tc>
        <w:tc>
          <w:tcPr>
            <w:tcW w:type="dxa" w:w="2900"/>
            <w:shd w:fill="F2F6F5" w:val="clear"/>
            <w:tcMar>
              <w:top w:type="dxa" w:w="90"/>
              <w:left w:type="dxa" w:w="110"/>
              <w:bottom w:type="dxa" w:w="90"/>
              <w:right w:type="dxa" w:w="110"/>
            </w:tcMar>
          </w:tcPr>
          <w:p>
            <w:pPr>
              <w:spacing w:after="20"/>
            </w:pPr>
            <w:r>
              <w:rPr>
                <w:b w:val="false"/>
                <w:bCs w:val="false"/>
                <w:color w:val="2B2B2B"/>
                <w:sz w:val="19"/>
                <w:szCs w:val="19"/>
              </w:rPr>
              <w:t xml:space="preserve">This PRD — detailed below</w:t>
            </w:r>
          </w:p>
        </w:tc>
      </w:tr>
      <w:tr>
        <w:tc>
          <w:tcPr>
            <w:tcW w:type="dxa" w:w="700"/>
            <w:tcMar>
              <w:top w:type="dxa" w:w="90"/>
              <w:left w:type="dxa" w:w="110"/>
              <w:bottom w:type="dxa" w:w="90"/>
              <w:right w:type="dxa" w:w="110"/>
            </w:tcMar>
          </w:tcPr>
          <w:p>
            <w:pPr>
              <w:spacing w:after="20"/>
            </w:pPr>
            <w:r>
              <w:rPr>
                <w:b w:val="false"/>
                <w:bCs w:val="false"/>
                <w:color w:val="2B2B2B"/>
                <w:sz w:val="19"/>
                <w:szCs w:val="19"/>
              </w:rPr>
              <w:t xml:space="preserve">2</w:t>
            </w:r>
          </w:p>
        </w:tc>
        <w:tc>
          <w:tcPr>
            <w:tcW w:type="dxa" w:w="3500"/>
            <w:tcMar>
              <w:top w:type="dxa" w:w="90"/>
              <w:left w:type="dxa" w:w="110"/>
              <w:bottom w:type="dxa" w:w="90"/>
              <w:right w:type="dxa" w:w="110"/>
            </w:tcMar>
          </w:tcPr>
          <w:p>
            <w:pPr>
              <w:spacing w:after="20"/>
            </w:pPr>
            <w:r>
              <w:rPr>
                <w:b w:val="false"/>
                <w:bCs w:val="false"/>
                <w:color w:val="2B2B2B"/>
                <w:sz w:val="19"/>
                <w:szCs w:val="19"/>
              </w:rPr>
              <w:t xml:space="preserve">Gold / Silver Rate Watcher</w:t>
            </w:r>
          </w:p>
        </w:tc>
        <w:tc>
          <w:tcPr>
            <w:tcW w:type="dxa" w:w="2600"/>
            <w:tcMar>
              <w:top w:type="dxa" w:w="90"/>
              <w:left w:type="dxa" w:w="110"/>
              <w:bottom w:type="dxa" w:w="90"/>
              <w:right w:type="dxa" w:w="110"/>
            </w:tcMar>
          </w:tcPr>
          <w:p>
            <w:pPr>
              <w:spacing w:after="20"/>
            </w:pPr>
            <w:r>
              <w:rPr>
                <w:b w:val="false"/>
                <w:bCs w:val="false"/>
                <w:color w:val="2B2B2B"/>
                <w:sz w:val="19"/>
                <w:szCs w:val="19"/>
              </w:rPr>
              <w:t xml:space="preserve">India + US</w:t>
            </w:r>
          </w:p>
        </w:tc>
        <w:tc>
          <w:tcPr>
            <w:tcW w:type="dxa" w:w="2900"/>
            <w:tcMar>
              <w:top w:type="dxa" w:w="90"/>
              <w:left w:type="dxa" w:w="110"/>
              <w:bottom w:type="dxa" w:w="90"/>
              <w:right w:type="dxa" w:w="110"/>
            </w:tcMar>
          </w:tcPr>
          <w:p>
            <w:pPr>
              <w:spacing w:after="20"/>
            </w:pPr>
            <w:r>
              <w:rPr>
                <w:b w:val="false"/>
                <w:bCs w:val="false"/>
                <w:color w:val="2B2B2B"/>
                <w:sz w:val="19"/>
                <w:szCs w:val="19"/>
              </w:rPr>
              <w:t xml:space="preserve">Upcoming — next phase</w:t>
            </w:r>
          </w:p>
        </w:tc>
      </w:tr>
      <w:tr>
        <w:tc>
          <w:tcPr>
            <w:tcW w:type="dxa" w:w="700"/>
            <w:shd w:fill="F2F6F5" w:val="clear"/>
            <w:tcMar>
              <w:top w:type="dxa" w:w="90"/>
              <w:left w:type="dxa" w:w="110"/>
              <w:bottom w:type="dxa" w:w="90"/>
              <w:right w:type="dxa" w:w="110"/>
            </w:tcMar>
          </w:tcPr>
          <w:p>
            <w:pPr>
              <w:spacing w:after="20"/>
            </w:pPr>
            <w:r>
              <w:rPr>
                <w:b w:val="false"/>
                <w:bCs w:val="false"/>
                <w:color w:val="2B2B2B"/>
                <w:sz w:val="19"/>
                <w:szCs w:val="19"/>
              </w:rPr>
              <w:t xml:space="preserve">3</w:t>
            </w:r>
          </w:p>
        </w:tc>
        <w:tc>
          <w:tcPr>
            <w:tcW w:type="dxa" w:w="3500"/>
            <w:shd w:fill="F2F6F5" w:val="clear"/>
            <w:tcMar>
              <w:top w:type="dxa" w:w="90"/>
              <w:left w:type="dxa" w:w="110"/>
              <w:bottom w:type="dxa" w:w="90"/>
              <w:right w:type="dxa" w:w="110"/>
            </w:tcMar>
          </w:tcPr>
          <w:p>
            <w:pPr>
              <w:spacing w:after="20"/>
            </w:pPr>
            <w:r>
              <w:rPr>
                <w:b w:val="false"/>
                <w:bCs w:val="false"/>
                <w:color w:val="2B2B2B"/>
                <w:sz w:val="19"/>
                <w:szCs w:val="19"/>
              </w:rPr>
              <w:t xml:space="preserve">Global Currency Rate Watcher</w:t>
            </w:r>
          </w:p>
        </w:tc>
        <w:tc>
          <w:tcPr>
            <w:tcW w:type="dxa" w:w="2600"/>
            <w:shd w:fill="F2F6F5" w:val="clear"/>
            <w:tcMar>
              <w:top w:type="dxa" w:w="90"/>
              <w:left w:type="dxa" w:w="110"/>
              <w:bottom w:type="dxa" w:w="90"/>
              <w:right w:type="dxa" w:w="110"/>
            </w:tcMar>
          </w:tcPr>
          <w:p>
            <w:pPr>
              <w:spacing w:after="20"/>
            </w:pPr>
            <w:r>
              <w:rPr>
                <w:b w:val="false"/>
                <w:bCs w:val="false"/>
                <w:color w:val="2B2B2B"/>
                <w:sz w:val="19"/>
                <w:szCs w:val="19"/>
              </w:rPr>
              <w:t xml:space="preserve">Global</w:t>
            </w:r>
          </w:p>
        </w:tc>
        <w:tc>
          <w:tcPr>
            <w:tcW w:type="dxa" w:w="2900"/>
            <w:shd w:fill="F2F6F5" w:val="clear"/>
            <w:tcMar>
              <w:top w:type="dxa" w:w="90"/>
              <w:left w:type="dxa" w:w="110"/>
              <w:bottom w:type="dxa" w:w="90"/>
              <w:right w:type="dxa" w:w="110"/>
            </w:tcMar>
          </w:tcPr>
          <w:p>
            <w:pPr>
              <w:spacing w:after="20"/>
            </w:pPr>
            <w:r>
              <w:rPr>
                <w:b w:val="false"/>
                <w:bCs w:val="false"/>
                <w:color w:val="2B2B2B"/>
                <w:sz w:val="19"/>
                <w:szCs w:val="19"/>
              </w:rPr>
              <w:t xml:space="preserve">Upcoming — next phase</w:t>
            </w:r>
          </w:p>
        </w:tc>
      </w:tr>
      <w:tr>
        <w:tc>
          <w:tcPr>
            <w:tcW w:type="dxa" w:w="700"/>
            <w:tcMar>
              <w:top w:type="dxa" w:w="90"/>
              <w:left w:type="dxa" w:w="110"/>
              <w:bottom w:type="dxa" w:w="90"/>
              <w:right w:type="dxa" w:w="110"/>
            </w:tcMar>
          </w:tcPr>
          <w:p>
            <w:pPr>
              <w:spacing w:after="20"/>
            </w:pPr>
            <w:r>
              <w:rPr>
                <w:b w:val="false"/>
                <w:bCs w:val="false"/>
                <w:color w:val="2B2B2B"/>
                <w:sz w:val="19"/>
                <w:szCs w:val="19"/>
              </w:rPr>
              <w:t xml:space="preserve">4</w:t>
            </w:r>
          </w:p>
        </w:tc>
        <w:tc>
          <w:tcPr>
            <w:tcW w:type="dxa" w:w="3500"/>
            <w:tcMar>
              <w:top w:type="dxa" w:w="90"/>
              <w:left w:type="dxa" w:w="110"/>
              <w:bottom w:type="dxa" w:w="90"/>
              <w:right w:type="dxa" w:w="110"/>
            </w:tcMar>
          </w:tcPr>
          <w:p>
            <w:pPr>
              <w:spacing w:after="20"/>
            </w:pPr>
            <w:r>
              <w:rPr>
                <w:b w:val="false"/>
                <w:bCs w:val="false"/>
                <w:color w:val="2B2B2B"/>
                <w:sz w:val="19"/>
                <w:szCs w:val="19"/>
              </w:rPr>
              <w:t xml:space="preserve">Loan / Mortgage Rate Watcher (scraped)</w:t>
            </w:r>
          </w:p>
        </w:tc>
        <w:tc>
          <w:tcPr>
            <w:tcW w:type="dxa" w:w="2600"/>
            <w:tcMar>
              <w:top w:type="dxa" w:w="90"/>
              <w:left w:type="dxa" w:w="110"/>
              <w:bottom w:type="dxa" w:w="90"/>
              <w:right w:type="dxa" w:w="110"/>
            </w:tcMar>
          </w:tcPr>
          <w:p>
            <w:pPr>
              <w:spacing w:after="20"/>
            </w:pPr>
            <w:r>
              <w:rPr>
                <w:b w:val="false"/>
                <w:bCs w:val="false"/>
                <w:color w:val="2B2B2B"/>
                <w:sz w:val="19"/>
                <w:szCs w:val="19"/>
              </w:rPr>
              <w:t xml:space="preserve">India + US</w:t>
            </w:r>
          </w:p>
        </w:tc>
        <w:tc>
          <w:tcPr>
            <w:tcW w:type="dxa" w:w="2900"/>
            <w:tcMar>
              <w:top w:type="dxa" w:w="90"/>
              <w:left w:type="dxa" w:w="110"/>
              <w:bottom w:type="dxa" w:w="90"/>
              <w:right w:type="dxa" w:w="110"/>
            </w:tcMar>
          </w:tcPr>
          <w:p>
            <w:pPr>
              <w:spacing w:after="20"/>
            </w:pPr>
            <w:r>
              <w:rPr>
                <w:b w:val="false"/>
                <w:bCs w:val="false"/>
                <w:color w:val="2B2B2B"/>
                <w:sz w:val="19"/>
                <w:szCs w:val="19"/>
              </w:rPr>
              <w:t xml:space="preserve">Upcoming — next phase</w:t>
            </w:r>
          </w:p>
        </w:tc>
      </w:tr>
      <w:tr>
        <w:tc>
          <w:tcPr>
            <w:tcW w:type="dxa" w:w="700"/>
            <w:shd w:fill="F2F6F5" w:val="clear"/>
            <w:tcMar>
              <w:top w:type="dxa" w:w="90"/>
              <w:left w:type="dxa" w:w="110"/>
              <w:bottom w:type="dxa" w:w="90"/>
              <w:right w:type="dxa" w:w="110"/>
            </w:tcMar>
          </w:tcPr>
          <w:p>
            <w:pPr>
              <w:spacing w:after="20"/>
            </w:pPr>
            <w:r>
              <w:rPr>
                <w:b w:val="false"/>
                <w:bCs w:val="false"/>
                <w:color w:val="2B2B2B"/>
                <w:sz w:val="19"/>
                <w:szCs w:val="19"/>
              </w:rPr>
              <w:t xml:space="preserve">5</w:t>
            </w:r>
          </w:p>
        </w:tc>
        <w:tc>
          <w:tcPr>
            <w:tcW w:type="dxa" w:w="3500"/>
            <w:shd w:fill="F2F6F5" w:val="clear"/>
            <w:tcMar>
              <w:top w:type="dxa" w:w="90"/>
              <w:left w:type="dxa" w:w="110"/>
              <w:bottom w:type="dxa" w:w="90"/>
              <w:right w:type="dxa" w:w="110"/>
            </w:tcMar>
          </w:tcPr>
          <w:p>
            <w:pPr>
              <w:spacing w:after="20"/>
            </w:pPr>
            <w:r>
              <w:rPr>
                <w:b w:val="false"/>
                <w:bCs w:val="false"/>
                <w:color w:val="2B2B2B"/>
                <w:sz w:val="19"/>
                <w:szCs w:val="19"/>
              </w:rPr>
              <w:t xml:space="preserve">Savings / FD Rate Watcher (scraped)</w:t>
            </w:r>
          </w:p>
        </w:tc>
        <w:tc>
          <w:tcPr>
            <w:tcW w:type="dxa" w:w="2600"/>
            <w:shd w:fill="F2F6F5" w:val="clear"/>
            <w:tcMar>
              <w:top w:type="dxa" w:w="90"/>
              <w:left w:type="dxa" w:w="110"/>
              <w:bottom w:type="dxa" w:w="90"/>
              <w:right w:type="dxa" w:w="110"/>
            </w:tcMar>
          </w:tcPr>
          <w:p>
            <w:pPr>
              <w:spacing w:after="20"/>
            </w:pPr>
            <w:r>
              <w:rPr>
                <w:b w:val="false"/>
                <w:bCs w:val="false"/>
                <w:color w:val="2B2B2B"/>
                <w:sz w:val="19"/>
                <w:szCs w:val="19"/>
              </w:rPr>
              <w:t xml:space="preserve">India + US</w:t>
            </w:r>
          </w:p>
        </w:tc>
        <w:tc>
          <w:tcPr>
            <w:tcW w:type="dxa" w:w="2900"/>
            <w:shd w:fill="F2F6F5" w:val="clear"/>
            <w:tcMar>
              <w:top w:type="dxa" w:w="90"/>
              <w:left w:type="dxa" w:w="110"/>
              <w:bottom w:type="dxa" w:w="90"/>
              <w:right w:type="dxa" w:w="110"/>
            </w:tcMar>
          </w:tcPr>
          <w:p>
            <w:pPr>
              <w:spacing w:after="20"/>
            </w:pPr>
            <w:r>
              <w:rPr>
                <w:b w:val="false"/>
                <w:bCs w:val="false"/>
                <w:color w:val="2B2B2B"/>
                <w:sz w:val="19"/>
                <w:szCs w:val="19"/>
              </w:rPr>
              <w:t xml:space="preserve">Upcoming — next phase</w:t>
            </w:r>
          </w:p>
        </w:tc>
      </w:tr>
      <w:tr>
        <w:tc>
          <w:tcPr>
            <w:tcW w:type="dxa" w:w="700"/>
            <w:tcMar>
              <w:top w:type="dxa" w:w="90"/>
              <w:left w:type="dxa" w:w="110"/>
              <w:bottom w:type="dxa" w:w="90"/>
              <w:right w:type="dxa" w:w="110"/>
            </w:tcMar>
          </w:tcPr>
          <w:p>
            <w:pPr>
              <w:spacing w:after="20"/>
            </w:pPr>
            <w:r>
              <w:rPr>
                <w:b w:val="false"/>
                <w:bCs w:val="false"/>
                <w:color w:val="2B2B2B"/>
                <w:sz w:val="19"/>
                <w:szCs w:val="19"/>
              </w:rPr>
              <w:t xml:space="preserve">6</w:t>
            </w:r>
          </w:p>
        </w:tc>
        <w:tc>
          <w:tcPr>
            <w:tcW w:type="dxa" w:w="3500"/>
            <w:tcMar>
              <w:top w:type="dxa" w:w="90"/>
              <w:left w:type="dxa" w:w="110"/>
              <w:bottom w:type="dxa" w:w="90"/>
              <w:right w:type="dxa" w:w="110"/>
            </w:tcMar>
          </w:tcPr>
          <w:p>
            <w:pPr>
              <w:spacing w:after="20"/>
            </w:pPr>
            <w:r>
              <w:rPr>
                <w:b w:val="false"/>
                <w:bCs w:val="false"/>
                <w:color w:val="2B2B2B"/>
                <w:sz w:val="19"/>
                <w:szCs w:val="19"/>
              </w:rPr>
              <w:t xml:space="preserve">Stock Price Watcher</w:t>
            </w:r>
          </w:p>
        </w:tc>
        <w:tc>
          <w:tcPr>
            <w:tcW w:type="dxa" w:w="2600"/>
            <w:tcMar>
              <w:top w:type="dxa" w:w="90"/>
              <w:left w:type="dxa" w:w="110"/>
              <w:bottom w:type="dxa" w:w="90"/>
              <w:right w:type="dxa" w:w="110"/>
            </w:tcMar>
          </w:tcPr>
          <w:p>
            <w:pPr>
              <w:spacing w:after="20"/>
            </w:pPr>
            <w:r>
              <w:rPr>
                <w:b w:val="false"/>
                <w:bCs w:val="false"/>
                <w:color w:val="2B2B2B"/>
                <w:sz w:val="19"/>
                <w:szCs w:val="19"/>
              </w:rPr>
              <w:t xml:space="preserve">India</w:t>
            </w:r>
          </w:p>
        </w:tc>
        <w:tc>
          <w:tcPr>
            <w:tcW w:type="dxa" w:w="2900"/>
            <w:tcMar>
              <w:top w:type="dxa" w:w="90"/>
              <w:left w:type="dxa" w:w="110"/>
              <w:bottom w:type="dxa" w:w="90"/>
              <w:right w:type="dxa" w:w="110"/>
            </w:tcMar>
          </w:tcPr>
          <w:p>
            <w:pPr>
              <w:spacing w:after="20"/>
            </w:pPr>
            <w:r>
              <w:rPr>
                <w:b w:val="false"/>
                <w:bCs w:val="false"/>
                <w:color w:val="2B2B2B"/>
                <w:sz w:val="19"/>
                <w:szCs w:val="19"/>
              </w:rPr>
              <w:t xml:space="preserve">Upcoming — lower priority</w:t>
            </w:r>
          </w:p>
        </w:tc>
      </w:tr>
      <w:tr>
        <w:tc>
          <w:tcPr>
            <w:tcW w:type="dxa" w:w="700"/>
            <w:shd w:fill="F2F6F5" w:val="clear"/>
            <w:tcMar>
              <w:top w:type="dxa" w:w="90"/>
              <w:left w:type="dxa" w:w="110"/>
              <w:bottom w:type="dxa" w:w="90"/>
              <w:right w:type="dxa" w:w="110"/>
            </w:tcMar>
          </w:tcPr>
          <w:p>
            <w:pPr>
              <w:spacing w:after="20"/>
            </w:pPr>
            <w:r>
              <w:rPr>
                <w:b w:val="false"/>
                <w:bCs w:val="false"/>
                <w:color w:val="2B2B2B"/>
                <w:sz w:val="19"/>
                <w:szCs w:val="19"/>
              </w:rPr>
              <w:t xml:space="preserve">7</w:t>
            </w:r>
          </w:p>
        </w:tc>
        <w:tc>
          <w:tcPr>
            <w:tcW w:type="dxa" w:w="3500"/>
            <w:shd w:fill="F2F6F5" w:val="clear"/>
            <w:tcMar>
              <w:top w:type="dxa" w:w="90"/>
              <w:left w:type="dxa" w:w="110"/>
              <w:bottom w:type="dxa" w:w="90"/>
              <w:right w:type="dxa" w:w="110"/>
            </w:tcMar>
          </w:tcPr>
          <w:p>
            <w:pPr>
              <w:spacing w:after="20"/>
            </w:pPr>
            <w:r>
              <w:rPr>
                <w:b w:val="false"/>
                <w:bCs w:val="false"/>
                <w:color w:val="2B2B2B"/>
                <w:sz w:val="19"/>
                <w:szCs w:val="19"/>
              </w:rPr>
              <w:t xml:space="preserve">Train PNR Waitlist Watcher</w:t>
            </w:r>
          </w:p>
        </w:tc>
        <w:tc>
          <w:tcPr>
            <w:tcW w:type="dxa" w:w="2600"/>
            <w:shd w:fill="F2F6F5" w:val="clear"/>
            <w:tcMar>
              <w:top w:type="dxa" w:w="90"/>
              <w:left w:type="dxa" w:w="110"/>
              <w:bottom w:type="dxa" w:w="90"/>
              <w:right w:type="dxa" w:w="110"/>
            </w:tcMar>
          </w:tcPr>
          <w:p>
            <w:pPr>
              <w:spacing w:after="20"/>
            </w:pPr>
            <w:r>
              <w:rPr>
                <w:b w:val="false"/>
                <w:bCs w:val="false"/>
                <w:color w:val="2B2B2B"/>
                <w:sz w:val="19"/>
                <w:szCs w:val="19"/>
              </w:rPr>
              <w:t xml:space="preserve">India</w:t>
            </w:r>
          </w:p>
        </w:tc>
        <w:tc>
          <w:tcPr>
            <w:tcW w:type="dxa" w:w="2900"/>
            <w:shd w:fill="F2F6F5" w:val="clear"/>
            <w:tcMar>
              <w:top w:type="dxa" w:w="90"/>
              <w:left w:type="dxa" w:w="110"/>
              <w:bottom w:type="dxa" w:w="90"/>
              <w:right w:type="dxa" w:w="110"/>
            </w:tcMar>
          </w:tcPr>
          <w:p>
            <w:pPr>
              <w:spacing w:after="20"/>
            </w:pPr>
            <w:r>
              <w:rPr>
                <w:b w:val="false"/>
                <w:bCs w:val="false"/>
                <w:color w:val="2B2B2B"/>
                <w:sz w:val="19"/>
                <w:szCs w:val="19"/>
              </w:rPr>
              <w:t xml:space="preserve">Upcoming — lower priority</w:t>
            </w:r>
          </w:p>
        </w:tc>
      </w:tr>
    </w:tbl>
    <w:p>
      <w:pPr>
        <w:pStyle w:val="Heading1"/>
        <w:pBdr>
          <w:bottom w:val="single" w:color="2E7D6E" w:sz="6" w:space="4"/>
        </w:pBdr>
        <w:spacing w:after="140" w:before="320"/>
      </w:pPr>
      <w:r>
        <w:rPr>
          <w:b/>
          <w:bCs/>
          <w:color w:val="1F4E5F"/>
          <w:sz w:val="27"/>
          <w:szCs w:val="27"/>
        </w:rPr>
        <w:t xml:space="preserve">3. Overall Architecture (Shared Engine)</w:t>
      </w:r>
    </w:p>
    <w:p>
      <w:pPr>
        <w:spacing w:after="120" w:line="276"/>
      </w:pPr>
      <w:r>
        <w:rPr>
          <w:b w:val="false"/>
          <w:bCs w:val="false"/>
          <w:i w:val="false"/>
          <w:iCs w:val="false"/>
          <w:color w:val="2B2B2B"/>
          <w:sz w:val="21"/>
          <w:szCs w:val="21"/>
        </w:rPr>
        <w:t xml:space="preserve">Every watcher is a configuration on top of one generic engine — not a separate app. This is what keeps incremental watchers cheap and low-maintenance.</w:t>
      </w:r>
    </w:p>
    <w:p>
      <w:pPr>
        <w:pStyle w:val="Heading2"/>
        <w:spacing w:after="100" w:before="220"/>
      </w:pPr>
      <w:r>
        <w:rPr>
          <w:b/>
          <w:bCs/>
          <w:color w:val="2E7D6E"/>
          <w:sz w:val="23"/>
          <w:szCs w:val="23"/>
        </w:rPr>
        <w:t xml:space="preserve">3.1 Data Model</w:t>
      </w:r>
    </w:p>
    <w:p>
      <w:pPr>
        <w:spacing w:after="120" w:line="276"/>
      </w:pPr>
      <w:r>
        <w:rPr>
          <w:b w:val="false"/>
          <w:bCs w:val="false"/>
          <w:i w:val="false"/>
          <w:iCs w:val="false"/>
          <w:color w:val="2B2B2B"/>
          <w:sz w:val="21"/>
          <w:szCs w:val="21"/>
        </w:rPr>
        <w:t xml:space="preserve">Two core tables serve every watcher type, differentiated by a watcher_type field:</w:t>
      </w:r>
    </w:p>
    <w:p>
      <w:pPr>
        <w:pStyle w:val="ListParagraph"/>
        <w:numPr>
          <w:ilvl w:val="0"/>
          <w:numId w:val="2"/>
        </w:numPr>
        <w:spacing w:after="70" w:line="264"/>
      </w:pPr>
      <w:r>
        <w:rPr>
          <w:b w:val="false"/>
          <w:bCs w:val="false"/>
          <w:sz w:val="21"/>
          <w:szCs w:val="21"/>
        </w:rPr>
        <w:t xml:space="preserve">rates — id, watcher_type, country, region (state/city, nullable), value, unit, source, fetched_at</w:t>
      </w:r>
    </w:p>
    <w:p>
      <w:pPr>
        <w:pStyle w:val="ListParagraph"/>
        <w:numPr>
          <w:ilvl w:val="0"/>
          <w:numId w:val="2"/>
        </w:numPr>
        <w:spacing w:after="70" w:line="264"/>
      </w:pPr>
      <w:r>
        <w:rPr>
          <w:b w:val="false"/>
          <w:bCs w:val="false"/>
          <w:sz w:val="21"/>
          <w:szCs w:val="21"/>
        </w:rPr>
        <w:t xml:space="preserve">alerts — id, email, watcher_type, country, region, condition (operator + threshold), status (pending / confirmed / triggered / expired), token, created_at</w:t>
      </w:r>
    </w:p>
    <w:p>
      <w:pPr>
        <w:spacing w:after="120" w:line="276"/>
      </w:pPr>
      <w:r>
        <w:rPr>
          <w:b w:val="false"/>
          <w:bCs w:val="false"/>
          <w:i w:val="false"/>
          <w:iCs w:val="false"/>
          <w:color w:val="2B2B2B"/>
          <w:sz w:val="21"/>
          <w:szCs w:val="21"/>
        </w:rPr>
        <w:t xml:space="preserve">Adding a new watcher or country is a new set of rows and a new fetcher config — never a schema change.</w:t>
      </w:r>
    </w:p>
    <w:p>
      <w:pPr>
        <w:pStyle w:val="Heading2"/>
        <w:spacing w:after="100" w:before="220"/>
      </w:pPr>
      <w:r>
        <w:rPr>
          <w:b/>
          <w:bCs/>
          <w:color w:val="2E7D6E"/>
          <w:sz w:val="23"/>
          <w:szCs w:val="23"/>
        </w:rPr>
        <w:t xml:space="preserve">3.2 System Components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400"/>
      </w:tblGrid>
      <w:tr>
        <w:tc>
          <w:tcPr>
            <w:tcW w:type="dxa" w:w="2600"/>
            <w:shd w:fill="1F4E5F" w:val="clear"/>
            <w:tcMar>
              <w:top w:type="dxa" w:w="90"/>
              <w:left w:type="dxa" w:w="110"/>
              <w:bottom w:type="dxa" w:w="90"/>
              <w:right w:type="dxa" w:w="110"/>
            </w:tcMar>
          </w:tcPr>
          <w:p>
            <w:pPr>
              <w:spacing w:after="20"/>
            </w:pPr>
            <w:r>
              <w:rPr>
                <w:b/>
                <w:bCs/>
                <w:color w:val="FFFFFF"/>
                <w:sz w:val="19"/>
                <w:szCs w:val="19"/>
              </w:rPr>
              <w:t xml:space="preserve">Component</w:t>
            </w:r>
          </w:p>
        </w:tc>
        <w:tc>
          <w:tcPr>
            <w:tcW w:type="dxa" w:w="4700"/>
            <w:shd w:fill="1F4E5F" w:val="clear"/>
            <w:tcMar>
              <w:top w:type="dxa" w:w="90"/>
              <w:left w:type="dxa" w:w="110"/>
              <w:bottom w:type="dxa" w:w="90"/>
              <w:right w:type="dxa" w:w="110"/>
            </w:tcMar>
          </w:tcPr>
          <w:p>
            <w:pPr>
              <w:spacing w:after="20"/>
            </w:pPr>
            <w:r>
              <w:rPr>
                <w:b/>
                <w:bCs/>
                <w:color w:val="FFFFFF"/>
                <w:sz w:val="19"/>
                <w:szCs w:val="19"/>
              </w:rPr>
              <w:t xml:space="preserve">Approach</w:t>
            </w:r>
          </w:p>
        </w:tc>
        <w:tc>
          <w:tcPr>
            <w:tcW w:type="dxa" w:w="2400"/>
            <w:shd w:fill="1F4E5F" w:val="clear"/>
            <w:tcMar>
              <w:top w:type="dxa" w:w="90"/>
              <w:left w:type="dxa" w:w="110"/>
              <w:bottom w:type="dxa" w:w="90"/>
              <w:right w:type="dxa" w:w="110"/>
            </w:tcMar>
          </w:tcPr>
          <w:p>
            <w:pPr>
              <w:spacing w:after="20"/>
            </w:pPr>
            <w:r>
              <w:rPr>
                <w:b/>
                <w:bCs/>
                <w:color w:val="FFFFFF"/>
                <w:sz w:val="19"/>
                <w:szCs w:val="19"/>
              </w:rPr>
              <w:t xml:space="preserve">Est. Cost</w:t>
            </w:r>
          </w:p>
        </w:tc>
      </w:tr>
      <w:tr>
        <w:tc>
          <w:tcPr>
            <w:tcW w:type="dxa" w:w="2600"/>
            <w:shd w:fill="F2F6F5" w:val="clear"/>
            <w:tcMar>
              <w:top w:type="dxa" w:w="90"/>
              <w:left w:type="dxa" w:w="110"/>
              <w:bottom w:type="dxa" w:w="90"/>
              <w:right w:type="dxa" w:w="110"/>
            </w:tcMar>
          </w:tcPr>
          <w:p>
            <w:pPr>
              <w:spacing w:after="20"/>
            </w:pPr>
            <w:r>
              <w:rPr>
                <w:b w:val="false"/>
                <w:bCs w:val="false"/>
                <w:color w:val="2B2B2B"/>
                <w:sz w:val="19"/>
                <w:szCs w:val="19"/>
              </w:rPr>
              <w:t xml:space="preserve">Frontend</w:t>
            </w:r>
          </w:p>
        </w:tc>
        <w:tc>
          <w:tcPr>
            <w:tcW w:type="dxa" w:w="4700"/>
            <w:shd w:fill="F2F6F5" w:val="clear"/>
            <w:tcMar>
              <w:top w:type="dxa" w:w="90"/>
              <w:left w:type="dxa" w:w="110"/>
              <w:bottom w:type="dxa" w:w="90"/>
              <w:right w:type="dxa" w:w="110"/>
            </w:tcMar>
          </w:tcPr>
          <w:p>
            <w:pPr>
              <w:spacing w:after="20"/>
            </w:pPr>
            <w:r>
              <w:rPr>
                <w:b w:val="false"/>
                <w:bCs w:val="false"/>
                <w:color w:val="2B2B2B"/>
                <w:sz w:val="19"/>
                <w:szCs w:val="19"/>
              </w:rPr>
              <w:t xml:space="preserve">Next.js, templated routes: /{watcher}/{country}/{region}</w:t>
            </w:r>
          </w:p>
        </w:tc>
        <w:tc>
          <w:tcPr>
            <w:tcW w:type="dxa" w:w="2400"/>
            <w:shd w:fill="F2F6F5" w:val="clear"/>
            <w:tcMar>
              <w:top w:type="dxa" w:w="90"/>
              <w:left w:type="dxa" w:w="110"/>
              <w:bottom w:type="dxa" w:w="90"/>
              <w:right w:type="dxa" w:w="110"/>
            </w:tcMar>
          </w:tcPr>
          <w:p>
            <w:pPr>
              <w:spacing w:after="20"/>
            </w:pPr>
            <w:r>
              <w:rPr>
                <w:b w:val="false"/>
                <w:bCs w:val="false"/>
                <w:color w:val="2B2B2B"/>
                <w:sz w:val="19"/>
                <w:szCs w:val="19"/>
              </w:rPr>
              <w:t xml:space="preserve">₹0 (Cloudflare Pages free tier)</w:t>
            </w:r>
          </w:p>
        </w:tc>
      </w:tr>
      <w:tr>
        <w:tc>
          <w:tcPr>
            <w:tcW w:type="dxa" w:w="2600"/>
            <w:tcMar>
              <w:top w:type="dxa" w:w="90"/>
              <w:left w:type="dxa" w:w="110"/>
              <w:bottom w:type="dxa" w:w="90"/>
              <w:right w:type="dxa" w:w="110"/>
            </w:tcMar>
          </w:tcPr>
          <w:p>
            <w:pPr>
              <w:spacing w:after="20"/>
            </w:pPr>
            <w:r>
              <w:rPr>
                <w:b w:val="false"/>
                <w:bCs w:val="false"/>
                <w:color w:val="2B2B2B"/>
                <w:sz w:val="19"/>
                <w:szCs w:val="19"/>
              </w:rPr>
              <w:t xml:space="preserve">Database</w:t>
            </w:r>
          </w:p>
        </w:tc>
        <w:tc>
          <w:tcPr>
            <w:tcW w:type="dxa" w:w="4700"/>
            <w:tcMar>
              <w:top w:type="dxa" w:w="90"/>
              <w:left w:type="dxa" w:w="110"/>
              <w:bottom w:type="dxa" w:w="90"/>
              <w:right w:type="dxa" w:w="110"/>
            </w:tcMar>
          </w:tcPr>
          <w:p>
            <w:pPr>
              <w:spacing w:after="20"/>
            </w:pPr>
            <w:r>
              <w:rPr>
                <w:b w:val="false"/>
                <w:bCs w:val="false"/>
                <w:color w:val="2B2B2B"/>
                <w:sz w:val="19"/>
                <w:szCs w:val="19"/>
              </w:rPr>
              <w:t xml:space="preserve">Postgres (Supabase/Neon free tier)</w:t>
            </w:r>
          </w:p>
        </w:tc>
        <w:tc>
          <w:tcPr>
            <w:tcW w:type="dxa" w:w="2400"/>
            <w:tcMar>
              <w:top w:type="dxa" w:w="90"/>
              <w:left w:type="dxa" w:w="110"/>
              <w:bottom w:type="dxa" w:w="90"/>
              <w:right w:type="dxa" w:w="110"/>
            </w:tcMar>
          </w:tcPr>
          <w:p>
            <w:pPr>
              <w:spacing w:after="20"/>
            </w:pPr>
            <w:r>
              <w:rPr>
                <w:b w:val="false"/>
                <w:bCs w:val="false"/>
                <w:color w:val="2B2B2B"/>
                <w:sz w:val="19"/>
                <w:szCs w:val="19"/>
              </w:rPr>
              <w:t xml:space="preserve">₹0 at launch</w:t>
            </w:r>
          </w:p>
        </w:tc>
      </w:tr>
      <w:tr>
        <w:tc>
          <w:tcPr>
            <w:tcW w:type="dxa" w:w="2600"/>
            <w:shd w:fill="F2F6F5" w:val="clear"/>
            <w:tcMar>
              <w:top w:type="dxa" w:w="90"/>
              <w:left w:type="dxa" w:w="110"/>
              <w:bottom w:type="dxa" w:w="90"/>
              <w:right w:type="dxa" w:w="110"/>
            </w:tcMar>
          </w:tcPr>
          <w:p>
            <w:pPr>
              <w:spacing w:after="20"/>
            </w:pPr>
            <w:r>
              <w:rPr>
                <w:b w:val="false"/>
                <w:bCs w:val="false"/>
                <w:color w:val="2B2B2B"/>
                <w:sz w:val="19"/>
                <w:szCs w:val="19"/>
              </w:rPr>
              <w:t xml:space="preserve">Fetcher (cron)</w:t>
            </w:r>
          </w:p>
        </w:tc>
        <w:tc>
          <w:tcPr>
            <w:tcW w:type="dxa" w:w="4700"/>
            <w:shd w:fill="F2F6F5" w:val="clear"/>
            <w:tcMar>
              <w:top w:type="dxa" w:w="90"/>
              <w:left w:type="dxa" w:w="110"/>
              <w:bottom w:type="dxa" w:w="90"/>
              <w:right w:type="dxa" w:w="110"/>
            </w:tcMar>
          </w:tcPr>
          <w:p>
            <w:pPr>
              <w:spacing w:after="20"/>
            </w:pPr>
            <w:r>
              <w:rPr>
                <w:b w:val="false"/>
                <w:bCs w:val="false"/>
                <w:color w:val="2B2B2B"/>
                <w:sz w:val="19"/>
                <w:szCs w:val="19"/>
              </w:rPr>
              <w:t xml:space="preserve">Scheduled job per watcher+country; frequency configurable per type</w:t>
            </w:r>
          </w:p>
        </w:tc>
        <w:tc>
          <w:tcPr>
            <w:tcW w:type="dxa" w:w="2400"/>
            <w:shd w:fill="F2F6F5" w:val="clear"/>
            <w:tcMar>
              <w:top w:type="dxa" w:w="90"/>
              <w:left w:type="dxa" w:w="110"/>
              <w:bottom w:type="dxa" w:w="90"/>
              <w:right w:type="dxa" w:w="110"/>
            </w:tcMar>
          </w:tcPr>
          <w:p>
            <w:pPr>
              <w:spacing w:after="20"/>
            </w:pPr>
            <w:r>
              <w:rPr>
                <w:b w:val="false"/>
                <w:bCs w:val="false"/>
                <w:color w:val="2B2B2B"/>
                <w:sz w:val="19"/>
                <w:szCs w:val="19"/>
              </w:rPr>
              <w:t xml:space="preserve">₹0 (Cloudflare Workers Cron)</w:t>
            </w:r>
          </w:p>
        </w:tc>
      </w:tr>
      <w:tr>
        <w:tc>
          <w:tcPr>
            <w:tcW w:type="dxa" w:w="2600"/>
            <w:tcMar>
              <w:top w:type="dxa" w:w="90"/>
              <w:left w:type="dxa" w:w="110"/>
              <w:bottom w:type="dxa" w:w="90"/>
              <w:right w:type="dxa" w:w="110"/>
            </w:tcMar>
          </w:tcPr>
          <w:p>
            <w:pPr>
              <w:spacing w:after="20"/>
            </w:pPr>
            <w:r>
              <w:rPr>
                <w:b w:val="false"/>
                <w:bCs w:val="false"/>
                <w:color w:val="2B2B2B"/>
                <w:sz w:val="19"/>
                <w:szCs w:val="19"/>
              </w:rPr>
              <w:t xml:space="preserve">Alert delivery</w:t>
            </w:r>
          </w:p>
        </w:tc>
        <w:tc>
          <w:tcPr>
            <w:tcW w:type="dxa" w:w="4700"/>
            <w:tcMar>
              <w:top w:type="dxa" w:w="90"/>
              <w:left w:type="dxa" w:w="110"/>
              <w:bottom w:type="dxa" w:w="90"/>
              <w:right w:type="dxa" w:w="110"/>
            </w:tcMar>
          </w:tcPr>
          <w:p>
            <w:pPr>
              <w:spacing w:after="20"/>
            </w:pPr>
            <w:r>
              <w:rPr>
                <w:b w:val="false"/>
                <w:bCs w:val="false"/>
                <w:color w:val="2B2B2B"/>
                <w:sz w:val="19"/>
                <w:szCs w:val="19"/>
              </w:rPr>
              <w:t xml:space="preserve">Cron compares latest rate to open alerts, sends via email or WhatsApp per user choice</w:t>
            </w:r>
          </w:p>
        </w:tc>
        <w:tc>
          <w:tcPr>
            <w:tcW w:type="dxa" w:w="2400"/>
            <w:tcMar>
              <w:top w:type="dxa" w:w="90"/>
              <w:left w:type="dxa" w:w="110"/>
              <w:bottom w:type="dxa" w:w="90"/>
              <w:right w:type="dxa" w:w="110"/>
            </w:tcMar>
          </w:tcPr>
          <w:p>
            <w:pPr>
              <w:spacing w:after="20"/>
            </w:pPr>
            <w:r>
              <w:rPr>
                <w:b w:val="false"/>
                <w:bCs w:val="false"/>
                <w:color w:val="2B2B2B"/>
                <w:sz w:val="19"/>
                <w:szCs w:val="19"/>
              </w:rPr>
              <w:t xml:space="preserve">₹0 email · small cost on WhatsApp</w:t>
            </w:r>
          </w:p>
        </w:tc>
      </w:tr>
      <w:tr>
        <w:tc>
          <w:tcPr>
            <w:tcW w:type="dxa" w:w="2600"/>
            <w:shd w:fill="F2F6F5" w:val="clear"/>
            <w:tcMar>
              <w:top w:type="dxa" w:w="90"/>
              <w:left w:type="dxa" w:w="110"/>
              <w:bottom w:type="dxa" w:w="90"/>
              <w:right w:type="dxa" w:w="110"/>
            </w:tcMar>
          </w:tcPr>
          <w:p>
            <w:pPr>
              <w:spacing w:after="20"/>
            </w:pPr>
            <w:r>
              <w:rPr>
                <w:b w:val="false"/>
                <w:bCs w:val="false"/>
                <w:color w:val="2B2B2B"/>
                <w:sz w:val="19"/>
                <w:szCs w:val="19"/>
              </w:rPr>
              <w:t xml:space="preserve">Geo-detection</w:t>
            </w:r>
          </w:p>
        </w:tc>
        <w:tc>
          <w:tcPr>
            <w:tcW w:type="dxa" w:w="4700"/>
            <w:shd w:fill="F2F6F5" w:val="clear"/>
            <w:tcMar>
              <w:top w:type="dxa" w:w="90"/>
              <w:left w:type="dxa" w:w="110"/>
              <w:bottom w:type="dxa" w:w="90"/>
              <w:right w:type="dxa" w:w="110"/>
            </w:tcMar>
          </w:tcPr>
          <w:p>
            <w:pPr>
              <w:spacing w:after="20"/>
            </w:pPr>
            <w:r>
              <w:rPr>
                <w:b w:val="false"/>
                <w:bCs w:val="false"/>
                <w:color w:val="2B2B2B"/>
                <w:sz w:val="19"/>
                <w:szCs w:val="19"/>
              </w:rPr>
              <w:t xml:space="preserve">IP-based country lookup on first visit (e.g. ipapi.co/ipinfo.io free tier)</w:t>
            </w:r>
          </w:p>
        </w:tc>
        <w:tc>
          <w:tcPr>
            <w:tcW w:type="dxa" w:w="2400"/>
            <w:shd w:fill="F2F6F5" w:val="clear"/>
            <w:tcMar>
              <w:top w:type="dxa" w:w="90"/>
              <w:left w:type="dxa" w:w="110"/>
              <w:bottom w:type="dxa" w:w="90"/>
              <w:right w:type="dxa" w:w="110"/>
            </w:tcMar>
          </w:tcPr>
          <w:p>
            <w:pPr>
              <w:spacing w:after="20"/>
            </w:pPr>
            <w:r>
              <w:rPr>
                <w:b w:val="false"/>
                <w:bCs w:val="false"/>
                <w:color w:val="2B2B2B"/>
                <w:sz w:val="19"/>
                <w:szCs w:val="19"/>
              </w:rPr>
              <w:t xml:space="preserve">₹0 at launch volume</w:t>
            </w:r>
          </w:p>
        </w:tc>
      </w:tr>
      <w:tr>
        <w:tc>
          <w:tcPr>
            <w:tcW w:type="dxa" w:w="2600"/>
            <w:tcMar>
              <w:top w:type="dxa" w:w="90"/>
              <w:left w:type="dxa" w:w="110"/>
              <w:bottom w:type="dxa" w:w="90"/>
              <w:right w:type="dxa" w:w="110"/>
            </w:tcMar>
          </w:tcPr>
          <w:p>
            <w:pPr>
              <w:spacing w:after="20"/>
            </w:pPr>
            <w:r>
              <w:rPr>
                <w:b w:val="false"/>
                <w:bCs w:val="false"/>
                <w:color w:val="2B2B2B"/>
                <w:sz w:val="19"/>
                <w:szCs w:val="19"/>
              </w:rPr>
              <w:t xml:space="preserve">Ads</w:t>
            </w:r>
          </w:p>
        </w:tc>
        <w:tc>
          <w:tcPr>
            <w:tcW w:type="dxa" w:w="4700"/>
            <w:tcMar>
              <w:top w:type="dxa" w:w="90"/>
              <w:left w:type="dxa" w:w="110"/>
              <w:bottom w:type="dxa" w:w="90"/>
              <w:right w:type="dxa" w:w="110"/>
            </w:tcMar>
          </w:tcPr>
          <w:p>
            <w:pPr>
              <w:spacing w:after="20"/>
            </w:pPr>
            <w:r>
              <w:rPr>
                <w:b w:val="false"/>
                <w:bCs w:val="false"/>
                <w:color w:val="2B2B2B"/>
                <w:sz w:val="19"/>
                <w:szCs w:val="19"/>
              </w:rPr>
              <w:t xml:space="preserve">Google AdSense/Ad Manager — header, in-content, pre/post table slots</w:t>
            </w:r>
          </w:p>
        </w:tc>
        <w:tc>
          <w:tcPr>
            <w:tcW w:type="dxa" w:w="2400"/>
            <w:tcMar>
              <w:top w:type="dxa" w:w="90"/>
              <w:left w:type="dxa" w:w="110"/>
              <w:bottom w:type="dxa" w:w="90"/>
              <w:right w:type="dxa" w:w="110"/>
            </w:tcMar>
          </w:tcPr>
          <w:p>
            <w:pPr>
              <w:spacing w:after="20"/>
            </w:pPr>
            <w:r>
              <w:rPr>
                <w:b w:val="false"/>
                <w:bCs w:val="false"/>
                <w:color w:val="2B2B2B"/>
                <w:sz w:val="19"/>
                <w:szCs w:val="19"/>
              </w:rPr>
              <w:t xml:space="preserve">Revenue, not cost</w:t>
            </w:r>
          </w:p>
        </w:tc>
      </w:tr>
    </w:tbl>
    <w:p>
      <w:pPr>
        <w:pStyle w:val="Heading2"/>
        <w:spacing w:after="100" w:before="220"/>
      </w:pPr>
      <w:r>
        <w:rPr>
          <w:b/>
          <w:bCs/>
          <w:color w:val="2E7D6E"/>
          <w:sz w:val="23"/>
          <w:szCs w:val="23"/>
        </w:rPr>
        <w:t xml:space="preserve">3.3 Update Frequency Policy</w:t>
      </w:r>
    </w:p>
    <w:p>
      <w:pPr>
        <w:spacing w:after="120" w:line="276"/>
      </w:pPr>
      <w:r>
        <w:rPr>
          <w:b w:val="false"/>
          <w:bCs w:val="false"/>
          <w:i w:val="false"/>
          <w:iCs w:val="false"/>
          <w:color w:val="2B2B2B"/>
          <w:sz w:val="21"/>
          <w:szCs w:val="21"/>
        </w:rPr>
        <w:t xml:space="preserve">Frequency is set per watcher_type based on how often the real-world value actually changes — not a single global setting:</w:t>
      </w:r>
    </w:p>
    <w:p>
      <w:pPr>
        <w:pStyle w:val="ListParagraph"/>
        <w:numPr>
          <w:ilvl w:val="0"/>
          <w:numId w:val="2"/>
        </w:numPr>
        <w:spacing w:after="70" w:line="264"/>
      </w:pPr>
      <w:r>
        <w:rPr>
          <w:b w:val="false"/>
          <w:bCs w:val="false"/>
          <w:sz w:val="21"/>
          <w:szCs w:val="21"/>
        </w:rPr>
        <w:t xml:space="preserve">Fuel, Loan, FD — daily or weekly (matches real-world revision cadence)</w:t>
      </w:r>
    </w:p>
    <w:p>
      <w:pPr>
        <w:pStyle w:val="ListParagraph"/>
        <w:numPr>
          <w:ilvl w:val="0"/>
          <w:numId w:val="2"/>
        </w:numPr>
        <w:spacing w:after="70" w:line="264"/>
      </w:pPr>
      <w:r>
        <w:rPr>
          <w:b w:val="false"/>
          <w:bCs w:val="false"/>
          <w:sz w:val="21"/>
          <w:szCs w:val="21"/>
        </w:rPr>
        <w:t xml:space="preserve">Gold/Silver, Currency — every 15–30 min during market hours only (skips off-hours to cut API calls)</w:t>
      </w:r>
    </w:p>
    <w:p>
      <w:pPr>
        <w:spacing w:after="120" w:line="276"/>
      </w:pPr>
      <w:r>
        <w:rPr>
          <w:b w:val="false"/>
          <w:bCs w:val="false"/>
          <w:i w:val="false"/>
          <w:iCs w:val="false"/>
          <w:color w:val="2B2B2B"/>
          <w:sz w:val="21"/>
          <w:szCs w:val="21"/>
        </w:rPr>
        <w:t xml:space="preserve">The server polls once per interval and caches the result; every visitor is served the cached value. Cost scales with poll frequency, not traffic.</w:t>
      </w:r>
    </w:p>
    <w:p>
      <w:pPr>
        <w:pStyle w:val="Heading2"/>
        <w:spacing w:after="100" w:before="220"/>
      </w:pPr>
      <w:r>
        <w:rPr>
          <w:b/>
          <w:bCs/>
          <w:color w:val="2E7D6E"/>
          <w:sz w:val="23"/>
          <w:szCs w:val="23"/>
        </w:rPr>
        <w:t xml:space="preserve">3.4 No-Signup Alert Mechanism</w:t>
      </w:r>
    </w:p>
    <w:p>
      <w:pPr>
        <w:spacing w:after="120" w:line="276"/>
      </w:pPr>
      <w:r>
        <w:rPr>
          <w:b w:val="false"/>
          <w:bCs w:val="false"/>
          <w:i w:val="false"/>
          <w:iCs w:val="false"/>
          <w:color w:val="2B2B2B"/>
          <w:sz w:val="21"/>
          <w:szCs w:val="21"/>
        </w:rPr>
        <w:t xml:space="preserve">Users pick a threshold condition and a delivery channel — email or WhatsApp — no password, no account, no dashboard login.</w:t>
      </w:r>
    </w:p>
    <w:p>
      <w:pPr>
        <w:pStyle w:val="ListParagraph"/>
        <w:numPr>
          <w:ilvl w:val="0"/>
          <w:numId w:val="2"/>
        </w:numPr>
        <w:spacing w:after="70" w:line="264"/>
      </w:pPr>
      <w:r>
        <w:rPr>
          <w:b w:val="false"/>
          <w:bCs w:val="false"/>
          <w:sz w:val="21"/>
          <w:szCs w:val="21"/>
        </w:rPr>
        <w:t xml:space="preserve">Email — user enters address, confirms via a double opt-in link. Unsubscribe link in every email. Cost: free at this volume.</w:t>
      </w:r>
    </w:p>
    <w:p>
      <w:pPr>
        <w:pStyle w:val="ListParagraph"/>
        <w:numPr>
          <w:ilvl w:val="0"/>
          <w:numId w:val="2"/>
        </w:numPr>
        <w:spacing w:after="70" w:line="264"/>
      </w:pPr>
      <w:r>
        <w:rPr>
          <w:b w:val="false"/>
          <w:bCs w:val="false"/>
          <w:sz w:val="21"/>
          <w:szCs w:val="21"/>
        </w:rPr>
        <w:t xml:space="preserve">WhatsApp — user enters a phone number and opts in (e.g. tapping a wa.me link or replying to a one-time verification message), delivered via WhatsApp Business/Cloud API. Stop anytime by replying "STOP".</w:t>
      </w:r>
    </w:p>
    <w:p>
      <w:pPr>
        <w:spacing w:after="120" w:line="276"/>
      </w:pPr>
      <w:r>
        <w:rPr>
          <w:b w:val="false"/>
          <w:bCs w:val="false"/>
          <w:i/>
          <w:iCs/>
          <w:color w:val="2B2B2B"/>
          <w:sz w:val="21"/>
          <w:szCs w:val="21"/>
        </w:rPr>
        <w:t xml:space="preserve">WhatsApp is not free like email: providers (Meta Cloud API direct, or Twilio/Gupshup on top of it) charge per conversation once free-tier volume is exceeded. At low alert volume this stays small, but it is a real recurring cost — unlike every other line item in this plan — and should be tracked separately once usage grows.</w:t>
      </w:r>
    </w:p>
    <w:p>
      <w:pPr>
        <w:pStyle w:val="Heading2"/>
        <w:spacing w:after="100" w:before="220"/>
      </w:pPr>
      <w:r>
        <w:rPr>
          <w:b/>
          <w:bCs/>
          <w:color w:val="2E7D6E"/>
          <w:sz w:val="23"/>
          <w:szCs w:val="23"/>
        </w:rPr>
        <w:t xml:space="preserve">3.5 Country Detection &amp; Switching</w:t>
      </w:r>
    </w:p>
    <w:p>
      <w:pPr>
        <w:spacing w:after="120" w:line="276"/>
      </w:pPr>
      <w:r>
        <w:rPr>
          <w:b w:val="false"/>
          <w:bCs w:val="false"/>
          <w:i w:val="false"/>
          <w:iCs w:val="false"/>
          <w:color w:val="2B2B2B"/>
          <w:sz w:val="21"/>
          <w:szCs w:val="21"/>
        </w:rPr>
        <w:t xml:space="preserve">On organic/direct visits, the country is auto-detected via IP geolocation (free-tier lookup) and the matching country page is shown by default — no interstitial, no forced choice. A persistent country switcher (flag/dropdown) sits in the header on every page so users can override it manually at any time. The choice is remembered locally (lightweight cookie/local storage) for repeat visits — not used for tracking or shared with ad partners beyond what ads already require.</w:t>
      </w:r>
    </w:p>
    <w:p>
      <w:pPr>
        <w:pStyle w:val="Heading2"/>
        <w:spacing w:after="100" w:before="220"/>
      </w:pPr>
      <w:r>
        <w:rPr>
          <w:b/>
          <w:bCs/>
          <w:color w:val="2E7D6E"/>
          <w:sz w:val="23"/>
          <w:szCs w:val="23"/>
        </w:rPr>
        <w:t xml:space="preserve">3.6 Domain &amp; Hosting</w:t>
      </w:r>
    </w:p>
    <w:p>
      <w:pPr>
        <w:spacing w:after="120" w:line="276"/>
      </w:pPr>
      <w:r>
        <w:rPr>
          <w:b w:val="false"/>
          <w:bCs w:val="false"/>
          <w:i w:val="false"/>
          <w:iCs w:val="false"/>
          <w:color w:val="2B2B2B"/>
          <w:sz w:val="21"/>
          <w:szCs w:val="21"/>
        </w:rPr>
        <w:t xml:space="preserve">Domain: register at Porkbun (~$11/year, flat pricing forever, free WHOIS privacy). Cloudflare Registrar is marginally cheaper (~$9/year) but only handles transfers/renewals, not new registrations — so buy at Porkbun first, optionally transfer to Cloudflare after the 60-day ICANN lock if desired.</w:t>
      </w:r>
    </w:p>
    <w:p>
      <w:pPr>
        <w:spacing w:after="120" w:line="276"/>
      </w:pPr>
      <w:r>
        <w:rPr>
          <w:b w:val="false"/>
          <w:bCs w:val="false"/>
          <w:i w:val="false"/>
          <w:iCs w:val="false"/>
          <w:color w:val="2B2B2B"/>
          <w:sz w:val="21"/>
          <w:szCs w:val="21"/>
        </w:rPr>
        <w:t xml:space="preserve">Hosting: Cloudflare Pages, not Vercel. Vercel’s free Hobby tier explicitly restricts to personal, non-commercial use — this site is commercial by definition since it exists to run Google Ads for revenue, which puts it outside Hobby’s terms. Cloudflare Pages’ free tier explicitly permits commercial use, includes unlimited bandwidth, 500 builds/month, and Workers (their function equivalent) at 100K requests/day free — a strictly better fit with no ToS ambiguity.</w:t>
      </w:r>
    </w:p>
    <w:p>
      <w:pPr>
        <w:spacing w:after="120" w:line="276"/>
      </w:pPr>
      <w:r>
        <w:rPr>
          <w:b w:val="false"/>
          <w:bCs w:val="false"/>
          <w:i w:val="false"/>
          <w:iCs w:val="false"/>
          <w:color w:val="2B2B2B"/>
          <w:sz w:val="21"/>
          <w:szCs w:val="21"/>
        </w:rPr>
        <w:t xml:space="preserve">Setup order: buy domain at Porkbun → point nameservers to Cloudflare → deploy the Next.js app to Cloudflare Pages → use Cloudflare Workers Cron for fetchers and edge-based geo-detection → keep the database external (Supabase/Neon free Postgres tier), since Pages does not include one.</w:t>
      </w:r>
    </w:p>
    <w:p>
      <w:pPr>
        <w:spacing w:after="120" w:line="276"/>
      </w:pPr>
      <w:r>
        <w:rPr>
          <w:b w:val="false"/>
          <w:bCs w:val="false"/>
          <w:i/>
          <w:iCs/>
          <w:color w:val="2B2B2B"/>
          <w:sz w:val="21"/>
          <w:szCs w:val="21"/>
        </w:rPr>
        <w:t xml:space="preserve">Net effect: domain, DNS, hosting, edge functions, and cron all sit inside one Cloudflare account — simpler to manage as more watchers and countries are added.</w:t>
      </w:r>
    </w:p>
    <w:p>
      <w:pPr>
        <w:pStyle w:val="Heading1"/>
        <w:pBdr>
          <w:bottom w:val="single" w:color="2E7D6E" w:sz="6" w:space="4"/>
        </w:pBdr>
        <w:spacing w:after="140" w:before="320"/>
      </w:pPr>
      <w:r>
        <w:rPr>
          <w:b/>
          <w:bCs/>
          <w:color w:val="1F4E5F"/>
          <w:sz w:val="27"/>
          <w:szCs w:val="27"/>
        </w:rPr>
        <w:t xml:space="preserve">4. UX Principles</w:t>
      </w:r>
    </w:p>
    <w:p>
      <w:pPr>
        <w:pStyle w:val="Heading2"/>
        <w:spacing w:after="100" w:before="220"/>
      </w:pPr>
      <w:r>
        <w:rPr>
          <w:b/>
          <w:bCs/>
          <w:color w:val="2E7D6E"/>
          <w:sz w:val="23"/>
          <w:szCs w:val="23"/>
        </w:rPr>
        <w:t xml:space="preserve">4.1 Homepage</w:t>
      </w:r>
    </w:p>
    <w:p>
      <w:pPr>
        <w:spacing w:after="120" w:line="276"/>
      </w:pPr>
      <w:r>
        <w:rPr>
          <w:b w:val="false"/>
          <w:bCs w:val="false"/>
          <w:i w:val="false"/>
          <w:iCs w:val="false"/>
          <w:color w:val="2B2B2B"/>
          <w:sz w:val="21"/>
          <w:szCs w:val="21"/>
        </w:rPr>
        <w:t xml:space="preserve">The root domain (/) is a value-prop hub for the whole platform, not just an entry point into Fuel Price Watcher — this establishes the brand as a growing set of watchers from day one, at near-zero extra build cost.</w:t>
      </w:r>
    </w:p>
    <w:p>
      <w:pPr>
        <w:pStyle w:val="ListParagraph"/>
        <w:numPr>
          <w:ilvl w:val="0"/>
          <w:numId w:val="2"/>
        </w:numPr>
        <w:spacing w:after="70" w:line="264"/>
      </w:pPr>
      <w:r>
        <w:rPr>
          <w:b w:val="false"/>
          <w:bCs w:val="false"/>
          <w:sz w:val="21"/>
          <w:szCs w:val="21"/>
        </w:rPr>
        <w:t xml:space="preserve">One-line value prop at the top: free rate/price watchers, no signup, alerts by email or WhatsApp</w:t>
      </w:r>
    </w:p>
    <w:p>
      <w:pPr>
        <w:pStyle w:val="ListParagraph"/>
        <w:numPr>
          <w:ilvl w:val="0"/>
          <w:numId w:val="2"/>
        </w:numPr>
        <w:spacing w:after="70" w:line="264"/>
      </w:pPr>
      <w:r>
        <w:rPr>
          <w:b w:val="false"/>
          <w:bCs w:val="false"/>
          <w:sz w:val="21"/>
          <w:szCs w:val="21"/>
        </w:rPr>
        <w:t xml:space="preserve">Card grid, one per watcher, ordered to match the locked roadmap sequence (Section 2)</w:t>
      </w:r>
    </w:p>
    <w:p>
      <w:pPr>
        <w:pStyle w:val="ListParagraph"/>
        <w:numPr>
          <w:ilvl w:val="0"/>
          <w:numId w:val="2"/>
        </w:numPr>
        <w:spacing w:after="70" w:line="264"/>
      </w:pPr>
      <w:r>
        <w:rPr>
          <w:b w:val="false"/>
          <w:bCs w:val="false"/>
          <w:sz w:val="21"/>
          <w:szCs w:val="21"/>
        </w:rPr>
        <w:t xml:space="preserve">Fuel Price Watcher card is fully clickable — links into the geo-detected country page, shows a live snippet (e.g. current national average)</w:t>
      </w:r>
    </w:p>
    <w:p>
      <w:pPr>
        <w:pStyle w:val="ListParagraph"/>
        <w:numPr>
          <w:ilvl w:val="0"/>
          <w:numId w:val="2"/>
        </w:numPr>
        <w:spacing w:after="70" w:line="264"/>
      </w:pPr>
      <w:r>
        <w:rPr>
          <w:b w:val="false"/>
          <w:bCs w:val="false"/>
          <w:sz w:val="21"/>
          <w:szCs w:val="21"/>
        </w:rPr>
        <w:t xml:space="preserve">All other watcher cards (Gold/Silver, Currency, Loan, FD, Stock, PNR) are static, greyed-out, and labeled "Coming soon" — name + one-line description only, no fake stats or dates, no click target</w:t>
      </w:r>
    </w:p>
    <w:p>
      <w:pPr>
        <w:pStyle w:val="ListParagraph"/>
        <w:numPr>
          <w:ilvl w:val="0"/>
          <w:numId w:val="2"/>
        </w:numPr>
        <w:spacing w:after="70" w:line="264"/>
      </w:pPr>
      <w:r>
        <w:rPr>
          <w:b w:val="false"/>
          <w:bCs w:val="false"/>
          <w:sz w:val="21"/>
          <w:szCs w:val="21"/>
        </w:rPr>
        <w:t xml:space="preserve">Same country switcher as sub-pages appears here too, so the live card reflects the visitor’s detected country</w:t>
      </w:r>
    </w:p>
    <w:p>
      <w:pPr>
        <w:pStyle w:val="ListParagraph"/>
        <w:numPr>
          <w:ilvl w:val="0"/>
          <w:numId w:val="2"/>
        </w:numPr>
        <w:spacing w:after="70" w:line="264"/>
      </w:pPr>
      <w:r>
        <w:rPr>
          <w:b w:val="false"/>
          <w:bCs w:val="false"/>
          <w:sz w:val="21"/>
          <w:szCs w:val="21"/>
        </w:rPr>
        <w:t xml:space="preserve">Short trust/about blurb: free forever, privacy-friendly, no signup</w:t>
      </w:r>
    </w:p>
    <w:p>
      <w:pPr>
        <w:pStyle w:val="ListParagraph"/>
        <w:numPr>
          <w:ilvl w:val="0"/>
          <w:numId w:val="2"/>
        </w:numPr>
        <w:spacing w:after="70" w:line="264"/>
      </w:pPr>
      <w:r>
        <w:rPr>
          <w:b w:val="false"/>
          <w:bCs w:val="false"/>
          <w:sz w:val="21"/>
          <w:szCs w:val="21"/>
        </w:rPr>
        <w:t xml:space="preserve">Ad slots included — the homepage will carry real traffic once it’s the front door, not treated as a pure nav page</w:t>
      </w:r>
    </w:p>
    <w:p>
      <w:pPr>
        <w:spacing w:after="120" w:line="276"/>
      </w:pPr>
      <w:r>
        <w:rPr>
          <w:b w:val="false"/>
          <w:bCs w:val="false"/>
          <w:i/>
          <w:iCs/>
          <w:color w:val="2B2B2B"/>
          <w:sz w:val="21"/>
          <w:szCs w:val="21"/>
        </w:rPr>
        <w:t xml:space="preserve">The "coming soon" cards are pure static content (no backend, no data model change) — this is why the addition barely affects the 1-weekend build target for Phase 1.</w:t>
      </w:r>
    </w:p>
    <w:p>
      <w:pPr>
        <w:pStyle w:val="Heading2"/>
        <w:spacing w:after="100" w:before="220"/>
      </w:pPr>
      <w:r>
        <w:rPr>
          <w:b/>
          <w:bCs/>
          <w:color w:val="2E7D6E"/>
          <w:sz w:val="23"/>
          <w:szCs w:val="23"/>
        </w:rPr>
        <w:t xml:space="preserve">4.2 Page Structure (per watcher, per country)</w:t>
      </w:r>
    </w:p>
    <w:p>
      <w:pPr>
        <w:pStyle w:val="ListParagraph"/>
        <w:numPr>
          <w:ilvl w:val="0"/>
          <w:numId w:val="2"/>
        </w:numPr>
        <w:spacing w:after="70" w:line="264"/>
      </w:pPr>
      <w:r>
        <w:rPr>
          <w:b w:val="false"/>
          <w:bCs w:val="false"/>
          <w:sz w:val="21"/>
          <w:szCs w:val="21"/>
        </w:rPr>
        <w:t xml:space="preserve">Header: persistent country switcher (flag/dropdown), auto-set by geo-detection on first visit</w:t>
      </w:r>
    </w:p>
    <w:p>
      <w:pPr>
        <w:pStyle w:val="ListParagraph"/>
        <w:numPr>
          <w:ilvl w:val="0"/>
          <w:numId w:val="2"/>
        </w:numPr>
        <w:spacing w:after="70" w:line="264"/>
      </w:pPr>
      <w:r>
        <w:rPr>
          <w:b w:val="false"/>
          <w:bCs w:val="false"/>
          <w:sz w:val="21"/>
          <w:szCs w:val="21"/>
        </w:rPr>
        <w:t xml:space="preserve">Hero: current value, last-updated timestamp, simple trend indicator</w:t>
      </w:r>
    </w:p>
    <w:p>
      <w:pPr>
        <w:pStyle w:val="ListParagraph"/>
        <w:numPr>
          <w:ilvl w:val="0"/>
          <w:numId w:val="2"/>
        </w:numPr>
        <w:spacing w:after="70" w:line="264"/>
      </w:pPr>
      <w:r>
        <w:rPr>
          <w:b w:val="false"/>
          <w:bCs w:val="false"/>
          <w:sz w:val="21"/>
          <w:szCs w:val="21"/>
        </w:rPr>
        <w:t xml:space="preserve">Regional breakdown table — state (US) or city (India) — this is the primary SEO surface, one crawlable row per region</w:t>
      </w:r>
    </w:p>
    <w:p>
      <w:pPr>
        <w:pStyle w:val="ListParagraph"/>
        <w:numPr>
          <w:ilvl w:val="0"/>
          <w:numId w:val="2"/>
        </w:numPr>
        <w:spacing w:after="70" w:line="264"/>
      </w:pPr>
      <w:r>
        <w:rPr>
          <w:b w:val="false"/>
          <w:bCs w:val="false"/>
          <w:sz w:val="21"/>
          <w:szCs w:val="21"/>
        </w:rPr>
        <w:t xml:space="preserve">"Set Alert" module — inline, no modal, no signup: condition + choice of email or WhatsApp + submit</w:t>
      </w:r>
    </w:p>
    <w:p>
      <w:pPr>
        <w:pStyle w:val="ListParagraph"/>
        <w:numPr>
          <w:ilvl w:val="0"/>
          <w:numId w:val="2"/>
        </w:numPr>
        <w:spacing w:after="70" w:line="264"/>
      </w:pPr>
      <w:r>
        <w:rPr>
          <w:b w:val="false"/>
          <w:bCs w:val="false"/>
          <w:sz w:val="21"/>
          <w:szCs w:val="21"/>
        </w:rPr>
        <w:t xml:space="preserve">Short explainer content block (static, written once, not daily content) for search intent and dwell time</w:t>
      </w:r>
    </w:p>
    <w:p>
      <w:pPr>
        <w:pStyle w:val="ListParagraph"/>
        <w:numPr>
          <w:ilvl w:val="0"/>
          <w:numId w:val="2"/>
        </w:numPr>
        <w:spacing w:after="70" w:line="264"/>
      </w:pPr>
      <w:r>
        <w:rPr>
          <w:b w:val="false"/>
          <w:bCs w:val="false"/>
          <w:sz w:val="21"/>
          <w:szCs w:val="21"/>
        </w:rPr>
        <w:t xml:space="preserve">Ad slots: below hero, mid-content (above breakdown table), and after the table</w:t>
      </w:r>
    </w:p>
    <w:p>
      <w:pPr>
        <w:pStyle w:val="Heading2"/>
        <w:spacing w:after="100" w:before="220"/>
      </w:pPr>
      <w:r>
        <w:rPr>
          <w:b/>
          <w:bCs/>
          <w:color w:val="2E7D6E"/>
          <w:sz w:val="23"/>
          <w:szCs w:val="23"/>
        </w:rPr>
        <w:t xml:space="preserve">4.3 SEO Approach</w:t>
      </w:r>
    </w:p>
    <w:p>
      <w:pPr>
        <w:spacing w:after="120" w:line="276"/>
      </w:pPr>
      <w:r>
        <w:rPr>
          <w:b w:val="false"/>
          <w:bCs w:val="false"/>
          <w:i w:val="false"/>
          <w:iCs w:val="false"/>
          <w:color w:val="2B2B2B"/>
          <w:sz w:val="21"/>
          <w:szCs w:val="21"/>
        </w:rPr>
        <w:t xml:space="preserve">Each country/region combination is its own indexable URL (e.g. /fuel-price/india/mumbai, /fuel-price/us/texas). The watcher itself is a feature on the page — the page’s job is to rank on informational search intent, and the alert converts a visitor into repeat traffic.</w:t>
      </w:r>
    </w:p>
    <w:p>
      <w:pPr>
        <w:pStyle w:val="Heading2"/>
        <w:spacing w:after="100" w:before="220"/>
      </w:pPr>
      <w:r>
        <w:rPr>
          <w:b/>
          <w:bCs/>
          <w:color w:val="2E7D6E"/>
          <w:sz w:val="23"/>
          <w:szCs w:val="23"/>
        </w:rPr>
        <w:t xml:space="preserve">4.4 Design Tone</w:t>
      </w:r>
    </w:p>
    <w:p>
      <w:pPr>
        <w:spacing w:after="120" w:line="276"/>
      </w:pPr>
      <w:r>
        <w:rPr>
          <w:b w:val="false"/>
          <w:bCs w:val="false"/>
          <w:i w:val="false"/>
          <w:iCs w:val="false"/>
          <w:color w:val="2B2B2B"/>
          <w:sz w:val="21"/>
          <w:szCs w:val="21"/>
        </w:rPr>
        <w:t xml:space="preserve">Utility-first, fast-loading, minimal JS, no dark patterns, no forced newsletter modals. Ads are clearly distinguished from content per AdSense policy.</w:t>
      </w:r>
    </w:p>
    <w:p>
      <w:pPr>
        <w:pStyle w:val="Heading1"/>
        <w:pBdr>
          <w:bottom w:val="single" w:color="2E7D6E" w:sz="6" w:space="4"/>
        </w:pBdr>
        <w:spacing w:after="140" w:before="320"/>
      </w:pPr>
      <w:r>
        <w:rPr>
          <w:b/>
          <w:bCs/>
          <w:color w:val="1F4E5F"/>
          <w:sz w:val="27"/>
          <w:szCs w:val="27"/>
        </w:rPr>
        <w:t xml:space="preserve">5. Phase 1: Fuel Price Watcher — Detailed Spec</w:t>
      </w:r>
    </w:p>
    <w:p>
      <w:pPr>
        <w:pStyle w:val="Heading2"/>
        <w:spacing w:after="100" w:before="220"/>
      </w:pPr>
      <w:r>
        <w:rPr>
          <w:b/>
          <w:bCs/>
          <w:color w:val="2E7D6E"/>
          <w:sz w:val="23"/>
          <w:szCs w:val="23"/>
        </w:rPr>
        <w:t xml:space="preserve">5.1 Data Sources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600"/>
      </w:tblGrid>
      <w:tr>
        <w:tc>
          <w:tcPr>
            <w:tcW w:type="dxa" w:w="1800"/>
            <w:shd w:fill="1F4E5F" w:val="clear"/>
            <w:tcMar>
              <w:top w:type="dxa" w:w="90"/>
              <w:left w:type="dxa" w:w="110"/>
              <w:bottom w:type="dxa" w:w="90"/>
              <w:right w:type="dxa" w:w="110"/>
            </w:tcMar>
          </w:tcPr>
          <w:p>
            <w:pPr>
              <w:spacing w:after="20"/>
            </w:pPr>
            <w:r>
              <w:rPr>
                <w:b/>
                <w:bCs/>
                <w:color w:val="FFFFFF"/>
                <w:sz w:val="19"/>
                <w:szCs w:val="19"/>
              </w:rPr>
              <w:t xml:space="preserve">Country</w:t>
            </w:r>
          </w:p>
        </w:tc>
        <w:tc>
          <w:tcPr>
            <w:tcW w:type="dxa" w:w="4300"/>
            <w:shd w:fill="1F4E5F" w:val="clear"/>
            <w:tcMar>
              <w:top w:type="dxa" w:w="90"/>
              <w:left w:type="dxa" w:w="110"/>
              <w:bottom w:type="dxa" w:w="90"/>
              <w:right w:type="dxa" w:w="110"/>
            </w:tcMar>
          </w:tcPr>
          <w:p>
            <w:pPr>
              <w:spacing w:after="20"/>
            </w:pPr>
            <w:r>
              <w:rPr>
                <w:b/>
                <w:bCs/>
                <w:color w:val="FFFFFF"/>
                <w:sz w:val="19"/>
                <w:szCs w:val="19"/>
              </w:rPr>
              <w:t xml:space="preserve">Source</w:t>
            </w:r>
          </w:p>
        </w:tc>
        <w:tc>
          <w:tcPr>
            <w:tcW w:type="dxa" w:w="3600"/>
            <w:shd w:fill="1F4E5F" w:val="clear"/>
            <w:tcMar>
              <w:top w:type="dxa" w:w="90"/>
              <w:left w:type="dxa" w:w="110"/>
              <w:bottom w:type="dxa" w:w="90"/>
              <w:right w:type="dxa" w:w="110"/>
            </w:tcMar>
          </w:tcPr>
          <w:p>
            <w:pPr>
              <w:spacing w:after="20"/>
            </w:pPr>
            <w:r>
              <w:rPr>
                <w:b/>
                <w:bCs/>
                <w:color w:val="FFFFFF"/>
                <w:sz w:val="19"/>
                <w:szCs w:val="19"/>
              </w:rPr>
              <w:t xml:space="preserve">Cadence</w:t>
            </w:r>
          </w:p>
        </w:tc>
      </w:tr>
      <w:tr>
        <w:tc>
          <w:tcPr>
            <w:tcW w:type="dxa" w:w="1800"/>
            <w:shd w:fill="F2F6F5" w:val="clear"/>
            <w:tcMar>
              <w:top w:type="dxa" w:w="90"/>
              <w:left w:type="dxa" w:w="110"/>
              <w:bottom w:type="dxa" w:w="90"/>
              <w:right w:type="dxa" w:w="110"/>
            </w:tcMar>
          </w:tcPr>
          <w:p>
            <w:pPr>
              <w:spacing w:after="20"/>
            </w:pPr>
            <w:r>
              <w:rPr>
                <w:b w:val="false"/>
                <w:bCs w:val="false"/>
                <w:color w:val="2B2B2B"/>
                <w:sz w:val="19"/>
                <w:szCs w:val="19"/>
              </w:rPr>
              <w:t xml:space="preserve">India</w:t>
            </w:r>
          </w:p>
        </w:tc>
        <w:tc>
          <w:tcPr>
            <w:tcW w:type="dxa" w:w="4300"/>
            <w:shd w:fill="F2F6F5" w:val="clear"/>
            <w:tcMar>
              <w:top w:type="dxa" w:w="90"/>
              <w:left w:type="dxa" w:w="110"/>
              <w:bottom w:type="dxa" w:w="90"/>
              <w:right w:type="dxa" w:w="110"/>
            </w:tcMar>
          </w:tcPr>
          <w:p>
            <w:pPr>
              <w:spacing w:after="20"/>
            </w:pPr>
            <w:r>
              <w:rPr>
                <w:b w:val="false"/>
                <w:bCs w:val="false"/>
                <w:color w:val="2B2B2B"/>
                <w:sz w:val="19"/>
                <w:szCs w:val="19"/>
              </w:rPr>
              <w:t xml:space="preserve">IOCL / BPCL / HPCL official city-wise daily price pages</w:t>
            </w:r>
          </w:p>
        </w:tc>
        <w:tc>
          <w:tcPr>
            <w:tcW w:type="dxa" w:w="3600"/>
            <w:shd w:fill="F2F6F5" w:val="clear"/>
            <w:tcMar>
              <w:top w:type="dxa" w:w="90"/>
              <w:left w:type="dxa" w:w="110"/>
              <w:bottom w:type="dxa" w:w="90"/>
              <w:right w:type="dxa" w:w="110"/>
            </w:tcMar>
          </w:tcPr>
          <w:p>
            <w:pPr>
              <w:spacing w:after="20"/>
            </w:pPr>
            <w:r>
              <w:rPr>
                <w:b w:val="false"/>
                <w:bCs w:val="false"/>
                <w:color w:val="2B2B2B"/>
                <w:sz w:val="19"/>
                <w:szCs w:val="19"/>
              </w:rPr>
              <w:t xml:space="preserve">Daily (matches daily revision)</w:t>
            </w:r>
          </w:p>
        </w:tc>
      </w:tr>
      <w:tr>
        <w:tc>
          <w:tcPr>
            <w:tcW w:type="dxa" w:w="1800"/>
            <w:tcMar>
              <w:top w:type="dxa" w:w="90"/>
              <w:left w:type="dxa" w:w="110"/>
              <w:bottom w:type="dxa" w:w="90"/>
              <w:right w:type="dxa" w:w="110"/>
            </w:tcMar>
          </w:tcPr>
          <w:p>
            <w:pPr>
              <w:spacing w:after="20"/>
            </w:pPr>
            <w:r>
              <w:rPr>
                <w:b w:val="false"/>
                <w:bCs w:val="false"/>
                <w:color w:val="2B2B2B"/>
                <w:sz w:val="19"/>
                <w:szCs w:val="19"/>
              </w:rPr>
              <w:t xml:space="preserve">US</w:t>
            </w:r>
          </w:p>
        </w:tc>
        <w:tc>
          <w:tcPr>
            <w:tcW w:type="dxa" w:w="4300"/>
            <w:tcMar>
              <w:top w:type="dxa" w:w="90"/>
              <w:left w:type="dxa" w:w="110"/>
              <w:bottom w:type="dxa" w:w="90"/>
              <w:right w:type="dxa" w:w="110"/>
            </w:tcMar>
          </w:tcPr>
          <w:p>
            <w:pPr>
              <w:spacing w:after="20"/>
            </w:pPr>
            <w:r>
              <w:rPr>
                <w:b w:val="false"/>
                <w:bCs w:val="false"/>
                <w:color w:val="2B2B2B"/>
                <w:sz w:val="19"/>
                <w:szCs w:val="19"/>
              </w:rPr>
              <w:t xml:space="preserve">EIA (U.S. Energy Information Administration) — free, official, state-level</w:t>
            </w:r>
          </w:p>
        </w:tc>
        <w:tc>
          <w:tcPr>
            <w:tcW w:type="dxa" w:w="3600"/>
            <w:tcMar>
              <w:top w:type="dxa" w:w="90"/>
              <w:left w:type="dxa" w:w="110"/>
              <w:bottom w:type="dxa" w:w="90"/>
              <w:right w:type="dxa" w:w="110"/>
            </w:tcMar>
          </w:tcPr>
          <w:p>
            <w:pPr>
              <w:spacing w:after="20"/>
            </w:pPr>
            <w:r>
              <w:rPr>
                <w:b w:val="false"/>
                <w:bCs w:val="false"/>
                <w:color w:val="2B2B2B"/>
                <w:sz w:val="19"/>
                <w:szCs w:val="19"/>
              </w:rPr>
              <w:t xml:space="preserve">Weekly (matches EIA release cadence)</w:t>
            </w:r>
          </w:p>
        </w:tc>
      </w:tr>
    </w:tbl>
    <w:p>
      <w:pPr>
        <w:pStyle w:val="Heading2"/>
        <w:spacing w:after="100" w:before="220"/>
      </w:pPr>
      <w:r>
        <w:rPr>
          <w:b/>
          <w:bCs/>
          <w:color w:val="2E7D6E"/>
          <w:sz w:val="23"/>
          <w:szCs w:val="23"/>
        </w:rPr>
        <w:t xml:space="preserve">5.2 Page Plan</w:t>
      </w:r>
    </w:p>
    <w:p>
      <w:pPr>
        <w:pStyle w:val="ListParagraph"/>
        <w:numPr>
          <w:ilvl w:val="0"/>
          <w:numId w:val="2"/>
        </w:numPr>
        <w:spacing w:after="70" w:line="264"/>
      </w:pPr>
      <w:r>
        <w:rPr>
          <w:b w:val="false"/>
          <w:bCs w:val="false"/>
          <w:sz w:val="21"/>
          <w:szCs w:val="21"/>
        </w:rPr>
        <w:t xml:space="preserve">/ — homepage: value prop, watcher card grid (Fuel Price live, others "coming soon")</w:t>
      </w:r>
    </w:p>
    <w:p>
      <w:pPr>
        <w:pStyle w:val="ListParagraph"/>
        <w:numPr>
          <w:ilvl w:val="0"/>
          <w:numId w:val="2"/>
        </w:numPr>
        <w:spacing w:after="70" w:line="264"/>
      </w:pPr>
      <w:r>
        <w:rPr>
          <w:b w:val="false"/>
          <w:bCs w:val="false"/>
          <w:sz w:val="21"/>
          <w:szCs w:val="21"/>
        </w:rPr>
        <w:t xml:space="preserve">/fuel-price/india — national average + state list</w:t>
      </w:r>
    </w:p>
    <w:p>
      <w:pPr>
        <w:pStyle w:val="ListParagraph"/>
        <w:numPr>
          <w:ilvl w:val="0"/>
          <w:numId w:val="2"/>
        </w:numPr>
        <w:spacing w:after="70" w:line="264"/>
      </w:pPr>
      <w:r>
        <w:rPr>
          <w:b w:val="false"/>
          <w:bCs w:val="false"/>
          <w:sz w:val="21"/>
          <w:szCs w:val="21"/>
        </w:rPr>
        <w:t xml:space="preserve">/fuel-price/india/{city} — one page per major city, petrol + diesel rate, alert module</w:t>
      </w:r>
    </w:p>
    <w:p>
      <w:pPr>
        <w:pStyle w:val="ListParagraph"/>
        <w:numPr>
          <w:ilvl w:val="0"/>
          <w:numId w:val="2"/>
        </w:numPr>
        <w:spacing w:after="70" w:line="264"/>
      </w:pPr>
      <w:r>
        <w:rPr>
          <w:b w:val="false"/>
          <w:bCs w:val="false"/>
          <w:sz w:val="21"/>
          <w:szCs w:val="21"/>
        </w:rPr>
        <w:t xml:space="preserve">/fuel-price/us — national average + state list</w:t>
      </w:r>
    </w:p>
    <w:p>
      <w:pPr>
        <w:pStyle w:val="ListParagraph"/>
        <w:numPr>
          <w:ilvl w:val="0"/>
          <w:numId w:val="2"/>
        </w:numPr>
        <w:spacing w:after="70" w:line="264"/>
      </w:pPr>
      <w:r>
        <w:rPr>
          <w:b w:val="false"/>
          <w:bCs w:val="false"/>
          <w:sz w:val="21"/>
          <w:szCs w:val="21"/>
        </w:rPr>
        <w:t xml:space="preserve">/fuel-price/us/{state} — one page per state, gasoline + diesel rate, alert module</w:t>
      </w:r>
    </w:p>
    <w:p>
      <w:pPr>
        <w:pStyle w:val="Heading2"/>
        <w:spacing w:after="100" w:before="220"/>
      </w:pPr>
      <w:r>
        <w:rPr>
          <w:b/>
          <w:bCs/>
          <w:color w:val="2E7D6E"/>
          <w:sz w:val="23"/>
          <w:szCs w:val="23"/>
        </w:rPr>
        <w:t xml:space="preserve">5.3 Alert Conditions Supported</w:t>
      </w:r>
    </w:p>
    <w:p>
      <w:pPr>
        <w:pStyle w:val="ListParagraph"/>
        <w:numPr>
          <w:ilvl w:val="0"/>
          <w:numId w:val="2"/>
        </w:numPr>
        <w:spacing w:after="70" w:line="264"/>
      </w:pPr>
      <w:r>
        <w:rPr>
          <w:b w:val="false"/>
          <w:bCs w:val="false"/>
          <w:sz w:val="21"/>
          <w:szCs w:val="21"/>
        </w:rPr>
        <w:t xml:space="preserve">Price crosses above ₹X / $X</w:t>
      </w:r>
    </w:p>
    <w:p>
      <w:pPr>
        <w:pStyle w:val="ListParagraph"/>
        <w:numPr>
          <w:ilvl w:val="0"/>
          <w:numId w:val="2"/>
        </w:numPr>
        <w:spacing w:after="70" w:line="264"/>
      </w:pPr>
      <w:r>
        <w:rPr>
          <w:b w:val="false"/>
          <w:bCs w:val="false"/>
          <w:sz w:val="21"/>
          <w:szCs w:val="21"/>
        </w:rPr>
        <w:t xml:space="preserve">Price drops below ₹X / $X</w:t>
      </w:r>
    </w:p>
    <w:p>
      <w:pPr>
        <w:pStyle w:val="ListParagraph"/>
        <w:numPr>
          <w:ilvl w:val="0"/>
          <w:numId w:val="2"/>
        </w:numPr>
        <w:spacing w:after="70" w:line="264"/>
      </w:pPr>
      <w:r>
        <w:rPr>
          <w:b w:val="false"/>
          <w:bCs w:val="false"/>
          <w:sz w:val="21"/>
          <w:szCs w:val="21"/>
        </w:rPr>
        <w:t xml:space="preserve">Price changes by more than X% since last check</w:t>
      </w:r>
    </w:p>
    <w:p>
      <w:pPr>
        <w:pStyle w:val="ListParagraph"/>
        <w:numPr>
          <w:ilvl w:val="0"/>
          <w:numId w:val="2"/>
        </w:numPr>
        <w:spacing w:after="70" w:line="264"/>
      </w:pPr>
      <w:r>
        <w:rPr>
          <w:b w:val="false"/>
          <w:bCs w:val="false"/>
          <w:sz w:val="21"/>
          <w:szCs w:val="21"/>
        </w:rPr>
        <w:t xml:space="preserve">Delivery channel: email (double opt-in link) or WhatsApp (opt-in via wa.me / verification reply)</w:t>
      </w:r>
    </w:p>
    <w:p>
      <w:pPr>
        <w:pStyle w:val="Heading2"/>
        <w:spacing w:after="100" w:before="220"/>
      </w:pPr>
      <w:r>
        <w:rPr>
          <w:b/>
          <w:bCs/>
          <w:color w:val="2E7D6E"/>
          <w:sz w:val="23"/>
          <w:szCs w:val="23"/>
        </w:rPr>
        <w:t xml:space="preserve">5.4 Build Plan (Target: 1 Weekend)</w:t>
      </w:r>
    </w:p>
    <w:p>
      <w:pPr>
        <w:pStyle w:val="ListParagraph"/>
        <w:numPr>
          <w:ilvl w:val="0"/>
          <w:numId w:val="2"/>
        </w:numPr>
        <w:spacing w:after="70" w:line="264"/>
      </w:pPr>
      <w:r>
        <w:rPr>
          <w:b w:val="false"/>
          <w:bCs w:val="false"/>
          <w:sz w:val="21"/>
          <w:szCs w:val="21"/>
        </w:rPr>
        <w:t xml:space="preserve">Day 1 AM — Data model + fetcher scripts for both countries; verify data parses correctly</w:t>
      </w:r>
    </w:p>
    <w:p>
      <w:pPr>
        <w:pStyle w:val="ListParagraph"/>
        <w:numPr>
          <w:ilvl w:val="0"/>
          <w:numId w:val="2"/>
        </w:numPr>
        <w:spacing w:after="70" w:line="264"/>
      </w:pPr>
      <w:r>
        <w:rPr>
          <w:b w:val="false"/>
          <w:bCs w:val="false"/>
          <w:sz w:val="21"/>
          <w:szCs w:val="21"/>
        </w:rPr>
        <w:t xml:space="preserve">Day 1 PM — Cron scheduling (daily fetch), store in DB, basic caching layer</w:t>
      </w:r>
    </w:p>
    <w:p>
      <w:pPr>
        <w:pStyle w:val="ListParagraph"/>
        <w:numPr>
          <w:ilvl w:val="0"/>
          <w:numId w:val="2"/>
        </w:numPr>
        <w:spacing w:after="70" w:line="264"/>
      </w:pPr>
      <w:r>
        <w:rPr>
          <w:b w:val="false"/>
          <w:bCs w:val="false"/>
          <w:sz w:val="21"/>
          <w:szCs w:val="21"/>
        </w:rPr>
        <w:t xml:space="preserve">Day 2 AM — Frontend templates: homepage (card grid + coming-soon cards), country page + region page, header country switcher, geo-detection on load, ad slot placement</w:t>
      </w:r>
    </w:p>
    <w:p>
      <w:pPr>
        <w:pStyle w:val="ListParagraph"/>
        <w:numPr>
          <w:ilvl w:val="0"/>
          <w:numId w:val="2"/>
        </w:numPr>
        <w:spacing w:after="70" w:line="264"/>
      </w:pPr>
      <w:r>
        <w:rPr>
          <w:b w:val="false"/>
          <w:bCs w:val="false"/>
          <w:sz w:val="21"/>
          <w:szCs w:val="21"/>
        </w:rPr>
        <w:t xml:space="preserve">Day 2 PM — Alert capture form (email + WhatsApp channel choice), confirmation flows, alert-check cron, deploy</w:t>
      </w:r>
    </w:p>
    <w:p>
      <w:pPr>
        <w:pStyle w:val="Heading2"/>
        <w:spacing w:after="100" w:before="220"/>
      </w:pPr>
      <w:r>
        <w:rPr>
          <w:b/>
          <w:bCs/>
          <w:color w:val="2E7D6E"/>
          <w:sz w:val="23"/>
          <w:szCs w:val="23"/>
        </w:rPr>
        <w:t xml:space="preserve">5.5 Infra Cost — Phase 1 Only</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tblGrid>
      <w:tr>
        <w:tc>
          <w:tcPr>
            <w:tcW w:type="dxa" w:w="4500"/>
            <w:shd w:fill="1F4E5F" w:val="clear"/>
            <w:tcMar>
              <w:top w:type="dxa" w:w="90"/>
              <w:left w:type="dxa" w:w="110"/>
              <w:bottom w:type="dxa" w:w="90"/>
              <w:right w:type="dxa" w:w="110"/>
            </w:tcMar>
          </w:tcPr>
          <w:p>
            <w:pPr>
              <w:spacing w:after="20"/>
            </w:pPr>
            <w:r>
              <w:rPr>
                <w:b/>
                <w:bCs/>
                <w:color w:val="FFFFFF"/>
                <w:sz w:val="19"/>
                <w:szCs w:val="19"/>
              </w:rPr>
              <w:t xml:space="preserve">Component</w:t>
            </w:r>
          </w:p>
        </w:tc>
        <w:tc>
          <w:tcPr>
            <w:tcW w:type="dxa" w:w="3200"/>
            <w:shd w:fill="1F4E5F" w:val="clear"/>
            <w:tcMar>
              <w:top w:type="dxa" w:w="90"/>
              <w:left w:type="dxa" w:w="110"/>
              <w:bottom w:type="dxa" w:w="90"/>
              <w:right w:type="dxa" w:w="110"/>
            </w:tcMar>
          </w:tcPr>
          <w:p>
            <w:pPr>
              <w:spacing w:after="20"/>
            </w:pPr>
            <w:r>
              <w:rPr>
                <w:b/>
                <w:bCs/>
                <w:color w:val="FFFFFF"/>
                <w:sz w:val="19"/>
                <w:szCs w:val="19"/>
              </w:rPr>
              <w:t xml:space="preserve">Monthly Cost</w:t>
            </w:r>
          </w:p>
        </w:tc>
      </w:tr>
      <w:tr>
        <w:tc>
          <w:tcPr>
            <w:tcW w:type="dxa" w:w="4500"/>
            <w:shd w:fill="F2F6F5" w:val="clear"/>
            <w:tcMar>
              <w:top w:type="dxa" w:w="90"/>
              <w:left w:type="dxa" w:w="110"/>
              <w:bottom w:type="dxa" w:w="90"/>
              <w:right w:type="dxa" w:w="110"/>
            </w:tcMar>
          </w:tcPr>
          <w:p>
            <w:pPr>
              <w:spacing w:after="20"/>
            </w:pPr>
            <w:r>
              <w:rPr>
                <w:b w:val="false"/>
                <w:bCs w:val="false"/>
                <w:color w:val="2B2B2B"/>
                <w:sz w:val="19"/>
                <w:szCs w:val="19"/>
              </w:rPr>
              <w:t xml:space="preserve">Hosting + DB + cron (free tiers)</w:t>
            </w:r>
          </w:p>
        </w:tc>
        <w:tc>
          <w:tcPr>
            <w:tcW w:type="dxa" w:w="3200"/>
            <w:shd w:fill="F2F6F5" w:val="clear"/>
            <w:tcMar>
              <w:top w:type="dxa" w:w="90"/>
              <w:left w:type="dxa" w:w="110"/>
              <w:bottom w:type="dxa" w:w="90"/>
              <w:right w:type="dxa" w:w="110"/>
            </w:tcMar>
          </w:tcPr>
          <w:p>
            <w:pPr>
              <w:spacing w:after="20"/>
            </w:pPr>
            <w:r>
              <w:rPr>
                <w:b w:val="false"/>
                <w:bCs w:val="false"/>
                <w:color w:val="2B2B2B"/>
                <w:sz w:val="19"/>
                <w:szCs w:val="19"/>
              </w:rPr>
              <w:t xml:space="preserve">₹0</w:t>
            </w:r>
          </w:p>
        </w:tc>
      </w:tr>
      <w:tr>
        <w:tc>
          <w:tcPr>
            <w:tcW w:type="dxa" w:w="4500"/>
            <w:tcMar>
              <w:top w:type="dxa" w:w="90"/>
              <w:left w:type="dxa" w:w="110"/>
              <w:bottom w:type="dxa" w:w="90"/>
              <w:right w:type="dxa" w:w="110"/>
            </w:tcMar>
          </w:tcPr>
          <w:p>
            <w:pPr>
              <w:spacing w:after="20"/>
            </w:pPr>
            <w:r>
              <w:rPr>
                <w:b w:val="false"/>
                <w:bCs w:val="false"/>
                <w:color w:val="2B2B2B"/>
                <w:sz w:val="19"/>
                <w:szCs w:val="19"/>
              </w:rPr>
              <w:t xml:space="preserve">Domain (amortized)</w:t>
            </w:r>
          </w:p>
        </w:tc>
        <w:tc>
          <w:tcPr>
            <w:tcW w:type="dxa" w:w="3200"/>
            <w:tcMar>
              <w:top w:type="dxa" w:w="90"/>
              <w:left w:type="dxa" w:w="110"/>
              <w:bottom w:type="dxa" w:w="90"/>
              <w:right w:type="dxa" w:w="110"/>
            </w:tcMar>
          </w:tcPr>
          <w:p>
            <w:pPr>
              <w:spacing w:after="20"/>
            </w:pPr>
            <w:r>
              <w:rPr>
                <w:b w:val="false"/>
                <w:bCs w:val="false"/>
                <w:color w:val="2B2B2B"/>
                <w:sz w:val="19"/>
                <w:szCs w:val="19"/>
              </w:rPr>
              <w:t xml:space="preserve">₹80–100</w:t>
            </w:r>
          </w:p>
        </w:tc>
      </w:tr>
      <w:tr>
        <w:tc>
          <w:tcPr>
            <w:tcW w:type="dxa" w:w="4500"/>
            <w:shd w:fill="F2F6F5" w:val="clear"/>
            <w:tcMar>
              <w:top w:type="dxa" w:w="90"/>
              <w:left w:type="dxa" w:w="110"/>
              <w:bottom w:type="dxa" w:w="90"/>
              <w:right w:type="dxa" w:w="110"/>
            </w:tcMar>
          </w:tcPr>
          <w:p>
            <w:pPr>
              <w:spacing w:after="20"/>
            </w:pPr>
            <w:r>
              <w:rPr>
                <w:b w:val="false"/>
                <w:bCs w:val="false"/>
                <w:color w:val="2B2B2B"/>
                <w:sz w:val="19"/>
                <w:szCs w:val="19"/>
              </w:rPr>
              <w:t xml:space="preserve">Transactional email (free tier)</w:t>
            </w:r>
          </w:p>
        </w:tc>
        <w:tc>
          <w:tcPr>
            <w:tcW w:type="dxa" w:w="3200"/>
            <w:shd w:fill="F2F6F5" w:val="clear"/>
            <w:tcMar>
              <w:top w:type="dxa" w:w="90"/>
              <w:left w:type="dxa" w:w="110"/>
              <w:bottom w:type="dxa" w:w="90"/>
              <w:right w:type="dxa" w:w="110"/>
            </w:tcMar>
          </w:tcPr>
          <w:p>
            <w:pPr>
              <w:spacing w:after="20"/>
            </w:pPr>
            <w:r>
              <w:rPr>
                <w:b w:val="false"/>
                <w:bCs w:val="false"/>
                <w:color w:val="2B2B2B"/>
                <w:sz w:val="19"/>
                <w:szCs w:val="19"/>
              </w:rPr>
              <w:t xml:space="preserve">₹0</w:t>
            </w:r>
          </w:p>
        </w:tc>
      </w:tr>
      <w:tr>
        <w:tc>
          <w:tcPr>
            <w:tcW w:type="dxa" w:w="4500"/>
            <w:tcMar>
              <w:top w:type="dxa" w:w="90"/>
              <w:left w:type="dxa" w:w="110"/>
              <w:bottom w:type="dxa" w:w="90"/>
              <w:right w:type="dxa" w:w="110"/>
            </w:tcMar>
          </w:tcPr>
          <w:p>
            <w:pPr>
              <w:spacing w:after="20"/>
            </w:pPr>
            <w:r>
              <w:rPr>
                <w:b w:val="false"/>
                <w:bCs w:val="false"/>
                <w:color w:val="2B2B2B"/>
                <w:sz w:val="19"/>
                <w:szCs w:val="19"/>
              </w:rPr>
              <w:t xml:space="preserve">WhatsApp alerts (Cloud API/Twilio, low volume)</w:t>
            </w:r>
          </w:p>
        </w:tc>
        <w:tc>
          <w:tcPr>
            <w:tcW w:type="dxa" w:w="3200"/>
            <w:tcMar>
              <w:top w:type="dxa" w:w="90"/>
              <w:left w:type="dxa" w:w="110"/>
              <w:bottom w:type="dxa" w:w="90"/>
              <w:right w:type="dxa" w:w="110"/>
            </w:tcMar>
          </w:tcPr>
          <w:p>
            <w:pPr>
              <w:spacing w:after="20"/>
            </w:pPr>
            <w:r>
              <w:rPr>
                <w:b w:val="false"/>
                <w:bCs w:val="false"/>
                <w:color w:val="2B2B2B"/>
                <w:sz w:val="19"/>
                <w:szCs w:val="19"/>
              </w:rPr>
              <w:t xml:space="preserve">₹0–300 (free-tier conversations, then per-message)</w:t>
            </w:r>
          </w:p>
        </w:tc>
      </w:tr>
      <w:tr>
        <w:tc>
          <w:tcPr>
            <w:tcW w:type="dxa" w:w="4500"/>
            <w:shd w:fill="F2F6F5" w:val="clear"/>
            <w:tcMar>
              <w:top w:type="dxa" w:w="90"/>
              <w:left w:type="dxa" w:w="110"/>
              <w:bottom w:type="dxa" w:w="90"/>
              <w:right w:type="dxa" w:w="110"/>
            </w:tcMar>
          </w:tcPr>
          <w:p>
            <w:pPr>
              <w:spacing w:after="20"/>
            </w:pPr>
            <w:r>
              <w:rPr>
                <w:b w:val="false"/>
                <w:bCs w:val="false"/>
                <w:color w:val="2B2B2B"/>
                <w:sz w:val="19"/>
                <w:szCs w:val="19"/>
              </w:rPr>
              <w:t xml:space="preserve">Geo-detection (free-tier IP lookup)</w:t>
            </w:r>
          </w:p>
        </w:tc>
        <w:tc>
          <w:tcPr>
            <w:tcW w:type="dxa" w:w="3200"/>
            <w:shd w:fill="F2F6F5" w:val="clear"/>
            <w:tcMar>
              <w:top w:type="dxa" w:w="90"/>
              <w:left w:type="dxa" w:w="110"/>
              <w:bottom w:type="dxa" w:w="90"/>
              <w:right w:type="dxa" w:w="110"/>
            </w:tcMar>
          </w:tcPr>
          <w:p>
            <w:pPr>
              <w:spacing w:after="20"/>
            </w:pPr>
            <w:r>
              <w:rPr>
                <w:b w:val="false"/>
                <w:bCs w:val="false"/>
                <w:color w:val="2B2B2B"/>
                <w:sz w:val="19"/>
                <w:szCs w:val="19"/>
              </w:rPr>
              <w:t xml:space="preserve">₹0</w:t>
            </w:r>
          </w:p>
        </w:tc>
      </w:tr>
      <w:tr>
        <w:tc>
          <w:tcPr>
            <w:tcW w:type="dxa" w:w="4500"/>
            <w:tcMar>
              <w:top w:type="dxa" w:w="90"/>
              <w:left w:type="dxa" w:w="110"/>
              <w:bottom w:type="dxa" w:w="90"/>
              <w:right w:type="dxa" w:w="110"/>
            </w:tcMar>
          </w:tcPr>
          <w:p>
            <w:pPr>
              <w:spacing w:after="20"/>
            </w:pPr>
            <w:r>
              <w:rPr>
                <w:b w:val="false"/>
                <w:bCs w:val="false"/>
                <w:color w:val="2B2B2B"/>
                <w:sz w:val="19"/>
                <w:szCs w:val="19"/>
              </w:rPr>
              <w:t xml:space="preserve">Total</w:t>
            </w:r>
          </w:p>
        </w:tc>
        <w:tc>
          <w:tcPr>
            <w:tcW w:type="dxa" w:w="3200"/>
            <w:tcMar>
              <w:top w:type="dxa" w:w="90"/>
              <w:left w:type="dxa" w:w="110"/>
              <w:bottom w:type="dxa" w:w="90"/>
              <w:right w:type="dxa" w:w="110"/>
            </w:tcMar>
          </w:tcPr>
          <w:p>
            <w:pPr>
              <w:spacing w:after="20"/>
            </w:pPr>
            <w:r>
              <w:rPr>
                <w:b w:val="false"/>
                <w:bCs w:val="false"/>
                <w:color w:val="2B2B2B"/>
                <w:sz w:val="19"/>
                <w:szCs w:val="19"/>
              </w:rPr>
              <w:t xml:space="preserve">₹100–800</w:t>
            </w:r>
          </w:p>
        </w:tc>
      </w:tr>
    </w:tbl>
    <w:p>
      <w:pPr>
        <w:pStyle w:val="Heading2"/>
        <w:spacing w:after="100" w:before="220"/>
      </w:pPr>
      <w:r>
        <w:rPr>
          <w:b/>
          <w:bCs/>
          <w:color w:val="2E7D6E"/>
          <w:sz w:val="23"/>
          <w:szCs w:val="23"/>
        </w:rPr>
        <w:t xml:space="preserve">5.6 Success Criteria Before Moving to Phase 2</w:t>
      </w:r>
    </w:p>
    <w:p>
      <w:pPr>
        <w:pStyle w:val="ListParagraph"/>
        <w:numPr>
          <w:ilvl w:val="0"/>
          <w:numId w:val="2"/>
        </w:numPr>
        <w:spacing w:after="70" w:line="264"/>
      </w:pPr>
      <w:r>
        <w:rPr>
          <w:b w:val="false"/>
          <w:bCs w:val="false"/>
          <w:sz w:val="21"/>
          <w:szCs w:val="21"/>
        </w:rPr>
        <w:t xml:space="preserve">Both country pages indexed by Google</w:t>
      </w:r>
    </w:p>
    <w:p>
      <w:pPr>
        <w:pStyle w:val="ListParagraph"/>
        <w:numPr>
          <w:ilvl w:val="0"/>
          <w:numId w:val="2"/>
        </w:numPr>
        <w:spacing w:after="70" w:line="264"/>
      </w:pPr>
      <w:r>
        <w:rPr>
          <w:b w:val="false"/>
          <w:bCs w:val="false"/>
          <w:sz w:val="21"/>
          <w:szCs w:val="21"/>
        </w:rPr>
        <w:t xml:space="preserve">At least a handful of confirmed alert signups (validates the no-signup flow works end-to-end)</w:t>
      </w:r>
    </w:p>
    <w:p>
      <w:pPr>
        <w:pStyle w:val="ListParagraph"/>
        <w:numPr>
          <w:ilvl w:val="0"/>
          <w:numId w:val="2"/>
        </w:numPr>
        <w:spacing w:after="70" w:line="264"/>
      </w:pPr>
      <w:r>
        <w:rPr>
          <w:b w:val="false"/>
          <w:bCs w:val="false"/>
          <w:sz w:val="21"/>
          <w:szCs w:val="21"/>
        </w:rPr>
        <w:t xml:space="preserve">AdSense approval secured and impressions/clicks flowing</w:t>
      </w:r>
    </w:p>
    <w:p>
      <w:pPr>
        <w:pStyle w:val="ListParagraph"/>
        <w:numPr>
          <w:ilvl w:val="0"/>
          <w:numId w:val="2"/>
        </w:numPr>
        <w:spacing w:after="70" w:line="264"/>
      </w:pPr>
      <w:r>
        <w:rPr>
          <w:b w:val="false"/>
          <w:bCs w:val="false"/>
          <w:sz w:val="21"/>
          <w:szCs w:val="21"/>
        </w:rPr>
        <w:t xml:space="preserve">Fetcher runs unattended for 2+ weeks with no manual intervention</w:t>
      </w:r>
    </w:p>
    <w:p>
      <w:pPr>
        <w:pStyle w:val="Heading1"/>
        <w:pBdr>
          <w:bottom w:val="single" w:color="2E7D6E" w:sz="6" w:space="4"/>
        </w:pBdr>
        <w:spacing w:after="140" w:before="320"/>
      </w:pPr>
      <w:r>
        <w:rPr>
          <w:b/>
          <w:bCs/>
          <w:color w:val="1F4E5F"/>
          <w:sz w:val="27"/>
          <w:szCs w:val="27"/>
        </w:rPr>
        <w:t xml:space="preserve">6. Upcoming Phases (Not Detailed Yet)</w:t>
      </w:r>
    </w:p>
    <w:p>
      <w:pPr>
        <w:spacing w:after="120" w:line="276"/>
      </w:pPr>
      <w:r>
        <w:rPr>
          <w:b w:val="false"/>
          <w:bCs w:val="false"/>
          <w:i w:val="false"/>
          <w:iCs w:val="false"/>
          <w:color w:val="2B2B2B"/>
          <w:sz w:val="21"/>
          <w:szCs w:val="21"/>
        </w:rPr>
        <w:t xml:space="preserve">Each will get its own short spec once Phase 1 validates the engine. Placeholder scope:</w:t>
      </w:r>
    </w:p>
    <w:p>
      <w:pPr>
        <w:pStyle w:val="ListParagraph"/>
        <w:numPr>
          <w:ilvl w:val="0"/>
          <w:numId w:val="2"/>
        </w:numPr>
        <w:spacing w:after="70" w:line="264"/>
      </w:pPr>
      <w:r>
        <w:rPr>
          <w:b w:val="false"/>
          <w:bCs w:val="false"/>
          <w:sz w:val="21"/>
          <w:szCs w:val="21"/>
        </w:rPr>
        <w:t xml:space="preserve">Phase 2 — Gold/Silver Rate Watcher (India + US): market-hours polling, small paid API tier likely required for true 15–30 min freshness</w:t>
      </w:r>
    </w:p>
    <w:p>
      <w:pPr>
        <w:pStyle w:val="ListParagraph"/>
        <w:numPr>
          <w:ilvl w:val="0"/>
          <w:numId w:val="2"/>
        </w:numPr>
        <w:spacing w:after="70" w:line="264"/>
      </w:pPr>
      <w:r>
        <w:rPr>
          <w:b w:val="false"/>
          <w:bCs w:val="false"/>
          <w:sz w:val="21"/>
          <w:szCs w:val="21"/>
        </w:rPr>
        <w:t xml:space="preserve">Phase 3 — Global Currency Rate Watcher: reuse engine, high SEO competition — treat as volume/ads play, not a ranking win</w:t>
      </w:r>
    </w:p>
    <w:p>
      <w:pPr>
        <w:pStyle w:val="ListParagraph"/>
        <w:numPr>
          <w:ilvl w:val="0"/>
          <w:numId w:val="2"/>
        </w:numPr>
        <w:spacing w:after="70" w:line="264"/>
      </w:pPr>
      <w:r>
        <w:rPr>
          <w:b w:val="false"/>
          <w:bCs w:val="false"/>
          <w:sz w:val="21"/>
          <w:szCs w:val="21"/>
        </w:rPr>
        <w:t xml:space="preserve">Phase 4 — Loan/Mortgage Rate Watcher (India scraped, US via Freddie Mac): needs scrape-failure monitoring given aggregator fragility</w:t>
      </w:r>
    </w:p>
    <w:p>
      <w:pPr>
        <w:pStyle w:val="ListParagraph"/>
        <w:numPr>
          <w:ilvl w:val="0"/>
          <w:numId w:val="2"/>
        </w:numPr>
        <w:spacing w:after="70" w:line="264"/>
      </w:pPr>
      <w:r>
        <w:rPr>
          <w:b w:val="false"/>
          <w:bCs w:val="false"/>
          <w:sz w:val="21"/>
          <w:szCs w:val="21"/>
        </w:rPr>
        <w:t xml:space="preserve">Phase 5 — Savings/FD Rate Watcher: rides on Phase 4’s scraping infra</w:t>
      </w:r>
    </w:p>
    <w:p>
      <w:pPr>
        <w:pStyle w:val="ListParagraph"/>
        <w:numPr>
          <w:ilvl w:val="0"/>
          <w:numId w:val="2"/>
        </w:numPr>
        <w:spacing w:after="70" w:line="264"/>
      </w:pPr>
      <w:r>
        <w:rPr>
          <w:b w:val="false"/>
          <w:bCs w:val="false"/>
          <w:sz w:val="21"/>
          <w:szCs w:val="21"/>
        </w:rPr>
        <w:t xml:space="preserve">Phase 6 — Stock Price Watcher (India): deprioritized — high competition from Moneycontrol/TradingView</w:t>
      </w:r>
    </w:p>
    <w:p>
      <w:pPr>
        <w:pStyle w:val="ListParagraph"/>
        <w:numPr>
          <w:ilvl w:val="0"/>
          <w:numId w:val="2"/>
        </w:numPr>
        <w:spacing w:after="70" w:line="264"/>
      </w:pPr>
      <w:r>
        <w:rPr>
          <w:b w:val="false"/>
          <w:bCs w:val="false"/>
          <w:sz w:val="21"/>
          <w:szCs w:val="21"/>
        </w:rPr>
        <w:t xml:space="preserve">Phase 7 — Train PNR Waitlist Watcher (India): deprioritized — no reliable free data source</w:t>
      </w:r>
    </w:p>
    <w:p>
      <w:pPr>
        <w:pBdr>
          <w:top w:val="single" w:color="C9D6D3" w:sz="4" w:space="8"/>
        </w:pBdr>
        <w:spacing w:before="300"/>
      </w:pPr>
      <w:r>
        <w:rPr>
          <w:i/>
          <w:iCs/>
          <w:color w:val="595959"/>
          <w:sz w:val="19"/>
          <w:szCs w:val="19"/>
        </w:rPr>
        <w:t xml:space="preserve">Next artifact: engineering-level schema + API contract for Phase 1, once this PRD is signed off.</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2026-07-29T18:57:06.463Z</dcterms:created>
  <dcterms:modified xsi:type="dcterms:W3CDTF">2026-07-29T18:57:06.482Z</dcterms:modified>
</cp:coreProperties>
</file>

<file path=docProps/custom.xml><?xml version="1.0" encoding="utf-8"?>
<Properties xmlns="http://schemas.openxmlformats.org/officeDocument/2006/custom-properties" xmlns:vt="http://schemas.openxmlformats.org/officeDocument/2006/docPropsVTypes"/>
</file>